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66" w:line="207" w:lineRule="auto"/>
        <w:jc w:val="right"/>
        <w:outlineLvl w:val="0"/>
        <w:rPr>
          <w:rFonts w:ascii="仿宋" w:hAnsi="仿宋" w:eastAsia="仿宋" w:cs="仿宋"/>
          <w:sz w:val="51"/>
          <w:szCs w:val="51"/>
        </w:rPr>
      </w:pPr>
      <w:r>
        <w:rPr>
          <w:rFonts w:ascii="仿宋" w:hAnsi="仿宋" w:eastAsia="仿宋" w:cs="仿宋"/>
          <w:b/>
          <w:bCs/>
          <w:sz w:val="51"/>
          <w:szCs w:val="51"/>
        </w:rPr>
        <w:t>117002柳州市城中区人民法院2026年单位预</w:t>
      </w:r>
    </w:p>
    <w:p>
      <w:pPr>
        <w:spacing w:line="225" w:lineRule="auto"/>
        <w:ind w:left="3615"/>
        <w:outlineLvl w:val="0"/>
        <w:rPr>
          <w:rFonts w:ascii="仿宋" w:hAnsi="仿宋" w:eastAsia="仿宋" w:cs="仿宋"/>
          <w:sz w:val="51"/>
          <w:szCs w:val="51"/>
        </w:rPr>
      </w:pPr>
      <w:r>
        <w:rPr>
          <w:rFonts w:ascii="仿宋" w:hAnsi="仿宋" w:eastAsia="仿宋" w:cs="仿宋"/>
          <w:b/>
          <w:bCs/>
          <w:spacing w:val="-3"/>
          <w:sz w:val="51"/>
          <w:szCs w:val="51"/>
        </w:rPr>
        <w:t>算公开说明</w:t>
      </w:r>
    </w:p>
    <w:p>
      <w:pPr>
        <w:spacing w:line="225" w:lineRule="auto"/>
        <w:rPr>
          <w:rFonts w:ascii="仿宋" w:hAnsi="仿宋" w:eastAsia="仿宋" w:cs="仿宋"/>
          <w:sz w:val="51"/>
          <w:szCs w:val="51"/>
        </w:rPr>
        <w:sectPr>
          <w:pgSz w:w="11906" w:h="16838"/>
          <w:pgMar w:top="1431" w:right="951" w:bottom="0" w:left="1134" w:header="0" w:footer="0" w:gutter="0"/>
        </w:sectPr>
      </w:pPr>
    </w:p>
    <w:p>
      <w:pPr>
        <w:pStyle w:val="2"/>
        <w:spacing w:before="88" w:line="222" w:lineRule="auto"/>
        <w:ind w:left="3786"/>
        <w:rPr>
          <w:sz w:val="44"/>
          <w:szCs w:val="44"/>
        </w:rPr>
      </w:pPr>
      <w:r>
        <w:rPr>
          <w:spacing w:val="-36"/>
          <w:sz w:val="44"/>
          <w:szCs w:val="44"/>
        </w:rPr>
        <w:t>目</w:t>
      </w:r>
      <w:r>
        <w:rPr>
          <w:spacing w:val="20"/>
          <w:sz w:val="44"/>
          <w:szCs w:val="44"/>
        </w:rPr>
        <w:t xml:space="preserve"> </w:t>
      </w:r>
      <w:r>
        <w:rPr>
          <w:spacing w:val="-36"/>
          <w:sz w:val="44"/>
          <w:szCs w:val="44"/>
        </w:rPr>
        <w:t>录</w:t>
      </w:r>
    </w:p>
    <w:p>
      <w:pPr>
        <w:spacing w:line="337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642"/>
      </w:pPr>
      <w:r>
        <w:rPr>
          <w:b/>
          <w:bCs/>
          <w:spacing w:val="-4"/>
        </w:rPr>
        <w:t>第一部分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117002柳州市城中区人民法院概况</w:t>
      </w:r>
    </w:p>
    <w:sdt>
      <w:sdtPr>
        <w:rPr>
          <w:rFonts w:ascii="Arial" w:hAnsi="Arial" w:eastAsia="Arial" w:cs="Arial"/>
          <w:sz w:val="21"/>
          <w:szCs w:val="21"/>
        </w:rPr>
        <w:id w:val="0"/>
        <w:docPartObj>
          <w:docPartGallery w:val="Table of Contents"/>
          <w:docPartUnique/>
        </w:docPartObj>
      </w:sdtPr>
      <w:sdtEndPr>
        <w:rPr>
          <w:rFonts w:ascii="黑体" w:hAnsi="黑体" w:eastAsia="黑体" w:cs="黑体"/>
          <w:sz w:val="32"/>
          <w:szCs w:val="32"/>
        </w:rPr>
      </w:sdtEndPr>
      <w:sdtContent>
        <w:p>
          <w:pPr>
            <w:pStyle w:val="2"/>
            <w:spacing w:before="250" w:line="221" w:lineRule="auto"/>
            <w:ind w:left="1288"/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-6"/>
            </w:rPr>
            <w:t>一、主要职责</w:t>
          </w:r>
          <w:r>
            <w:rPr>
              <w:spacing w:val="-6"/>
            </w:rPr>
            <w:fldChar w:fldCharType="end"/>
          </w:r>
        </w:p>
        <w:p>
          <w:pPr>
            <w:pStyle w:val="2"/>
            <w:spacing w:before="167" w:line="222" w:lineRule="auto"/>
            <w:ind w:left="1288"/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2"/>
            </w:rPr>
            <w:t>二、机构设置情况</w:t>
          </w:r>
          <w:r>
            <w:rPr>
              <w:spacing w:val="-2"/>
            </w:rPr>
            <w:fldChar w:fldCharType="end"/>
          </w:r>
        </w:p>
      </w:sdtContent>
    </w:sdt>
    <w:p>
      <w:pPr>
        <w:pStyle w:val="2"/>
        <w:spacing w:before="244" w:line="212" w:lineRule="auto"/>
        <w:ind w:left="2" w:firstLine="639"/>
      </w:pPr>
      <w:r>
        <w:rPr>
          <w:b/>
          <w:bCs/>
          <w:spacing w:val="-4"/>
        </w:rPr>
        <w:t>第二部分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117002柳州市城中区人民法院2026年单位预算</w:t>
      </w:r>
      <w:r>
        <w:rPr>
          <w:b/>
          <w:bCs/>
          <w:spacing w:val="-6"/>
        </w:rPr>
        <w:t>情况说明</w:t>
      </w:r>
    </w:p>
    <w:sdt>
      <w:sdtPr>
        <w:rPr>
          <w:rFonts w:ascii="Arial" w:hAnsi="Arial" w:eastAsia="Arial" w:cs="Arial"/>
          <w:sz w:val="21"/>
          <w:szCs w:val="21"/>
        </w:rPr>
        <w:id w:val="0"/>
        <w:docPartObj>
          <w:docPartGallery w:val="Table of Contents"/>
          <w:docPartUnique/>
        </w:docPartObj>
      </w:sdtPr>
      <w:sdtEndPr>
        <w:rPr>
          <w:rFonts w:ascii="黑体" w:hAnsi="黑体" w:eastAsia="黑体" w:cs="黑体"/>
          <w:sz w:val="32"/>
          <w:szCs w:val="32"/>
        </w:rPr>
      </w:sdtEndPr>
      <w:sdtContent>
        <w:p>
          <w:pPr>
            <w:pStyle w:val="2"/>
            <w:spacing w:before="250" w:line="221" w:lineRule="auto"/>
            <w:ind w:left="1288"/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4"/>
            </w:rPr>
            <w:t>一、单位收支总体情况说明</w:t>
          </w:r>
          <w:r>
            <w:rPr>
              <w:spacing w:val="-4"/>
            </w:rPr>
            <w:fldChar w:fldCharType="end"/>
          </w:r>
        </w:p>
        <w:p>
          <w:pPr>
            <w:pStyle w:val="2"/>
            <w:spacing w:before="168" w:line="221" w:lineRule="auto"/>
            <w:ind w:left="1288"/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2"/>
            </w:rPr>
            <w:t>二、单位收入总体情况说明</w:t>
          </w:r>
          <w:r>
            <w:rPr>
              <w:spacing w:val="-2"/>
            </w:rPr>
            <w:fldChar w:fldCharType="end"/>
          </w:r>
        </w:p>
        <w:p>
          <w:pPr>
            <w:pStyle w:val="2"/>
            <w:spacing w:before="167" w:line="221" w:lineRule="auto"/>
            <w:ind w:left="1289"/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-2"/>
            </w:rPr>
            <w:t>三、单位支出总体情况说明</w:t>
          </w:r>
          <w:r>
            <w:rPr>
              <w:spacing w:val="-2"/>
            </w:rPr>
            <w:fldChar w:fldCharType="end"/>
          </w:r>
        </w:p>
      </w:sdtContent>
    </w:sdt>
    <w:p>
      <w:pPr>
        <w:pStyle w:val="2"/>
        <w:spacing w:before="168" w:line="221" w:lineRule="auto"/>
        <w:ind w:left="1302"/>
      </w:pPr>
      <w:r>
        <w:rPr>
          <w:spacing w:val="-2"/>
        </w:rPr>
        <w:t>四、财政拨款收支总体情况说明</w:t>
      </w:r>
    </w:p>
    <w:p>
      <w:pPr>
        <w:pStyle w:val="2"/>
        <w:spacing w:before="167" w:line="221" w:lineRule="auto"/>
        <w:ind w:left="1292"/>
      </w:pPr>
      <w:r>
        <w:rPr>
          <w:spacing w:val="-2"/>
        </w:rPr>
        <w:t>五、一般公共预算支出情况说明</w:t>
      </w:r>
    </w:p>
    <w:p>
      <w:pPr>
        <w:pStyle w:val="2"/>
        <w:spacing w:before="167" w:line="221" w:lineRule="auto"/>
        <w:ind w:left="1293"/>
      </w:pPr>
      <w:r>
        <w:rPr>
          <w:spacing w:val="-2"/>
        </w:rPr>
        <w:t>六、一般公共预算基本支出情况说明</w:t>
      </w:r>
    </w:p>
    <w:p>
      <w:pPr>
        <w:pStyle w:val="2"/>
        <w:spacing w:before="168" w:line="221" w:lineRule="auto"/>
        <w:ind w:left="1282"/>
      </w:pPr>
      <w:r>
        <w:rPr>
          <w:spacing w:val="-1"/>
        </w:rPr>
        <w:t>七、一般公共预算“三公”经费支出情况说明</w:t>
      </w:r>
    </w:p>
    <w:p>
      <w:pPr>
        <w:pStyle w:val="2"/>
        <w:spacing w:before="167" w:line="221" w:lineRule="auto"/>
        <w:ind w:left="1283"/>
      </w:pPr>
      <w:r>
        <w:rPr>
          <w:spacing w:val="-1"/>
        </w:rPr>
        <w:t>八、政府性基金预算支出情况说明</w:t>
      </w:r>
    </w:p>
    <w:p>
      <w:pPr>
        <w:pStyle w:val="2"/>
        <w:spacing w:before="168" w:line="221" w:lineRule="auto"/>
        <w:ind w:left="1291"/>
      </w:pPr>
      <w:r>
        <w:rPr>
          <w:spacing w:val="-1"/>
        </w:rPr>
        <w:t>九、国有资本经营预算支出情况说明</w:t>
      </w:r>
    </w:p>
    <w:p>
      <w:pPr>
        <w:pStyle w:val="2"/>
        <w:spacing w:before="167" w:line="221" w:lineRule="auto"/>
        <w:ind w:left="1287"/>
      </w:pPr>
      <w:r>
        <w:rPr>
          <w:spacing w:val="-2"/>
        </w:rPr>
        <w:t>十、政府采购预算情况说明</w:t>
      </w:r>
    </w:p>
    <w:p>
      <w:pPr>
        <w:pStyle w:val="2"/>
        <w:spacing w:before="168" w:line="221" w:lineRule="auto"/>
        <w:ind w:left="1287"/>
      </w:pPr>
      <w:r>
        <w:rPr>
          <w:spacing w:val="-3"/>
        </w:rPr>
        <w:t>十一、政府购买服务预算情况说明</w:t>
      </w:r>
    </w:p>
    <w:p>
      <w:pPr>
        <w:pStyle w:val="2"/>
        <w:spacing w:before="167" w:line="221" w:lineRule="auto"/>
        <w:ind w:left="1287"/>
      </w:pPr>
      <w:r>
        <w:rPr>
          <w:spacing w:val="-1"/>
        </w:rPr>
        <w:t>十二、项目预算绩效目标情况说明</w:t>
      </w:r>
    </w:p>
    <w:p>
      <w:pPr>
        <w:pStyle w:val="2"/>
        <w:spacing w:before="168" w:line="221" w:lineRule="auto"/>
        <w:ind w:left="1287"/>
      </w:pPr>
      <w:r>
        <w:rPr>
          <w:spacing w:val="-1"/>
        </w:rPr>
        <w:t>十三、2026年单位预算其他重要事项情况说明</w:t>
      </w:r>
    </w:p>
    <w:p>
      <w:pPr>
        <w:pStyle w:val="2"/>
        <w:spacing w:before="245" w:line="213" w:lineRule="auto"/>
        <w:ind w:firstLine="642"/>
      </w:pPr>
      <w:r>
        <w:rPr>
          <w:b/>
          <w:bCs/>
          <w:spacing w:val="-4"/>
        </w:rPr>
        <w:t>第三部分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117002柳州市城中区人民法院2026年单位预算</w:t>
      </w:r>
      <w:r>
        <w:rPr>
          <w:b/>
          <w:bCs/>
          <w:spacing w:val="-6"/>
        </w:rPr>
        <w:t>报表</w:t>
      </w:r>
    </w:p>
    <w:sdt>
      <w:sdtPr>
        <w:rPr>
          <w:rFonts w:ascii="Arial" w:hAnsi="Arial" w:eastAsia="Arial" w:cs="Arial"/>
          <w:sz w:val="21"/>
          <w:szCs w:val="21"/>
        </w:rPr>
        <w:id w:val="0"/>
        <w:docPartObj>
          <w:docPartGallery w:val="Table of Contents"/>
          <w:docPartUnique/>
        </w:docPartObj>
      </w:sdtPr>
      <w:sdtEndPr>
        <w:rPr>
          <w:rFonts w:ascii="黑体" w:hAnsi="黑体" w:eastAsia="黑体" w:cs="黑体"/>
          <w:sz w:val="32"/>
          <w:szCs w:val="32"/>
        </w:rPr>
      </w:sdtEndPr>
      <w:sdtContent>
        <w:p>
          <w:pPr>
            <w:pStyle w:val="2"/>
            <w:spacing w:before="324" w:line="222" w:lineRule="auto"/>
            <w:ind w:left="642"/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b/>
              <w:bCs/>
              <w:spacing w:val="-4"/>
            </w:rPr>
            <w:t>第四部分</w:t>
          </w:r>
          <w:r>
            <w:rPr>
              <w:spacing w:val="-4"/>
            </w:rPr>
            <w:t xml:space="preserve"> </w:t>
          </w:r>
          <w:r>
            <w:rPr>
              <w:b/>
              <w:bCs/>
              <w:spacing w:val="-4"/>
            </w:rPr>
            <w:t>名词解释</w:t>
          </w:r>
          <w:r>
            <w:rPr>
              <w:b/>
              <w:bCs/>
              <w:spacing w:val="-4"/>
            </w:rPr>
            <w:fldChar w:fldCharType="end"/>
          </w:r>
        </w:p>
        <w:p>
          <w:pPr>
            <w:pStyle w:val="2"/>
            <w:spacing w:before="326" w:line="222" w:lineRule="auto"/>
            <w:ind w:left="642"/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b/>
              <w:bCs/>
              <w:spacing w:val="-8"/>
            </w:rPr>
            <w:t>第五部分</w:t>
          </w:r>
          <w:r>
            <w:rPr>
              <w:spacing w:val="30"/>
            </w:rPr>
            <w:t xml:space="preserve"> </w:t>
          </w:r>
          <w:r>
            <w:rPr>
              <w:b/>
              <w:bCs/>
              <w:spacing w:val="-8"/>
            </w:rPr>
            <w:t>附件</w:t>
          </w:r>
          <w:r>
            <w:rPr>
              <w:b/>
              <w:bCs/>
              <w:spacing w:val="-8"/>
            </w:rPr>
            <w:fldChar w:fldCharType="end"/>
          </w:r>
        </w:p>
      </w:sdtContent>
    </w:sdt>
    <w:p>
      <w:pPr>
        <w:spacing w:line="222" w:lineRule="auto"/>
        <w:sectPr>
          <w:pgSz w:w="11906" w:h="16838"/>
          <w:pgMar w:top="1142" w:right="1680" w:bottom="0" w:left="1749" w:header="0" w:footer="0" w:gutter="0"/>
        </w:sectPr>
      </w:pPr>
    </w:p>
    <w:p>
      <w:pPr>
        <w:pStyle w:val="2"/>
        <w:spacing w:before="89" w:line="186" w:lineRule="auto"/>
        <w:ind w:left="199"/>
        <w:rPr>
          <w:sz w:val="44"/>
          <w:szCs w:val="44"/>
        </w:rPr>
      </w:pPr>
      <w:r>
        <w:rPr>
          <w:spacing w:val="-1"/>
          <w:sz w:val="44"/>
          <w:szCs w:val="44"/>
        </w:rPr>
        <w:t>第一部分 117002柳州市城中区人民法院概</w:t>
      </w:r>
    </w:p>
    <w:p>
      <w:pPr>
        <w:pStyle w:val="2"/>
        <w:spacing w:before="1" w:line="221" w:lineRule="auto"/>
        <w:ind w:left="4056"/>
        <w:rPr>
          <w:sz w:val="44"/>
          <w:szCs w:val="44"/>
        </w:rPr>
      </w:pPr>
      <w:r>
        <w:rPr>
          <w:sz w:val="44"/>
          <w:szCs w:val="44"/>
        </w:rPr>
        <w:t>况</w:t>
      </w:r>
    </w:p>
    <w:p>
      <w:pPr>
        <w:spacing w:line="309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638"/>
      </w:pPr>
      <w:r>
        <w:rPr>
          <w:spacing w:val="-6"/>
        </w:rPr>
        <w:t>一、主要职责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98" w:line="369" w:lineRule="auto"/>
        <w:ind w:left="7" w:right="24" w:firstLine="59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（一）依法审判本院管辖的民事、行政案件和上级人民法院</w:t>
      </w:r>
      <w:r>
        <w:rPr>
          <w:rFonts w:ascii="仿宋" w:hAnsi="仿宋" w:eastAsia="仿宋" w:cs="仿宋"/>
          <w:spacing w:val="-11"/>
          <w:sz w:val="30"/>
          <w:szCs w:val="30"/>
        </w:rPr>
        <w:t>交由审判的案件；</w:t>
      </w:r>
    </w:p>
    <w:p>
      <w:pPr>
        <w:spacing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（二）依法受理国家赔偿案件和决定国家赔偿；</w:t>
      </w:r>
    </w:p>
    <w:p>
      <w:pPr>
        <w:spacing w:before="239" w:line="369" w:lineRule="auto"/>
        <w:ind w:right="22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（三）依法执行已发生法律效力的判决、裁定以及国家行政</w:t>
      </w:r>
      <w:r>
        <w:rPr>
          <w:rFonts w:ascii="仿宋" w:hAnsi="仿宋" w:eastAsia="仿宋" w:cs="仿宋"/>
          <w:spacing w:val="-7"/>
          <w:sz w:val="30"/>
          <w:szCs w:val="30"/>
        </w:rPr>
        <w:t>机关依法申请执行的案件；</w:t>
      </w:r>
    </w:p>
    <w:p>
      <w:pPr>
        <w:spacing w:before="1" w:line="369" w:lineRule="auto"/>
        <w:ind w:left="1" w:firstLine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（四）调查研究审判工作中适用法律、执行政策的疑难问</w:t>
      </w:r>
      <w:r>
        <w:rPr>
          <w:rFonts w:ascii="仿宋" w:hAnsi="仿宋" w:eastAsia="仿宋" w:cs="仿宋"/>
          <w:spacing w:val="16"/>
          <w:sz w:val="30"/>
          <w:szCs w:val="30"/>
        </w:rPr>
        <w:t>题，提出解决问题的办法、意见和司法建议，开展</w:t>
      </w:r>
      <w:r>
        <w:rPr>
          <w:rFonts w:ascii="仿宋" w:hAnsi="仿宋" w:eastAsia="仿宋" w:cs="仿宋"/>
          <w:spacing w:val="15"/>
          <w:sz w:val="30"/>
          <w:szCs w:val="30"/>
        </w:rPr>
        <w:t>司法统计工</w:t>
      </w:r>
      <w:r>
        <w:rPr>
          <w:rFonts w:ascii="仿宋" w:hAnsi="仿宋" w:eastAsia="仿宋" w:cs="仿宋"/>
          <w:spacing w:val="-6"/>
          <w:sz w:val="30"/>
          <w:szCs w:val="30"/>
        </w:rPr>
        <w:t>作，参与地方立法和综合治理工作；</w:t>
      </w:r>
    </w:p>
    <w:p>
      <w:pPr>
        <w:spacing w:before="1" w:line="220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（五）负责有关办案经费和物质装备的管理工作。</w:t>
      </w:r>
    </w:p>
    <w:p>
      <w:pPr>
        <w:spacing w:before="242" w:line="220" w:lineRule="auto"/>
        <w:ind w:left="5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2026年柳州市城中区人民法院的主要工作目标是：</w:t>
      </w:r>
    </w:p>
    <w:p>
      <w:pPr>
        <w:spacing w:before="243" w:line="369" w:lineRule="auto"/>
        <w:ind w:left="4" w:right="19" w:firstLine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（一）始终坚持学习贯彻习近平法治思想，坚持党对司法工</w:t>
      </w:r>
      <w:r>
        <w:rPr>
          <w:rFonts w:ascii="仿宋" w:hAnsi="仿宋" w:eastAsia="仿宋" w:cs="仿宋"/>
          <w:spacing w:val="-8"/>
          <w:sz w:val="30"/>
          <w:szCs w:val="30"/>
        </w:rPr>
        <w:t>作的绝对领导。</w:t>
      </w:r>
    </w:p>
    <w:p>
      <w:pPr>
        <w:spacing w:before="1" w:line="369" w:lineRule="auto"/>
        <w:ind w:right="18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（二）始终坚持聚焦审判执行中心工作，在执法办案中服务</w:t>
      </w:r>
      <w:r>
        <w:rPr>
          <w:rFonts w:ascii="仿宋" w:hAnsi="仿宋" w:eastAsia="仿宋" w:cs="仿宋"/>
          <w:spacing w:val="-5"/>
          <w:sz w:val="30"/>
          <w:szCs w:val="30"/>
        </w:rPr>
        <w:t>经济社会高质量发展大局。</w:t>
      </w:r>
    </w:p>
    <w:p>
      <w:pPr>
        <w:spacing w:before="1" w:line="369" w:lineRule="auto"/>
        <w:ind w:left="6" w:right="20" w:firstLine="5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（三）始终坚持以人民为中心，努力满足新时代人民群众对</w:t>
      </w:r>
      <w:r>
        <w:rPr>
          <w:rFonts w:ascii="仿宋" w:hAnsi="仿宋" w:eastAsia="仿宋" w:cs="仿宋"/>
          <w:spacing w:val="-7"/>
          <w:sz w:val="30"/>
          <w:szCs w:val="30"/>
        </w:rPr>
        <w:t>公正司法的新需求。</w:t>
      </w:r>
    </w:p>
    <w:p>
      <w:pPr>
        <w:spacing w:before="1" w:line="369" w:lineRule="auto"/>
        <w:ind w:left="6" w:right="20" w:firstLine="5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（四）始终坚持改革创新，努力推进审判体系和审判能力现</w:t>
      </w:r>
      <w:r>
        <w:rPr>
          <w:rFonts w:ascii="仿宋" w:hAnsi="仿宋" w:eastAsia="仿宋" w:cs="仿宋"/>
          <w:spacing w:val="-15"/>
          <w:sz w:val="30"/>
          <w:szCs w:val="30"/>
        </w:rPr>
        <w:t>代化。</w:t>
      </w:r>
    </w:p>
    <w:p>
      <w:pPr>
        <w:spacing w:before="1" w:line="220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（五）始终坚持全面从严治党，着力培养高</w:t>
      </w:r>
      <w:r>
        <w:rPr>
          <w:rFonts w:ascii="仿宋" w:hAnsi="仿宋" w:eastAsia="仿宋" w:cs="仿宋"/>
          <w:spacing w:val="-3"/>
          <w:sz w:val="30"/>
          <w:szCs w:val="30"/>
        </w:rPr>
        <w:t>素质法官队伍。</w:t>
      </w:r>
    </w:p>
    <w:p>
      <w:pPr>
        <w:spacing w:before="241" w:line="220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（六）始终坚持主动接受监督，加强和改进法院工作。</w:t>
      </w:r>
    </w:p>
    <w:p>
      <w:pPr>
        <w:spacing w:line="361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638"/>
      </w:pPr>
      <w:r>
        <w:rPr>
          <w:spacing w:val="-2"/>
        </w:rPr>
        <w:t>二、机构设置情况</w:t>
      </w:r>
    </w:p>
    <w:p>
      <w:pPr>
        <w:spacing w:line="222" w:lineRule="auto"/>
        <w:sectPr>
          <w:footerReference r:id="rId3" w:type="default"/>
          <w:pgSz w:w="11906" w:h="16838"/>
          <w:pgMar w:top="1123" w:right="1615" w:bottom="412" w:left="1759" w:header="0" w:footer="189" w:gutter="0"/>
        </w:sectPr>
      </w:pPr>
    </w:p>
    <w:p>
      <w:pPr>
        <w:spacing w:before="64" w:line="369" w:lineRule="auto"/>
        <w:ind w:firstLine="61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我院为广西法院检察院财物统一管理改革试点单位，从2020年起我院作为柳州市中级人民法院二级预算单位进行管理，为全额拨款行政单位。我院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设</w:t>
      </w:r>
      <w:r>
        <w:rPr>
          <w:rFonts w:ascii="仿宋" w:hAnsi="仿宋" w:eastAsia="仿宋" w:cs="仿宋"/>
          <w:spacing w:val="4"/>
          <w:sz w:val="30"/>
          <w:szCs w:val="30"/>
        </w:rPr>
        <w:t>有综合办公室、政治部、刑事审判庭、综合审判庭、民事审判庭、立案庭(诉讼服务中心)、审判管理办公</w:t>
      </w:r>
      <w:r>
        <w:rPr>
          <w:rFonts w:ascii="仿宋" w:hAnsi="仿宋" w:eastAsia="仿宋" w:cs="仿宋"/>
          <w:spacing w:val="-3"/>
          <w:sz w:val="30"/>
          <w:szCs w:val="30"/>
        </w:rPr>
        <w:t>室、执行局、司法警察大队</w:t>
      </w:r>
      <w:bookmarkStart w:id="0" w:name="_GoBack"/>
      <w:bookmarkEnd w:id="0"/>
      <w:r>
        <w:rPr>
          <w:rFonts w:ascii="仿宋" w:hAnsi="仿宋" w:eastAsia="仿宋" w:cs="仿宋"/>
          <w:spacing w:val="-3"/>
          <w:sz w:val="30"/>
          <w:szCs w:val="30"/>
        </w:rPr>
        <w:t>共计9个部门。</w:t>
      </w:r>
    </w:p>
    <w:p>
      <w:pPr>
        <w:spacing w:line="369" w:lineRule="auto"/>
        <w:rPr>
          <w:rFonts w:ascii="仿宋" w:hAnsi="仿宋" w:eastAsia="仿宋" w:cs="仿宋"/>
          <w:sz w:val="30"/>
          <w:szCs w:val="30"/>
        </w:rPr>
        <w:sectPr>
          <w:footerReference r:id="rId4" w:type="default"/>
          <w:pgSz w:w="11906" w:h="16838"/>
          <w:pgMar w:top="1054" w:right="1615" w:bottom="412" w:left="1758" w:header="0" w:footer="189" w:gutter="0"/>
        </w:sectPr>
      </w:pPr>
    </w:p>
    <w:p>
      <w:pPr>
        <w:pStyle w:val="2"/>
        <w:spacing w:before="89" w:line="186" w:lineRule="auto"/>
        <w:ind w:left="426"/>
        <w:rPr>
          <w:sz w:val="44"/>
          <w:szCs w:val="44"/>
        </w:rPr>
      </w:pPr>
      <w:r>
        <w:rPr>
          <w:spacing w:val="-1"/>
          <w:sz w:val="44"/>
          <w:szCs w:val="44"/>
        </w:rPr>
        <w:t>第二部分 117002柳州市城中区人民法院</w:t>
      </w:r>
    </w:p>
    <w:p>
      <w:pPr>
        <w:pStyle w:val="2"/>
        <w:spacing w:before="1" w:line="219" w:lineRule="auto"/>
        <w:ind w:left="1853"/>
        <w:rPr>
          <w:sz w:val="44"/>
          <w:szCs w:val="44"/>
        </w:rPr>
      </w:pPr>
      <w:r>
        <w:rPr>
          <w:spacing w:val="-1"/>
          <w:sz w:val="44"/>
          <w:szCs w:val="44"/>
        </w:rPr>
        <w:t>2026年单位预算情况说明</w:t>
      </w: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644"/>
      </w:pPr>
      <w:r>
        <w:rPr>
          <w:spacing w:val="-4"/>
        </w:rPr>
        <w:t>一、单位收支总体情况说明</w:t>
      </w:r>
    </w:p>
    <w:p>
      <w:pPr>
        <w:spacing w:line="365" w:lineRule="auto"/>
        <w:rPr>
          <w:rFonts w:ascii="Arial"/>
          <w:sz w:val="21"/>
        </w:rPr>
      </w:pPr>
    </w:p>
    <w:p>
      <w:pPr>
        <w:spacing w:before="97" w:line="370" w:lineRule="auto"/>
        <w:ind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2026年单位收支总预算2,788.6</w:t>
      </w:r>
      <w:r>
        <w:rPr>
          <w:rFonts w:ascii="仿宋" w:hAnsi="仿宋" w:eastAsia="仿宋" w:cs="仿宋"/>
          <w:spacing w:val="-1"/>
          <w:sz w:val="30"/>
          <w:szCs w:val="30"/>
        </w:rPr>
        <w:t>8万元，同比增加86.66万元，</w:t>
      </w:r>
      <w:r>
        <w:rPr>
          <w:rFonts w:ascii="仿宋" w:hAnsi="仿宋" w:eastAsia="仿宋" w:cs="仿宋"/>
          <w:sz w:val="30"/>
          <w:szCs w:val="30"/>
        </w:rPr>
        <w:t>同比增长3.21%。收入包括：一般公共</w:t>
      </w:r>
      <w:r>
        <w:rPr>
          <w:rFonts w:ascii="仿宋" w:hAnsi="仿宋" w:eastAsia="仿宋" w:cs="仿宋"/>
          <w:spacing w:val="-1"/>
          <w:sz w:val="30"/>
          <w:szCs w:val="30"/>
        </w:rPr>
        <w:t>预算拨款2,788.68万元。支</w:t>
      </w:r>
      <w:r>
        <w:rPr>
          <w:rFonts w:ascii="仿宋" w:hAnsi="仿宋" w:eastAsia="仿宋" w:cs="仿宋"/>
          <w:spacing w:val="22"/>
          <w:sz w:val="30"/>
          <w:szCs w:val="30"/>
        </w:rPr>
        <w:t>出包括：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公共安全支出2,273.71万元、社会保障和就</w:t>
      </w:r>
      <w:r>
        <w:rPr>
          <w:rFonts w:ascii="仿宋" w:hAnsi="仿宋" w:eastAsia="仿宋" w:cs="仿宋"/>
          <w:spacing w:val="21"/>
          <w:sz w:val="30"/>
          <w:szCs w:val="30"/>
        </w:rPr>
        <w:t>业支出</w:t>
      </w:r>
      <w:r>
        <w:rPr>
          <w:rFonts w:ascii="仿宋" w:hAnsi="仿宋" w:eastAsia="仿宋" w:cs="仿宋"/>
          <w:spacing w:val="4"/>
          <w:sz w:val="30"/>
          <w:szCs w:val="30"/>
        </w:rPr>
        <w:t>265.47万元、卫生健康支出137.97万元</w:t>
      </w:r>
      <w:r>
        <w:rPr>
          <w:rFonts w:ascii="仿宋" w:hAnsi="仿宋" w:eastAsia="仿宋" w:cs="仿宋"/>
          <w:spacing w:val="3"/>
          <w:sz w:val="30"/>
          <w:szCs w:val="30"/>
        </w:rPr>
        <w:t>、住房保障支出111.53万</w:t>
      </w:r>
      <w:r>
        <w:rPr>
          <w:rFonts w:ascii="仿宋" w:hAnsi="仿宋" w:eastAsia="仿宋" w:cs="仿宋"/>
          <w:spacing w:val="-14"/>
          <w:sz w:val="30"/>
          <w:szCs w:val="30"/>
        </w:rPr>
        <w:t>元。</w:t>
      </w:r>
    </w:p>
    <w:p>
      <w:pPr>
        <w:pStyle w:val="2"/>
        <w:spacing w:before="215" w:line="221" w:lineRule="auto"/>
        <w:ind w:left="644"/>
      </w:pPr>
      <w:r>
        <w:rPr>
          <w:spacing w:val="-2"/>
        </w:rPr>
        <w:t>二、单位收入总体情况说明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98" w:line="369" w:lineRule="auto"/>
        <w:ind w:left="41" w:right="62" w:firstLine="55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2026年单位收入总预算2,788.68万元，同比增加</w:t>
      </w:r>
      <w:r>
        <w:rPr>
          <w:rFonts w:ascii="仿宋" w:hAnsi="仿宋" w:eastAsia="仿宋" w:cs="仿宋"/>
          <w:spacing w:val="-3"/>
          <w:sz w:val="30"/>
          <w:szCs w:val="30"/>
        </w:rPr>
        <w:t>86.66万元，</w:t>
      </w:r>
      <w:r>
        <w:rPr>
          <w:rFonts w:ascii="仿宋" w:hAnsi="仿宋" w:eastAsia="仿宋" w:cs="仿宋"/>
          <w:spacing w:val="-9"/>
          <w:sz w:val="30"/>
          <w:szCs w:val="30"/>
        </w:rPr>
        <w:t>同比增长3.21%。其中：</w:t>
      </w:r>
    </w:p>
    <w:p>
      <w:pPr>
        <w:spacing w:before="1" w:line="369" w:lineRule="auto"/>
        <w:ind w:left="41" w:right="62" w:firstLine="5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一般公共预算拨款收入2,788.68万元，同比增加86.66万元，</w:t>
      </w:r>
      <w:r>
        <w:rPr>
          <w:rFonts w:ascii="仿宋" w:hAnsi="仿宋" w:eastAsia="仿宋" w:cs="仿宋"/>
          <w:spacing w:val="-8"/>
          <w:sz w:val="30"/>
          <w:szCs w:val="30"/>
        </w:rPr>
        <w:t>同比增长3.21%。</w:t>
      </w:r>
    </w:p>
    <w:p>
      <w:pPr>
        <w:spacing w:before="2" w:line="369" w:lineRule="auto"/>
        <w:ind w:left="4" w:firstLine="59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2026年收入预算总体增加的主要原因：人员变</w:t>
      </w:r>
      <w:r>
        <w:rPr>
          <w:rFonts w:ascii="仿宋" w:hAnsi="仿宋" w:eastAsia="仿宋" w:cs="仿宋"/>
          <w:spacing w:val="4"/>
          <w:sz w:val="30"/>
          <w:szCs w:val="30"/>
        </w:rPr>
        <w:t>动，相应的人</w:t>
      </w:r>
      <w:r>
        <w:rPr>
          <w:rFonts w:ascii="仿宋" w:hAnsi="仿宋" w:eastAsia="仿宋" w:cs="仿宋"/>
          <w:spacing w:val="2"/>
          <w:sz w:val="30"/>
          <w:szCs w:val="30"/>
        </w:rPr>
        <w:t>员经费和公用经费增加；随着工资的变动，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以工资收入为计算基</w:t>
      </w:r>
      <w:r>
        <w:rPr>
          <w:rFonts w:ascii="仿宋" w:hAnsi="仿宋" w:eastAsia="仿宋" w:cs="仿宋"/>
          <w:spacing w:val="-4"/>
          <w:sz w:val="30"/>
          <w:szCs w:val="30"/>
        </w:rPr>
        <w:t>数的社保、医保以及公积金随之增长。</w:t>
      </w:r>
    </w:p>
    <w:p>
      <w:pPr>
        <w:pStyle w:val="2"/>
        <w:spacing w:before="224" w:line="221" w:lineRule="auto"/>
        <w:ind w:left="645"/>
      </w:pPr>
      <w:r>
        <w:rPr>
          <w:spacing w:val="-2"/>
        </w:rPr>
        <w:t>三、单位支出总体情况说明</w:t>
      </w:r>
    </w:p>
    <w:p>
      <w:pPr>
        <w:spacing w:line="362" w:lineRule="auto"/>
        <w:rPr>
          <w:rFonts w:ascii="Arial"/>
          <w:sz w:val="21"/>
        </w:rPr>
      </w:pPr>
    </w:p>
    <w:p>
      <w:pPr>
        <w:spacing w:before="99" w:line="369" w:lineRule="auto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3"/>
          <w:sz w:val="30"/>
          <w:szCs w:val="30"/>
        </w:rPr>
        <w:t>2026年单位支出总预算2,788.68万元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，基本支出预算</w:t>
      </w:r>
      <w:r>
        <w:rPr>
          <w:rFonts w:ascii="仿宋" w:hAnsi="仿宋" w:eastAsia="仿宋" w:cs="仿宋"/>
          <w:spacing w:val="-2"/>
          <w:sz w:val="30"/>
          <w:szCs w:val="30"/>
        </w:rPr>
        <w:t>2,305.26万元，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占支出总预算82.66%，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同比增加138.06万元，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同</w:t>
      </w:r>
      <w:r>
        <w:rPr>
          <w:rFonts w:ascii="仿宋" w:hAnsi="仿宋" w:eastAsia="仿宋" w:cs="仿宋"/>
          <w:sz w:val="30"/>
          <w:szCs w:val="30"/>
        </w:rPr>
        <w:t>比增长6.37%。项目支出预算483.42</w:t>
      </w:r>
      <w:r>
        <w:rPr>
          <w:rFonts w:ascii="仿宋" w:hAnsi="仿宋" w:eastAsia="仿宋" w:cs="仿宋"/>
          <w:spacing w:val="-1"/>
          <w:sz w:val="30"/>
          <w:szCs w:val="30"/>
        </w:rPr>
        <w:t>万元，占支出总预算17.34%，</w:t>
      </w:r>
      <w:r>
        <w:rPr>
          <w:rFonts w:ascii="仿宋" w:hAnsi="仿宋" w:eastAsia="仿宋" w:cs="仿宋"/>
          <w:spacing w:val="-2"/>
          <w:sz w:val="30"/>
          <w:szCs w:val="30"/>
        </w:rPr>
        <w:t>同比减少51.41万元，同比下降9.61%。</w:t>
      </w:r>
    </w:p>
    <w:p>
      <w:pPr>
        <w:spacing w:before="1" w:line="221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（一）按支出功能分类科目划分，共分为4类，其中：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6" w:h="16838"/>
          <w:pgMar w:top="1123" w:right="1615" w:bottom="481" w:left="1754" w:header="0" w:footer="162" w:gutter="0"/>
        </w:sectPr>
      </w:pPr>
    </w:p>
    <w:p>
      <w:pPr>
        <w:spacing w:before="62" w:line="369" w:lineRule="auto"/>
        <w:ind w:firstLine="61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1.公共安全支出2,273.71万元，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占支出总预算81.53%，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同比</w:t>
      </w:r>
      <w:r>
        <w:rPr>
          <w:rFonts w:ascii="仿宋" w:hAnsi="仿宋" w:eastAsia="仿宋" w:cs="仿宋"/>
          <w:spacing w:val="11"/>
          <w:sz w:val="30"/>
          <w:szCs w:val="30"/>
        </w:rPr>
        <w:t>增加30.77万元，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同比增长1.37%，增加的主</w:t>
      </w:r>
      <w:r>
        <w:rPr>
          <w:rFonts w:ascii="仿宋" w:hAnsi="仿宋" w:eastAsia="仿宋" w:cs="仿宋"/>
          <w:spacing w:val="10"/>
          <w:sz w:val="30"/>
          <w:szCs w:val="30"/>
        </w:rPr>
        <w:t>要原因是：人员变</w:t>
      </w:r>
      <w:r>
        <w:rPr>
          <w:rFonts w:ascii="仿宋" w:hAnsi="仿宋" w:eastAsia="仿宋" w:cs="仿宋"/>
          <w:spacing w:val="-4"/>
          <w:sz w:val="30"/>
          <w:szCs w:val="30"/>
        </w:rPr>
        <w:t>动，相应的人员经费和公用经费增加。</w:t>
      </w:r>
    </w:p>
    <w:p>
      <w:pPr>
        <w:spacing w:before="1" w:line="369" w:lineRule="auto"/>
        <w:ind w:left="4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2.社会保障和就业支出265.47万元，占支出总预算9.52%，同比增加24.94万元，同比增长10.37%，增加的主要原因是：人员变</w:t>
      </w:r>
      <w:r>
        <w:rPr>
          <w:rFonts w:ascii="仿宋" w:hAnsi="仿宋" w:eastAsia="仿宋" w:cs="仿宋"/>
          <w:spacing w:val="2"/>
          <w:sz w:val="30"/>
          <w:szCs w:val="30"/>
        </w:rPr>
        <w:t>动，相应的人员经费和公用经费增加；随着工资的变动，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以工资</w:t>
      </w:r>
      <w:r>
        <w:rPr>
          <w:rFonts w:ascii="仿宋" w:hAnsi="仿宋" w:eastAsia="仿宋" w:cs="仿宋"/>
          <w:spacing w:val="-3"/>
          <w:sz w:val="30"/>
          <w:szCs w:val="30"/>
        </w:rPr>
        <w:t>收入为计算基数的社保、医保以及公积金随之增长。</w:t>
      </w:r>
    </w:p>
    <w:p>
      <w:pPr>
        <w:spacing w:before="1" w:line="369" w:lineRule="auto"/>
        <w:ind w:firstLine="5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3.卫生健康支出137.97万元，占支出总预算4.95%，同比增加12.72万元，同比增长10.16%，增加的主要原因是：人员变动，相</w:t>
      </w:r>
      <w:r>
        <w:rPr>
          <w:rFonts w:ascii="仿宋" w:hAnsi="仿宋" w:eastAsia="仿宋" w:cs="仿宋"/>
          <w:spacing w:val="2"/>
          <w:sz w:val="30"/>
          <w:szCs w:val="30"/>
        </w:rPr>
        <w:t>应的人员经费和公用经费增加；随着工资的变动，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以工资收入为</w:t>
      </w:r>
      <w:r>
        <w:rPr>
          <w:rFonts w:ascii="仿宋" w:hAnsi="仿宋" w:eastAsia="仿宋" w:cs="仿宋"/>
          <w:spacing w:val="-3"/>
          <w:sz w:val="30"/>
          <w:szCs w:val="30"/>
        </w:rPr>
        <w:t>计算基数的社保、医保以及公积金随之增长。</w:t>
      </w:r>
    </w:p>
    <w:p>
      <w:pPr>
        <w:spacing w:before="1" w:line="369" w:lineRule="auto"/>
        <w:ind w:firstLine="5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4.住房保障支出111.53万元，占支出总预</w:t>
      </w:r>
      <w:r>
        <w:rPr>
          <w:rFonts w:ascii="仿宋" w:hAnsi="仿宋" w:eastAsia="仿宋" w:cs="仿宋"/>
          <w:spacing w:val="-1"/>
          <w:sz w:val="30"/>
          <w:szCs w:val="30"/>
        </w:rPr>
        <w:t>算4.00%，同比增加18.22万元，同比增长19.53%，增加的主要原因是：人员变动，相</w:t>
      </w:r>
      <w:r>
        <w:rPr>
          <w:rFonts w:ascii="仿宋" w:hAnsi="仿宋" w:eastAsia="仿宋" w:cs="仿宋"/>
          <w:spacing w:val="2"/>
          <w:sz w:val="30"/>
          <w:szCs w:val="30"/>
        </w:rPr>
        <w:t>应的人员经费和公用经费增加；随着工资的变动，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以工资收入为</w:t>
      </w:r>
      <w:r>
        <w:rPr>
          <w:rFonts w:ascii="仿宋" w:hAnsi="仿宋" w:eastAsia="仿宋" w:cs="仿宋"/>
          <w:spacing w:val="-3"/>
          <w:sz w:val="30"/>
          <w:szCs w:val="30"/>
        </w:rPr>
        <w:t>计算基数的社保、医保以及公积金随之增长。</w:t>
      </w:r>
    </w:p>
    <w:p>
      <w:pPr>
        <w:spacing w:line="369" w:lineRule="auto"/>
        <w:ind w:left="3" w:right="43" w:firstLine="5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（二）按支出结构分类划分，分为基本支出预算和项目支出</w:t>
      </w:r>
      <w:r>
        <w:rPr>
          <w:rFonts w:ascii="仿宋" w:hAnsi="仿宋" w:eastAsia="仿宋" w:cs="仿宋"/>
          <w:spacing w:val="-14"/>
          <w:sz w:val="30"/>
          <w:szCs w:val="30"/>
        </w:rPr>
        <w:t>预算。</w:t>
      </w:r>
    </w:p>
    <w:p>
      <w:pPr>
        <w:spacing w:before="1" w:line="369" w:lineRule="auto"/>
        <w:ind w:firstLine="61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1.基本支出预算2,305.26万元，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占支出总预算82.66%，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同比</w:t>
      </w:r>
      <w:r>
        <w:rPr>
          <w:rFonts w:ascii="仿宋" w:hAnsi="仿宋" w:eastAsia="仿宋" w:cs="仿宋"/>
          <w:spacing w:val="-2"/>
          <w:sz w:val="30"/>
          <w:szCs w:val="30"/>
        </w:rPr>
        <w:t>增加138.06万元，同比增长6.37%。</w:t>
      </w:r>
    </w:p>
    <w:p>
      <w:pPr>
        <w:spacing w:before="1" w:line="369" w:lineRule="auto"/>
        <w:ind w:firstLine="5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2.项目支出预算483.42万元，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占支出总预</w:t>
      </w:r>
      <w:r>
        <w:rPr>
          <w:rFonts w:ascii="仿宋" w:hAnsi="仿宋" w:eastAsia="仿宋" w:cs="仿宋"/>
          <w:spacing w:val="-1"/>
          <w:sz w:val="30"/>
          <w:szCs w:val="30"/>
        </w:rPr>
        <w:t>算17.34%，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同比减</w:t>
      </w:r>
      <w:r>
        <w:rPr>
          <w:rFonts w:ascii="仿宋" w:hAnsi="仿宋" w:eastAsia="仿宋" w:cs="仿宋"/>
          <w:spacing w:val="-3"/>
          <w:sz w:val="30"/>
          <w:szCs w:val="30"/>
        </w:rPr>
        <w:t>少51.41万元，同比下降9.61%。</w:t>
      </w:r>
    </w:p>
    <w:p>
      <w:pPr>
        <w:spacing w:before="2" w:line="369" w:lineRule="auto"/>
        <w:ind w:firstLine="59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2026年支出预算总体增加的主要原因：人员变</w:t>
      </w:r>
      <w:r>
        <w:rPr>
          <w:rFonts w:ascii="仿宋" w:hAnsi="仿宋" w:eastAsia="仿宋" w:cs="仿宋"/>
          <w:spacing w:val="4"/>
          <w:sz w:val="30"/>
          <w:szCs w:val="30"/>
        </w:rPr>
        <w:t>动，相应的人</w:t>
      </w:r>
      <w:r>
        <w:rPr>
          <w:rFonts w:ascii="仿宋" w:hAnsi="仿宋" w:eastAsia="仿宋" w:cs="仿宋"/>
          <w:spacing w:val="2"/>
          <w:sz w:val="30"/>
          <w:szCs w:val="30"/>
        </w:rPr>
        <w:t>员经费和公用经费增加；随着工资的变动，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以工资收入为计算基</w:t>
      </w:r>
      <w:r>
        <w:rPr>
          <w:rFonts w:ascii="仿宋" w:hAnsi="仿宋" w:eastAsia="仿宋" w:cs="仿宋"/>
          <w:spacing w:val="-4"/>
          <w:sz w:val="30"/>
          <w:szCs w:val="30"/>
        </w:rPr>
        <w:t>数的社保、医保以及公积金随之增长。</w:t>
      </w:r>
    </w:p>
    <w:p>
      <w:pPr>
        <w:pStyle w:val="2"/>
        <w:spacing w:before="224" w:line="221" w:lineRule="auto"/>
        <w:ind w:left="653"/>
      </w:pPr>
      <w:r>
        <w:rPr>
          <w:spacing w:val="-2"/>
        </w:rPr>
        <w:t>四、财政拨款收支总体情况说明</w:t>
      </w:r>
    </w:p>
    <w:p>
      <w:pPr>
        <w:spacing w:line="221" w:lineRule="auto"/>
        <w:sectPr>
          <w:footerReference r:id="rId6" w:type="default"/>
          <w:pgSz w:w="11906" w:h="16838"/>
          <w:pgMar w:top="805" w:right="1615" w:bottom="411" w:left="1758" w:header="0" w:footer="189" w:gutter="0"/>
        </w:sectPr>
      </w:pPr>
    </w:p>
    <w:p>
      <w:pPr>
        <w:spacing w:before="63" w:line="369" w:lineRule="auto"/>
        <w:ind w:left="5" w:firstLine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2026年单位财政拨款收支总预算2,788.68万元，收入包括：</w:t>
      </w:r>
      <w:r>
        <w:rPr>
          <w:rFonts w:ascii="仿宋" w:hAnsi="仿宋" w:eastAsia="仿宋" w:cs="仿宋"/>
          <w:spacing w:val="3"/>
          <w:sz w:val="30"/>
          <w:szCs w:val="30"/>
        </w:rPr>
        <w:t>一般公共预算2,788.68万元；支出包括：公共安全支出2,273.71</w:t>
      </w:r>
      <w:r>
        <w:rPr>
          <w:rFonts w:ascii="仿宋" w:hAnsi="仿宋" w:eastAsia="仿宋" w:cs="仿宋"/>
          <w:spacing w:val="4"/>
          <w:sz w:val="30"/>
          <w:szCs w:val="30"/>
        </w:rPr>
        <w:t>万元、社会保障和就业支出265.47万元、卫生健</w:t>
      </w:r>
      <w:r>
        <w:rPr>
          <w:rFonts w:ascii="仿宋" w:hAnsi="仿宋" w:eastAsia="仿宋" w:cs="仿宋"/>
          <w:spacing w:val="3"/>
          <w:sz w:val="30"/>
          <w:szCs w:val="30"/>
        </w:rPr>
        <w:t>康支出137.97万</w:t>
      </w:r>
      <w:r>
        <w:rPr>
          <w:rFonts w:ascii="仿宋" w:hAnsi="仿宋" w:eastAsia="仿宋" w:cs="仿宋"/>
          <w:spacing w:val="-3"/>
          <w:sz w:val="30"/>
          <w:szCs w:val="30"/>
        </w:rPr>
        <w:t>元、住房保障支出111.53万元。</w:t>
      </w:r>
    </w:p>
    <w:p>
      <w:pPr>
        <w:pStyle w:val="2"/>
        <w:spacing w:before="224" w:line="221" w:lineRule="auto"/>
        <w:ind w:left="645"/>
      </w:pPr>
      <w:r>
        <w:rPr>
          <w:spacing w:val="-2"/>
        </w:rPr>
        <w:t>五、一般公共预算支出情况说明</w:t>
      </w:r>
    </w:p>
    <w:p>
      <w:pPr>
        <w:spacing w:line="362" w:lineRule="auto"/>
        <w:rPr>
          <w:rFonts w:ascii="Arial"/>
          <w:sz w:val="21"/>
        </w:rPr>
      </w:pPr>
    </w:p>
    <w:p>
      <w:pPr>
        <w:spacing w:before="97" w:line="369" w:lineRule="auto"/>
        <w:ind w:left="4" w:firstLine="59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2026年单位一般公共预算拨款支出2,788.68万元，其中：基</w:t>
      </w:r>
      <w:r>
        <w:rPr>
          <w:rFonts w:ascii="仿宋" w:hAnsi="仿宋" w:eastAsia="仿宋" w:cs="仿宋"/>
          <w:spacing w:val="13"/>
          <w:sz w:val="30"/>
          <w:szCs w:val="30"/>
        </w:rPr>
        <w:t>本支出2,305.26万元，项目支出4</w:t>
      </w:r>
      <w:r>
        <w:rPr>
          <w:rFonts w:ascii="仿宋" w:hAnsi="仿宋" w:eastAsia="仿宋" w:cs="仿宋"/>
          <w:spacing w:val="12"/>
          <w:sz w:val="30"/>
          <w:szCs w:val="30"/>
        </w:rPr>
        <w:t>83.42万元。具体支出预算如</w:t>
      </w:r>
      <w:r>
        <w:rPr>
          <w:rFonts w:ascii="仿宋" w:hAnsi="仿宋" w:eastAsia="仿宋" w:cs="仿宋"/>
          <w:spacing w:val="-22"/>
          <w:sz w:val="30"/>
          <w:szCs w:val="30"/>
        </w:rPr>
        <w:t>下：</w:t>
      </w:r>
    </w:p>
    <w:p>
      <w:pPr>
        <w:spacing w:before="3" w:line="368" w:lineRule="auto"/>
        <w:ind w:left="6" w:firstLine="5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（一）公共安全支出（类）法院（款）行政运行（项）支出</w:t>
      </w:r>
      <w:r>
        <w:rPr>
          <w:rFonts w:ascii="仿宋" w:hAnsi="仿宋" w:eastAsia="仿宋" w:cs="仿宋"/>
          <w:spacing w:val="4"/>
          <w:sz w:val="30"/>
          <w:szCs w:val="30"/>
        </w:rPr>
        <w:t>1,790.29万元，全部为基本支出。主要用于：为保证法院</w:t>
      </w:r>
      <w:r>
        <w:rPr>
          <w:rFonts w:ascii="仿宋" w:hAnsi="仿宋" w:eastAsia="仿宋" w:cs="仿宋"/>
          <w:spacing w:val="3"/>
          <w:sz w:val="30"/>
          <w:szCs w:val="30"/>
        </w:rPr>
        <w:t>日常运</w:t>
      </w:r>
      <w:r>
        <w:rPr>
          <w:rFonts w:ascii="仿宋" w:hAnsi="仿宋" w:eastAsia="仿宋" w:cs="仿宋"/>
          <w:spacing w:val="-3"/>
          <w:sz w:val="30"/>
          <w:szCs w:val="30"/>
        </w:rPr>
        <w:t>转而发生的人员经费支出和日常公用经费支出等。</w:t>
      </w:r>
    </w:p>
    <w:p>
      <w:pPr>
        <w:spacing w:before="3" w:line="369" w:lineRule="auto"/>
        <w:ind w:left="3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（二）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公共安全支出（类）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法院（款）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一般行政管理事务</w:t>
      </w:r>
      <w:r>
        <w:rPr>
          <w:rFonts w:ascii="仿宋" w:hAnsi="仿宋" w:eastAsia="仿宋" w:cs="仿宋"/>
          <w:spacing w:val="4"/>
          <w:sz w:val="30"/>
          <w:szCs w:val="30"/>
        </w:rPr>
        <w:t>（项）支出240.13万元，全部为项目支出。主要用于：司法改革</w:t>
      </w:r>
      <w:r>
        <w:rPr>
          <w:rFonts w:ascii="仿宋" w:hAnsi="仿宋" w:eastAsia="仿宋" w:cs="仿宋"/>
          <w:spacing w:val="-6"/>
          <w:sz w:val="30"/>
          <w:szCs w:val="30"/>
        </w:rPr>
        <w:t>绩效和干警体检费用。</w:t>
      </w:r>
    </w:p>
    <w:p>
      <w:pPr>
        <w:spacing w:before="2" w:line="369" w:lineRule="auto"/>
        <w:ind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（三）公共安全支出（类）法院（款）案件审判（项）支出</w:t>
      </w:r>
      <w:r>
        <w:rPr>
          <w:rFonts w:ascii="仿宋" w:hAnsi="仿宋" w:eastAsia="仿宋" w:cs="仿宋"/>
          <w:spacing w:val="-1"/>
          <w:sz w:val="30"/>
          <w:szCs w:val="30"/>
        </w:rPr>
        <w:t>56.40万元，全部为项目支出。主要用于：法院为完成各项审判工</w:t>
      </w:r>
      <w:r>
        <w:rPr>
          <w:rFonts w:ascii="仿宋" w:hAnsi="仿宋" w:eastAsia="仿宋" w:cs="仿宋"/>
          <w:spacing w:val="-4"/>
          <w:sz w:val="30"/>
          <w:szCs w:val="30"/>
        </w:rPr>
        <w:t>作任务而发生的办案业务支出等。</w:t>
      </w:r>
    </w:p>
    <w:p>
      <w:pPr>
        <w:spacing w:before="1" w:line="369" w:lineRule="auto"/>
        <w:ind w:left="8" w:firstLine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（四）公共安全支出（类）法院（款）案件执行（项）支出</w:t>
      </w:r>
      <w:r>
        <w:rPr>
          <w:rFonts w:ascii="仿宋" w:hAnsi="仿宋" w:eastAsia="仿宋" w:cs="仿宋"/>
          <w:spacing w:val="-1"/>
          <w:sz w:val="30"/>
          <w:szCs w:val="30"/>
        </w:rPr>
        <w:t>15.76万元，全部为项目支出。主要用于：法院为完成各项执行工</w:t>
      </w:r>
      <w:r>
        <w:rPr>
          <w:rFonts w:ascii="仿宋" w:hAnsi="仿宋" w:eastAsia="仿宋" w:cs="仿宋"/>
          <w:spacing w:val="-5"/>
          <w:sz w:val="30"/>
          <w:szCs w:val="30"/>
        </w:rPr>
        <w:t>作任务而发生的办案业务支出等。</w:t>
      </w:r>
    </w:p>
    <w:p>
      <w:pPr>
        <w:spacing w:before="1" w:line="369" w:lineRule="auto"/>
        <w:ind w:left="3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（五）公共安全支出（类）法院（款）“两庭”建设（项）</w:t>
      </w:r>
      <w:r>
        <w:rPr>
          <w:rFonts w:ascii="仿宋" w:hAnsi="仿宋" w:eastAsia="仿宋" w:cs="仿宋"/>
          <w:spacing w:val="9"/>
          <w:sz w:val="30"/>
          <w:szCs w:val="30"/>
        </w:rPr>
        <w:t>支出15.15万元，全部为项目支出。主要用于：人民法院审判用</w:t>
      </w:r>
      <w:r>
        <w:rPr>
          <w:rFonts w:ascii="仿宋" w:hAnsi="仿宋" w:eastAsia="仿宋" w:cs="仿宋"/>
          <w:spacing w:val="-3"/>
          <w:sz w:val="30"/>
          <w:szCs w:val="30"/>
        </w:rPr>
        <w:t>房、人民法庭用房建设维修和设备购置等支出。</w:t>
      </w:r>
    </w:p>
    <w:p>
      <w:pPr>
        <w:spacing w:before="1" w:line="221" w:lineRule="auto"/>
        <w:ind w:right="6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（六）公共安全支出（类）法院（款）其他</w:t>
      </w:r>
      <w:r>
        <w:rPr>
          <w:rFonts w:ascii="仿宋" w:hAnsi="仿宋" w:eastAsia="仿宋" w:cs="仿宋"/>
          <w:spacing w:val="4"/>
          <w:sz w:val="30"/>
          <w:szCs w:val="30"/>
        </w:rPr>
        <w:t>法院支出（项）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06" w:h="16838"/>
          <w:pgMar w:top="877" w:right="1615" w:bottom="481" w:left="1756" w:header="0" w:footer="162" w:gutter="0"/>
        </w:sectPr>
      </w:pPr>
    </w:p>
    <w:p>
      <w:pPr>
        <w:spacing w:before="61" w:line="369" w:lineRule="auto"/>
        <w:ind w:left="1" w:hanging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支出155.98万元，全部为项目支出。主要用于：法院为完成其他</w:t>
      </w:r>
      <w:r>
        <w:rPr>
          <w:rFonts w:ascii="仿宋" w:hAnsi="仿宋" w:eastAsia="仿宋" w:cs="仿宋"/>
          <w:spacing w:val="-3"/>
          <w:sz w:val="30"/>
          <w:szCs w:val="30"/>
        </w:rPr>
        <w:t>各项法院方面工作任务而发生的办案业务支出等。</w:t>
      </w:r>
    </w:p>
    <w:p>
      <w:pPr>
        <w:spacing w:before="1" w:line="369" w:lineRule="auto"/>
        <w:ind w:right="39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（七）社会保障和就业支出（类）行政事业单位养老支出</w:t>
      </w:r>
      <w:r>
        <w:rPr>
          <w:rFonts w:ascii="仿宋" w:hAnsi="仿宋" w:eastAsia="仿宋" w:cs="仿宋"/>
          <w:spacing w:val="-2"/>
          <w:sz w:val="30"/>
          <w:szCs w:val="30"/>
        </w:rPr>
        <w:t>（款）行政单位离退休（项）支出59.69万元，全部为基本支出。</w:t>
      </w:r>
      <w:r>
        <w:rPr>
          <w:rFonts w:ascii="仿宋" w:hAnsi="仿宋" w:eastAsia="仿宋" w:cs="仿宋"/>
          <w:spacing w:val="-4"/>
          <w:sz w:val="30"/>
          <w:szCs w:val="30"/>
        </w:rPr>
        <w:t>主要用于：法院退休人员费用支出。</w:t>
      </w:r>
    </w:p>
    <w:p>
      <w:pPr>
        <w:spacing w:line="369" w:lineRule="auto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（八）社会保障和就业支出（类）行政事业单位养老支出</w:t>
      </w:r>
      <w:r>
        <w:rPr>
          <w:rFonts w:ascii="仿宋" w:hAnsi="仿宋" w:eastAsia="仿宋" w:cs="仿宋"/>
          <w:spacing w:val="4"/>
          <w:sz w:val="30"/>
          <w:szCs w:val="30"/>
        </w:rPr>
        <w:t>（款）机关事业单位基本养老保险缴费支出（项）支出137.19万元，全部为基本支出。主要用于：支付根据市统一规定，按柳州</w:t>
      </w:r>
      <w:r>
        <w:rPr>
          <w:rFonts w:ascii="仿宋" w:hAnsi="仿宋" w:eastAsia="仿宋" w:cs="仿宋"/>
          <w:spacing w:val="-2"/>
          <w:sz w:val="30"/>
          <w:szCs w:val="30"/>
        </w:rPr>
        <w:t>市法院在职职工工资总额的一定比例计缴的基本养老保险</w:t>
      </w:r>
      <w:r>
        <w:rPr>
          <w:rFonts w:ascii="仿宋" w:hAnsi="仿宋" w:eastAsia="仿宋" w:cs="仿宋"/>
          <w:spacing w:val="-3"/>
          <w:sz w:val="30"/>
          <w:szCs w:val="30"/>
        </w:rPr>
        <w:t>费用。</w:t>
      </w:r>
    </w:p>
    <w:p>
      <w:pPr>
        <w:spacing w:before="1" w:line="369" w:lineRule="auto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（九）社会保障和就业支出（类）行政事业单位养老支出</w:t>
      </w:r>
      <w:r>
        <w:rPr>
          <w:rFonts w:ascii="仿宋" w:hAnsi="仿宋" w:eastAsia="仿宋" w:cs="仿宋"/>
          <w:spacing w:val="-1"/>
          <w:sz w:val="30"/>
          <w:szCs w:val="30"/>
        </w:rPr>
        <w:t>（款）机关事业单位职业年金缴费支出（项）支出68.59万元，全</w:t>
      </w:r>
      <w:r>
        <w:rPr>
          <w:rFonts w:ascii="仿宋" w:hAnsi="仿宋" w:eastAsia="仿宋" w:cs="仿宋"/>
          <w:spacing w:val="4"/>
          <w:sz w:val="30"/>
          <w:szCs w:val="30"/>
        </w:rPr>
        <w:t>部为基本支出。主要用于：支付根据市统一规定，按柳州市法院</w:t>
      </w:r>
      <w:r>
        <w:rPr>
          <w:rFonts w:ascii="仿宋" w:hAnsi="仿宋" w:eastAsia="仿宋" w:cs="仿宋"/>
          <w:spacing w:val="-3"/>
          <w:sz w:val="30"/>
          <w:szCs w:val="30"/>
        </w:rPr>
        <w:t>在职职工工资总额的一定比例计缴的职业年金费用。</w:t>
      </w:r>
    </w:p>
    <w:p>
      <w:pPr>
        <w:spacing w:before="2" w:line="369" w:lineRule="auto"/>
        <w:ind w:left="2" w:firstLine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（十）卫生健康支出（类）行政事业单位医疗（款）行政单</w:t>
      </w:r>
      <w:r>
        <w:rPr>
          <w:rFonts w:ascii="仿宋" w:hAnsi="仿宋" w:eastAsia="仿宋" w:cs="仿宋"/>
          <w:spacing w:val="-1"/>
          <w:sz w:val="30"/>
          <w:szCs w:val="30"/>
        </w:rPr>
        <w:t>位医疗（项）支出67.74万元，全部为基本支出。主要用于：支付</w:t>
      </w:r>
      <w:r>
        <w:rPr>
          <w:rFonts w:ascii="仿宋" w:hAnsi="仿宋" w:eastAsia="仿宋" w:cs="仿宋"/>
          <w:spacing w:val="4"/>
          <w:sz w:val="30"/>
          <w:szCs w:val="30"/>
        </w:rPr>
        <w:t>根据市统一规定，按柳州市法院在职职工工资总额的一定比例计</w:t>
      </w:r>
      <w:r>
        <w:rPr>
          <w:rFonts w:ascii="仿宋" w:hAnsi="仿宋" w:eastAsia="仿宋" w:cs="仿宋"/>
          <w:spacing w:val="-7"/>
          <w:sz w:val="30"/>
          <w:szCs w:val="30"/>
        </w:rPr>
        <w:t>缴的医疗保险费用。</w:t>
      </w:r>
    </w:p>
    <w:p>
      <w:pPr>
        <w:spacing w:before="2" w:line="369" w:lineRule="auto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（十一）卫生健康支出（类）行政事业单位医疗（款）公务</w:t>
      </w:r>
      <w:r>
        <w:rPr>
          <w:rFonts w:ascii="仿宋" w:hAnsi="仿宋" w:eastAsia="仿宋" w:cs="仿宋"/>
          <w:spacing w:val="-1"/>
          <w:sz w:val="30"/>
          <w:szCs w:val="30"/>
        </w:rPr>
        <w:t>员医疗补助（项）支出70.24万元，全部为基本支出。主要用于：</w:t>
      </w:r>
      <w:r>
        <w:rPr>
          <w:rFonts w:ascii="仿宋" w:hAnsi="仿宋" w:eastAsia="仿宋" w:cs="仿宋"/>
          <w:spacing w:val="4"/>
          <w:sz w:val="30"/>
          <w:szCs w:val="30"/>
        </w:rPr>
        <w:t>支付根据市统一规定，按柳州市法院在职职工工资总额的一定比</w:t>
      </w:r>
      <w:r>
        <w:rPr>
          <w:rFonts w:ascii="仿宋" w:hAnsi="仿宋" w:eastAsia="仿宋" w:cs="仿宋"/>
          <w:spacing w:val="-5"/>
          <w:sz w:val="30"/>
          <w:szCs w:val="30"/>
        </w:rPr>
        <w:t>例计缴的公务员医疗补助。</w:t>
      </w:r>
    </w:p>
    <w:p>
      <w:pPr>
        <w:spacing w:before="3" w:line="369" w:lineRule="auto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（十二）住房保障支出（类）住房改革支出（款）住房公积</w:t>
      </w:r>
      <w:r>
        <w:rPr>
          <w:rFonts w:ascii="仿宋" w:hAnsi="仿宋" w:eastAsia="仿宋" w:cs="仿宋"/>
          <w:spacing w:val="4"/>
          <w:sz w:val="30"/>
          <w:szCs w:val="30"/>
        </w:rPr>
        <w:t>金（项）支出111.53万元，全部为基本支出。主要用于：按照国</w:t>
      </w:r>
      <w:r>
        <w:rPr>
          <w:rFonts w:ascii="仿宋" w:hAnsi="仿宋" w:eastAsia="仿宋" w:cs="仿宋"/>
          <w:spacing w:val="-3"/>
          <w:sz w:val="30"/>
          <w:szCs w:val="30"/>
        </w:rPr>
        <w:t>家政策规定为法院职工计缴的住房公积金支出。</w:t>
      </w:r>
    </w:p>
    <w:p>
      <w:pPr>
        <w:pStyle w:val="2"/>
        <w:spacing w:before="223" w:line="221" w:lineRule="auto"/>
        <w:ind w:left="644"/>
      </w:pPr>
      <w:r>
        <w:rPr>
          <w:spacing w:val="-2"/>
        </w:rPr>
        <w:t>六、一般公共预算基本支出情况说明</w:t>
      </w:r>
    </w:p>
    <w:p>
      <w:pPr>
        <w:spacing w:line="221" w:lineRule="auto"/>
        <w:sectPr>
          <w:footerReference r:id="rId8" w:type="default"/>
          <w:pgSz w:w="11906" w:h="16838"/>
          <w:pgMar w:top="805" w:right="1615" w:bottom="481" w:left="1758" w:header="0" w:footer="162" w:gutter="0"/>
        </w:sectPr>
      </w:pPr>
    </w:p>
    <w:p>
      <w:pPr>
        <w:spacing w:before="61" w:line="221" w:lineRule="auto"/>
        <w:ind w:left="5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2026年单位一般公共预算基本支出2,305</w:t>
      </w:r>
      <w:r>
        <w:rPr>
          <w:rFonts w:ascii="仿宋" w:hAnsi="仿宋" w:eastAsia="仿宋" w:cs="仿宋"/>
          <w:spacing w:val="-3"/>
          <w:sz w:val="30"/>
          <w:szCs w:val="30"/>
        </w:rPr>
        <w:t>.26万元，其中：</w:t>
      </w:r>
    </w:p>
    <w:p>
      <w:pPr>
        <w:spacing w:before="242" w:line="369" w:lineRule="auto"/>
        <w:ind w:left="2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（一）人员经费2,064.68万元，主要包括：基本工资、津贴</w:t>
      </w:r>
      <w:r>
        <w:rPr>
          <w:rFonts w:ascii="仿宋" w:hAnsi="仿宋" w:eastAsia="仿宋" w:cs="仿宋"/>
          <w:spacing w:val="3"/>
          <w:sz w:val="30"/>
          <w:szCs w:val="30"/>
        </w:rPr>
        <w:t>补贴、奖金、机关事业单位基本养老保险缴费、职业年金缴</w:t>
      </w:r>
      <w:r>
        <w:rPr>
          <w:rFonts w:ascii="仿宋" w:hAnsi="仿宋" w:eastAsia="仿宋" w:cs="仿宋"/>
          <w:spacing w:val="2"/>
          <w:sz w:val="30"/>
          <w:szCs w:val="30"/>
        </w:rPr>
        <w:t>费、</w:t>
      </w:r>
      <w:r>
        <w:rPr>
          <w:rFonts w:ascii="仿宋" w:hAnsi="仿宋" w:eastAsia="仿宋" w:cs="仿宋"/>
          <w:spacing w:val="4"/>
          <w:sz w:val="30"/>
          <w:szCs w:val="30"/>
        </w:rPr>
        <w:t>职工基本医疗保险缴费、公务员医疗补助缴费、其他社会保障缴费、住房公积金、其他工资福利支出、退休费、医疗费补助、其</w:t>
      </w:r>
      <w:r>
        <w:rPr>
          <w:rFonts w:ascii="仿宋" w:hAnsi="仿宋" w:eastAsia="仿宋" w:cs="仿宋"/>
          <w:spacing w:val="-5"/>
          <w:sz w:val="30"/>
          <w:szCs w:val="30"/>
        </w:rPr>
        <w:t>他对个人和家庭的补助。</w:t>
      </w:r>
    </w:p>
    <w:p>
      <w:pPr>
        <w:spacing w:before="3" w:line="369" w:lineRule="auto"/>
        <w:ind w:left="2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（二）公用经费240.58万元，主要包括：办公</w:t>
      </w:r>
      <w:r>
        <w:rPr>
          <w:rFonts w:ascii="仿宋" w:hAnsi="仿宋" w:eastAsia="仿宋" w:cs="仿宋"/>
          <w:spacing w:val="2"/>
          <w:sz w:val="30"/>
          <w:szCs w:val="30"/>
        </w:rPr>
        <w:t>费、印刷费、</w:t>
      </w:r>
      <w:r>
        <w:rPr>
          <w:rFonts w:ascii="仿宋" w:hAnsi="仿宋" w:eastAsia="仿宋" w:cs="仿宋"/>
          <w:spacing w:val="4"/>
          <w:sz w:val="30"/>
          <w:szCs w:val="30"/>
        </w:rPr>
        <w:t>水费、电费、邮电费、物业管理费、差旅费、维修（护）费、会</w:t>
      </w:r>
      <w:r>
        <w:rPr>
          <w:rFonts w:ascii="仿宋" w:hAnsi="仿宋" w:eastAsia="仿宋" w:cs="仿宋"/>
          <w:spacing w:val="3"/>
          <w:sz w:val="30"/>
          <w:szCs w:val="30"/>
        </w:rPr>
        <w:t>议费、培训费、公务接待费、工会经费、公务用车运行维护</w:t>
      </w:r>
      <w:r>
        <w:rPr>
          <w:rFonts w:ascii="仿宋" w:hAnsi="仿宋" w:eastAsia="仿宋" w:cs="仿宋"/>
          <w:spacing w:val="2"/>
          <w:sz w:val="30"/>
          <w:szCs w:val="30"/>
        </w:rPr>
        <w:t>费、</w:t>
      </w:r>
      <w:r>
        <w:rPr>
          <w:rFonts w:ascii="仿宋" w:hAnsi="仿宋" w:eastAsia="仿宋" w:cs="仿宋"/>
          <w:spacing w:val="-4"/>
          <w:sz w:val="30"/>
          <w:szCs w:val="30"/>
        </w:rPr>
        <w:t>其他交通费用、其他商品和服务支出。</w:t>
      </w:r>
    </w:p>
    <w:p>
      <w:pPr>
        <w:pStyle w:val="2"/>
        <w:spacing w:before="223" w:line="221" w:lineRule="auto"/>
        <w:ind w:left="635"/>
      </w:pPr>
      <w:r>
        <w:rPr>
          <w:spacing w:val="-1"/>
        </w:rPr>
        <w:t>七、一般公共预算“三公”经费支出情况说明</w:t>
      </w:r>
    </w:p>
    <w:p>
      <w:pPr>
        <w:spacing w:line="362" w:lineRule="auto"/>
        <w:rPr>
          <w:rFonts w:ascii="Arial"/>
          <w:sz w:val="21"/>
        </w:rPr>
      </w:pPr>
    </w:p>
    <w:p>
      <w:pPr>
        <w:spacing w:before="97" w:line="369" w:lineRule="auto"/>
        <w:ind w:firstLine="59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2026年单位一般公共预算安排的“三公”经费支出预算16.92</w:t>
      </w:r>
      <w:r>
        <w:rPr>
          <w:rFonts w:ascii="仿宋" w:hAnsi="仿宋" w:eastAsia="仿宋" w:cs="仿宋"/>
          <w:spacing w:val="2"/>
          <w:sz w:val="30"/>
          <w:szCs w:val="30"/>
        </w:rPr>
        <w:t>万元，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比2025年预算2.45万元，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同比增加14.47万元</w:t>
      </w:r>
      <w:r>
        <w:rPr>
          <w:rFonts w:ascii="仿宋" w:hAnsi="仿宋" w:eastAsia="仿宋" w:cs="仿宋"/>
          <w:spacing w:val="1"/>
          <w:sz w:val="30"/>
          <w:szCs w:val="30"/>
        </w:rPr>
        <w:t>，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同比增长</w:t>
      </w:r>
      <w:r>
        <w:rPr>
          <w:rFonts w:ascii="仿宋" w:hAnsi="仿宋" w:eastAsia="仿宋" w:cs="仿宋"/>
          <w:spacing w:val="-7"/>
          <w:sz w:val="30"/>
          <w:szCs w:val="30"/>
        </w:rPr>
        <w:t>590.61%。其中：</w:t>
      </w:r>
    </w:p>
    <w:p>
      <w:pPr>
        <w:spacing w:before="1" w:line="369" w:lineRule="auto"/>
        <w:ind w:left="3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（一）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因公出国（境）经费2026年预算0.00万元，与上年持</w:t>
      </w:r>
      <w:r>
        <w:rPr>
          <w:rFonts w:ascii="仿宋" w:hAnsi="仿宋" w:eastAsia="仿宋" w:cs="仿宋"/>
          <w:spacing w:val="-15"/>
          <w:sz w:val="30"/>
          <w:szCs w:val="30"/>
        </w:rPr>
        <w:t>平。</w:t>
      </w:r>
    </w:p>
    <w:p>
      <w:pPr>
        <w:spacing w:before="1" w:line="369" w:lineRule="auto"/>
        <w:ind w:left="3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（二）公务接待费2026年预算2.52万元，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同比增加0.07万</w:t>
      </w:r>
      <w:r>
        <w:rPr>
          <w:rFonts w:ascii="仿宋" w:hAnsi="仿宋" w:eastAsia="仿宋" w:cs="仿宋"/>
          <w:spacing w:val="-1"/>
          <w:sz w:val="30"/>
          <w:szCs w:val="30"/>
        </w:rPr>
        <w:t>元，同比增长2.86%，增加的主要原因是：人员变动，相应的人员</w:t>
      </w:r>
      <w:r>
        <w:rPr>
          <w:rFonts w:ascii="仿宋" w:hAnsi="仿宋" w:eastAsia="仿宋" w:cs="仿宋"/>
          <w:spacing w:val="-6"/>
          <w:sz w:val="30"/>
          <w:szCs w:val="30"/>
        </w:rPr>
        <w:t>经费和公用经费增加。</w:t>
      </w:r>
    </w:p>
    <w:p>
      <w:pPr>
        <w:spacing w:before="1" w:line="369" w:lineRule="auto"/>
        <w:ind w:left="37" w:firstLine="5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（三）公务用车购置及运行维护费2026年预算14.40万元，同</w:t>
      </w:r>
      <w:r>
        <w:rPr>
          <w:rFonts w:ascii="仿宋" w:hAnsi="仿宋" w:eastAsia="仿宋" w:cs="仿宋"/>
          <w:spacing w:val="-6"/>
          <w:sz w:val="30"/>
          <w:szCs w:val="30"/>
        </w:rPr>
        <w:t>比增加14.40万元，与上年无可比。其中：</w:t>
      </w:r>
    </w:p>
    <w:p>
      <w:pPr>
        <w:spacing w:before="1" w:line="219" w:lineRule="auto"/>
        <w:ind w:left="6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1.公务用车购置费2026年预算0.00万元，与上年持平。</w:t>
      </w:r>
    </w:p>
    <w:p>
      <w:pPr>
        <w:spacing w:before="242" w:line="369" w:lineRule="auto"/>
        <w:ind w:left="16" w:firstLine="58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2.公务用车运行维护费2026年预算14.40万元，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同比增加</w:t>
      </w:r>
      <w:r>
        <w:rPr>
          <w:rFonts w:ascii="仿宋" w:hAnsi="仿宋" w:eastAsia="仿宋" w:cs="仿宋"/>
          <w:spacing w:val="-1"/>
          <w:sz w:val="30"/>
          <w:szCs w:val="30"/>
        </w:rPr>
        <w:t>14.40万元，与上年无可比，增加的主要原因是：公务用车</w:t>
      </w:r>
      <w:r>
        <w:rPr>
          <w:rFonts w:ascii="仿宋" w:hAnsi="仿宋" w:eastAsia="仿宋" w:cs="仿宋"/>
          <w:spacing w:val="-2"/>
          <w:sz w:val="30"/>
          <w:szCs w:val="30"/>
        </w:rPr>
        <w:t>运行维</w:t>
      </w:r>
    </w:p>
    <w:p>
      <w:pPr>
        <w:spacing w:line="369" w:lineRule="auto"/>
        <w:rPr>
          <w:rFonts w:ascii="仿宋" w:hAnsi="仿宋" w:eastAsia="仿宋" w:cs="仿宋"/>
          <w:sz w:val="30"/>
          <w:szCs w:val="30"/>
        </w:rPr>
        <w:sectPr>
          <w:footerReference r:id="rId9" w:type="default"/>
          <w:pgSz w:w="11906" w:h="16838"/>
          <w:pgMar w:top="877" w:right="1615" w:bottom="409" w:left="1756" w:header="0" w:footer="189" w:gutter="0"/>
        </w:sectPr>
      </w:pPr>
    </w:p>
    <w:p>
      <w:pPr>
        <w:spacing w:before="60" w:line="370" w:lineRule="auto"/>
        <w:ind w:left="2" w:hanging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护费由原来的柳州市中级人民法院统一编制调整为本单位自行编</w:t>
      </w:r>
      <w:r>
        <w:rPr>
          <w:rFonts w:ascii="仿宋" w:hAnsi="仿宋" w:eastAsia="仿宋" w:cs="仿宋"/>
          <w:spacing w:val="-16"/>
          <w:sz w:val="30"/>
          <w:szCs w:val="30"/>
        </w:rPr>
        <w:t>制。</w:t>
      </w:r>
    </w:p>
    <w:p>
      <w:pPr>
        <w:pStyle w:val="2"/>
        <w:spacing w:before="223" w:line="221" w:lineRule="auto"/>
        <w:ind w:left="634"/>
      </w:pPr>
      <w:r>
        <w:rPr>
          <w:spacing w:val="-1"/>
        </w:rPr>
        <w:t>八、政府性基金预算支出情况说明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97" w:line="220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2026年我单位无政府性基金预算支出安排。</w:t>
      </w:r>
    </w:p>
    <w:p>
      <w:pPr>
        <w:spacing w:line="361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641"/>
      </w:pPr>
      <w:r>
        <w:rPr>
          <w:spacing w:val="-1"/>
        </w:rPr>
        <w:t>九、国有资本经营预算支出情况说明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98" w:line="221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2026年我单位无国有资本经营预算支出安排。</w:t>
      </w:r>
    </w:p>
    <w:p>
      <w:pPr>
        <w:spacing w:line="360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638"/>
      </w:pPr>
      <w:r>
        <w:rPr>
          <w:spacing w:val="-2"/>
        </w:rPr>
        <w:t>十、政府采购预算情况说明</w:t>
      </w:r>
    </w:p>
    <w:p>
      <w:pPr>
        <w:spacing w:line="362" w:lineRule="auto"/>
        <w:rPr>
          <w:rFonts w:ascii="Arial"/>
          <w:sz w:val="21"/>
        </w:rPr>
      </w:pPr>
    </w:p>
    <w:p>
      <w:pPr>
        <w:spacing w:before="99" w:line="369" w:lineRule="auto"/>
        <w:ind w:firstLine="59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2026年政府采购预算159.09万元，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同比增加5.54万元，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同比</w:t>
      </w:r>
      <w:r>
        <w:rPr>
          <w:rFonts w:ascii="仿宋" w:hAnsi="仿宋" w:eastAsia="仿宋" w:cs="仿宋"/>
          <w:spacing w:val="-1"/>
          <w:sz w:val="30"/>
          <w:szCs w:val="30"/>
        </w:rPr>
        <w:t>增长3.61%。其中：政府集中采购预算159.09万元，占政府采购预</w:t>
      </w:r>
      <w:r>
        <w:rPr>
          <w:rFonts w:ascii="仿宋" w:hAnsi="仿宋" w:eastAsia="仿宋" w:cs="仿宋"/>
          <w:sz w:val="30"/>
          <w:szCs w:val="30"/>
        </w:rPr>
        <w:t>算100.00%，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同比增加21.92万元，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同比增长15.98%；分散采购预</w:t>
      </w:r>
      <w:r>
        <w:rPr>
          <w:rFonts w:ascii="仿宋" w:hAnsi="仿宋" w:eastAsia="仿宋" w:cs="仿宋"/>
          <w:spacing w:val="-2"/>
          <w:sz w:val="30"/>
          <w:szCs w:val="30"/>
        </w:rPr>
        <w:t>算0.00万元，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占政府采购预算0.00%，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同比减少</w:t>
      </w:r>
      <w:r>
        <w:rPr>
          <w:rFonts w:ascii="仿宋" w:hAnsi="仿宋" w:eastAsia="仿宋" w:cs="仿宋"/>
          <w:spacing w:val="-3"/>
          <w:sz w:val="30"/>
          <w:szCs w:val="30"/>
        </w:rPr>
        <w:t>16.38万元，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同比</w:t>
      </w:r>
      <w:r>
        <w:rPr>
          <w:rFonts w:ascii="仿宋" w:hAnsi="仿宋" w:eastAsia="仿宋" w:cs="仿宋"/>
          <w:spacing w:val="-4"/>
          <w:sz w:val="30"/>
          <w:szCs w:val="30"/>
        </w:rPr>
        <w:t>下降100.00%。</w:t>
      </w:r>
    </w:p>
    <w:p>
      <w:pPr>
        <w:spacing w:line="369" w:lineRule="auto"/>
        <w:ind w:left="5" w:firstLine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按政府采购项目类型划分，其中：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货物类采购预算0.00万</w:t>
      </w:r>
      <w:r>
        <w:rPr>
          <w:rFonts w:ascii="仿宋" w:hAnsi="仿宋" w:eastAsia="仿宋" w:cs="仿宋"/>
          <w:spacing w:val="-2"/>
          <w:sz w:val="30"/>
          <w:szCs w:val="30"/>
        </w:rPr>
        <w:t>元，工程类采购预算0.00万元，服务类采购预算159.09万元。</w:t>
      </w:r>
    </w:p>
    <w:p>
      <w:pPr>
        <w:spacing w:before="3" w:line="369" w:lineRule="auto"/>
        <w:ind w:left="31" w:firstLine="5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按政府采购资金来源划分，其中：一般公共预算安排采购支</w:t>
      </w:r>
      <w:r>
        <w:rPr>
          <w:rFonts w:ascii="仿宋" w:hAnsi="仿宋" w:eastAsia="仿宋" w:cs="仿宋"/>
          <w:spacing w:val="-7"/>
          <w:sz w:val="30"/>
          <w:szCs w:val="30"/>
        </w:rPr>
        <w:t>出预算159.09万元。</w:t>
      </w:r>
    </w:p>
    <w:p>
      <w:pPr>
        <w:pStyle w:val="2"/>
        <w:spacing w:before="224" w:line="221" w:lineRule="auto"/>
        <w:ind w:left="638"/>
      </w:pPr>
      <w:r>
        <w:rPr>
          <w:spacing w:val="-3"/>
        </w:rPr>
        <w:t>十一、政府购买服务预算情况说明</w:t>
      </w:r>
    </w:p>
    <w:p>
      <w:pPr>
        <w:spacing w:line="360" w:lineRule="auto"/>
        <w:rPr>
          <w:rFonts w:ascii="Arial"/>
          <w:sz w:val="21"/>
        </w:rPr>
      </w:pPr>
    </w:p>
    <w:p>
      <w:pPr>
        <w:spacing w:before="98" w:line="370" w:lineRule="auto"/>
        <w:ind w:left="5" w:firstLine="5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2026年纳入政府购买服务预算支出231.34万元，其中：通过</w:t>
      </w:r>
      <w:r>
        <w:rPr>
          <w:rFonts w:ascii="仿宋" w:hAnsi="仿宋" w:eastAsia="仿宋" w:cs="仿宋"/>
          <w:spacing w:val="-2"/>
          <w:sz w:val="30"/>
          <w:szCs w:val="30"/>
        </w:rPr>
        <w:t>一般公共预算安排购买服务支出预算231.34万</w:t>
      </w:r>
      <w:r>
        <w:rPr>
          <w:rFonts w:ascii="仿宋" w:hAnsi="仿宋" w:eastAsia="仿宋" w:cs="仿宋"/>
          <w:spacing w:val="-3"/>
          <w:sz w:val="30"/>
          <w:szCs w:val="30"/>
        </w:rPr>
        <w:t>元。</w:t>
      </w:r>
    </w:p>
    <w:p>
      <w:pPr>
        <w:pStyle w:val="2"/>
        <w:spacing w:before="224" w:line="221" w:lineRule="auto"/>
        <w:ind w:left="638"/>
      </w:pPr>
      <w:r>
        <w:rPr>
          <w:spacing w:val="-1"/>
        </w:rPr>
        <w:t>十二、项目预算绩效目标情况说明</w:t>
      </w:r>
    </w:p>
    <w:p>
      <w:pPr>
        <w:spacing w:line="221" w:lineRule="auto"/>
        <w:sectPr>
          <w:footerReference r:id="rId10" w:type="default"/>
          <w:pgSz w:w="11906" w:h="16838"/>
          <w:pgMar w:top="805" w:right="1615" w:bottom="481" w:left="1758" w:header="0" w:footer="162" w:gutter="0"/>
        </w:sectPr>
      </w:pPr>
    </w:p>
    <w:p>
      <w:pPr>
        <w:spacing w:before="62" w:line="369" w:lineRule="auto"/>
        <w:ind w:left="42" w:right="20" w:firstLine="5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（一）我单位2026年所有项目支出全面实施绩效目标管理，</w:t>
      </w:r>
      <w:r>
        <w:rPr>
          <w:rFonts w:ascii="仿宋" w:hAnsi="仿宋" w:eastAsia="仿宋" w:cs="仿宋"/>
          <w:spacing w:val="-1"/>
          <w:sz w:val="30"/>
          <w:szCs w:val="30"/>
        </w:rPr>
        <w:t>涉及柳州市本级项目9个，预算资金483.42万元。绩效目标情况详</w:t>
      </w:r>
      <w:r>
        <w:rPr>
          <w:rFonts w:ascii="仿宋" w:hAnsi="仿宋" w:eastAsia="仿宋" w:cs="仿宋"/>
          <w:spacing w:val="-4"/>
          <w:sz w:val="30"/>
          <w:szCs w:val="30"/>
        </w:rPr>
        <w:t>见表12（敏感涉密项目除外）。</w:t>
      </w:r>
    </w:p>
    <w:p>
      <w:pPr>
        <w:spacing w:line="221" w:lineRule="auto"/>
        <w:ind w:left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（二）重点项目预算绩效目标说明。</w:t>
      </w:r>
    </w:p>
    <w:p>
      <w:pPr>
        <w:spacing w:line="93" w:lineRule="exact"/>
      </w:pPr>
    </w:p>
    <w:tbl>
      <w:tblPr>
        <w:tblStyle w:val="5"/>
        <w:tblW w:w="85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4"/>
        <w:gridCol w:w="2226"/>
        <w:gridCol w:w="39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404" w:type="dxa"/>
            <w:vAlign w:val="top"/>
          </w:tcPr>
          <w:p>
            <w:pPr>
              <w:spacing w:before="55" w:line="220" w:lineRule="auto"/>
              <w:ind w:left="8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项目名称</w:t>
            </w:r>
          </w:p>
        </w:tc>
        <w:tc>
          <w:tcPr>
            <w:tcW w:w="2226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预算数（单位：万元）</w:t>
            </w:r>
          </w:p>
        </w:tc>
        <w:tc>
          <w:tcPr>
            <w:tcW w:w="3945" w:type="dxa"/>
            <w:vAlign w:val="top"/>
          </w:tcPr>
          <w:p>
            <w:pPr>
              <w:spacing w:before="55" w:line="220" w:lineRule="auto"/>
              <w:ind w:left="1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绩效目标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404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物业管理费</w:t>
            </w:r>
          </w:p>
        </w:tc>
        <w:tc>
          <w:tcPr>
            <w:tcW w:w="2226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65" w:line="23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145.00</w:t>
            </w:r>
          </w:p>
        </w:tc>
        <w:tc>
          <w:tcPr>
            <w:tcW w:w="3945" w:type="dxa"/>
            <w:vAlign w:val="top"/>
          </w:tcPr>
          <w:p>
            <w:pPr>
              <w:spacing w:before="51" w:line="273" w:lineRule="auto"/>
              <w:ind w:left="12" w:right="24" w:firstLine="9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通过聘请物业管理公司对我院审判综合楼及附属设施提供安全保卫、保洁、绿化、公共设施设备维护等服务活动，为法院正常开展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审判活动提供良好的后勤支持。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677"/>
      </w:pPr>
      <w:r>
        <w:rPr>
          <w:spacing w:val="-1"/>
        </w:rPr>
        <w:t>十三、2026年单位预算其他重要事项情况说明</w:t>
      </w:r>
    </w:p>
    <w:p>
      <w:pPr>
        <w:spacing w:line="360" w:lineRule="auto"/>
        <w:rPr>
          <w:rFonts w:ascii="Arial"/>
          <w:sz w:val="21"/>
        </w:rPr>
      </w:pPr>
    </w:p>
    <w:p>
      <w:pPr>
        <w:spacing w:before="98" w:line="221" w:lineRule="auto"/>
        <w:ind w:left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（一）机关运行经费安排情况说明</w:t>
      </w:r>
    </w:p>
    <w:p>
      <w:pPr>
        <w:spacing w:before="243" w:line="369" w:lineRule="auto"/>
        <w:ind w:left="39" w:right="20" w:firstLine="59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2026年机关运行经费预算240.58万元，同比增加20.96万元，同比增长9.54%，主要用于保障法院运行购买的各项货物和服务支</w:t>
      </w:r>
      <w:r>
        <w:rPr>
          <w:rFonts w:ascii="仿宋" w:hAnsi="仿宋" w:eastAsia="仿宋" w:cs="仿宋"/>
          <w:spacing w:val="16"/>
          <w:sz w:val="30"/>
          <w:szCs w:val="30"/>
        </w:rPr>
        <w:t>出。机关运行经费增加的原因是：人员变动相应的公用经</w:t>
      </w:r>
      <w:r>
        <w:rPr>
          <w:rFonts w:ascii="仿宋" w:hAnsi="仿宋" w:eastAsia="仿宋" w:cs="仿宋"/>
          <w:spacing w:val="15"/>
          <w:sz w:val="30"/>
          <w:szCs w:val="30"/>
        </w:rPr>
        <w:t>费增</w:t>
      </w:r>
      <w:r>
        <w:rPr>
          <w:rFonts w:ascii="仿宋" w:hAnsi="仿宋" w:eastAsia="仿宋" w:cs="仿宋"/>
          <w:spacing w:val="-15"/>
          <w:sz w:val="30"/>
          <w:szCs w:val="30"/>
        </w:rPr>
        <w:t>加。</w:t>
      </w:r>
    </w:p>
    <w:p>
      <w:pPr>
        <w:spacing w:line="222" w:lineRule="auto"/>
        <w:ind w:left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（二）国有资产占用情况说明</w:t>
      </w:r>
    </w:p>
    <w:p>
      <w:pPr>
        <w:spacing w:before="239" w:line="369" w:lineRule="auto"/>
        <w:ind w:left="39" w:right="20" w:firstLine="59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2026年我单位实有在编车辆9辆，车辆为柳州市城中区人民法</w:t>
      </w:r>
      <w:r>
        <w:rPr>
          <w:rFonts w:ascii="仿宋" w:hAnsi="仿宋" w:eastAsia="仿宋" w:cs="仿宋"/>
          <w:spacing w:val="13"/>
          <w:sz w:val="30"/>
          <w:szCs w:val="30"/>
        </w:rPr>
        <w:t>院所有，按用途划分：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主要领导干部用车0辆，机要通信用车0</w:t>
      </w:r>
      <w:r>
        <w:rPr>
          <w:rFonts w:ascii="仿宋" w:hAnsi="仿宋" w:eastAsia="仿宋" w:cs="仿宋"/>
          <w:spacing w:val="10"/>
          <w:sz w:val="30"/>
          <w:szCs w:val="30"/>
        </w:rPr>
        <w:t>辆，应急保障用车0辆，执法执勤用车6辆</w:t>
      </w:r>
      <w:r>
        <w:rPr>
          <w:rFonts w:ascii="仿宋" w:hAnsi="仿宋" w:eastAsia="仿宋" w:cs="仿宋"/>
          <w:spacing w:val="9"/>
          <w:sz w:val="30"/>
          <w:szCs w:val="30"/>
        </w:rPr>
        <w:t>，特种专业技术用车3</w:t>
      </w:r>
      <w:r>
        <w:rPr>
          <w:rFonts w:ascii="仿宋" w:hAnsi="仿宋" w:eastAsia="仿宋" w:cs="仿宋"/>
          <w:spacing w:val="-3"/>
          <w:sz w:val="30"/>
          <w:szCs w:val="30"/>
        </w:rPr>
        <w:t>辆，离退休干部用车0辆，其他用车0辆。</w:t>
      </w:r>
    </w:p>
    <w:p>
      <w:pPr>
        <w:spacing w:line="369" w:lineRule="auto"/>
        <w:rPr>
          <w:rFonts w:ascii="仿宋" w:hAnsi="仿宋" w:eastAsia="仿宋" w:cs="仿宋"/>
          <w:sz w:val="30"/>
          <w:szCs w:val="30"/>
        </w:rPr>
        <w:sectPr>
          <w:footerReference r:id="rId11" w:type="default"/>
          <w:pgSz w:w="11906" w:h="16838"/>
          <w:pgMar w:top="805" w:right="1595" w:bottom="481" w:left="1719" w:header="0" w:footer="162" w:gutter="0"/>
        </w:sectPr>
      </w:pPr>
    </w:p>
    <w:p>
      <w:pPr>
        <w:pStyle w:val="2"/>
        <w:spacing w:before="89" w:line="186" w:lineRule="auto"/>
        <w:ind w:left="394"/>
        <w:rPr>
          <w:sz w:val="44"/>
          <w:szCs w:val="44"/>
        </w:rPr>
      </w:pPr>
      <w:r>
        <w:rPr>
          <w:spacing w:val="-1"/>
          <w:sz w:val="44"/>
          <w:szCs w:val="44"/>
        </w:rPr>
        <w:t>第三部分 117002柳州市城中区人民法院</w:t>
      </w:r>
    </w:p>
    <w:p>
      <w:pPr>
        <w:pStyle w:val="2"/>
        <w:spacing w:line="220" w:lineRule="auto"/>
        <w:ind w:left="2262"/>
        <w:rPr>
          <w:sz w:val="44"/>
          <w:szCs w:val="44"/>
        </w:rPr>
      </w:pPr>
      <w:r>
        <w:rPr>
          <w:spacing w:val="-1"/>
          <w:sz w:val="44"/>
          <w:szCs w:val="44"/>
        </w:rPr>
        <w:t>2026年单位预算报表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97" w:line="221" w:lineRule="auto"/>
        <w:ind w:left="57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一、单位收支总体情况表（表1）</w:t>
      </w:r>
    </w:p>
    <w:p>
      <w:pPr>
        <w:spacing w:before="240" w:line="221" w:lineRule="auto"/>
        <w:ind w:left="58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二、单位收入总体情况表（表2）</w:t>
      </w:r>
    </w:p>
    <w:p>
      <w:pPr>
        <w:spacing w:before="241" w:line="221" w:lineRule="auto"/>
        <w:ind w:left="58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三、单位支出总体情况表（表3）</w:t>
      </w:r>
    </w:p>
    <w:p>
      <w:pPr>
        <w:spacing w:before="242" w:line="222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四、财政拨款收支总体情况表（表4）</w:t>
      </w:r>
    </w:p>
    <w:p>
      <w:pPr>
        <w:spacing w:before="238" w:line="222" w:lineRule="auto"/>
        <w:ind w:left="57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五、一般公共预算支出情况表（表5）</w:t>
      </w:r>
    </w:p>
    <w:p>
      <w:pPr>
        <w:spacing w:before="239" w:line="222" w:lineRule="auto"/>
        <w:ind w:left="57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六、一般公共预算基本支出情况表（表6）</w:t>
      </w:r>
    </w:p>
    <w:p>
      <w:pPr>
        <w:spacing w:before="240" w:line="222" w:lineRule="auto"/>
        <w:ind w:left="5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七、财政拨款三公两费支出情况表（表7）</w:t>
      </w:r>
    </w:p>
    <w:p>
      <w:pPr>
        <w:spacing w:before="239" w:line="220" w:lineRule="auto"/>
        <w:ind w:left="57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八、政府性基金预算支出情况表（表8）</w:t>
      </w:r>
    </w:p>
    <w:p>
      <w:pPr>
        <w:spacing w:before="242" w:line="222" w:lineRule="auto"/>
        <w:ind w:left="5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九、国有资本经营预算支出情况表（表9）</w:t>
      </w:r>
    </w:p>
    <w:p>
      <w:pPr>
        <w:spacing w:before="239" w:line="222" w:lineRule="auto"/>
        <w:ind w:left="58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十、政府采购预算表（表10）</w:t>
      </w:r>
    </w:p>
    <w:p>
      <w:pPr>
        <w:spacing w:before="239" w:line="222" w:lineRule="auto"/>
        <w:ind w:left="58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十一、政府购买服务预算表（表11）</w:t>
      </w:r>
    </w:p>
    <w:p>
      <w:pPr>
        <w:spacing w:before="241" w:line="222" w:lineRule="auto"/>
        <w:ind w:left="58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十二、项目绩效目标公开表（表12）</w:t>
      </w:r>
    </w:p>
    <w:p>
      <w:pPr>
        <w:spacing w:line="402" w:lineRule="auto"/>
        <w:rPr>
          <w:rFonts w:ascii="Arial"/>
          <w:sz w:val="21"/>
        </w:rPr>
      </w:pPr>
    </w:p>
    <w:p>
      <w:pPr>
        <w:spacing w:before="98" w:line="221" w:lineRule="auto"/>
        <w:ind w:left="26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0"/>
          <w:sz w:val="30"/>
          <w:szCs w:val="30"/>
        </w:rPr>
        <w:t>上述报表详见附件。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footerReference r:id="rId12" w:type="default"/>
          <w:pgSz w:w="11906" w:h="16838"/>
          <w:pgMar w:top="1123" w:right="1785" w:bottom="481" w:left="1785" w:header="0" w:footer="162" w:gutter="0"/>
        </w:sectPr>
      </w:pPr>
    </w:p>
    <w:p>
      <w:pPr>
        <w:pStyle w:val="2"/>
        <w:spacing w:before="88" w:line="222" w:lineRule="auto"/>
        <w:ind w:left="2432"/>
        <w:rPr>
          <w:sz w:val="44"/>
          <w:szCs w:val="44"/>
        </w:rPr>
      </w:pPr>
      <w:r>
        <w:rPr>
          <w:spacing w:val="-2"/>
          <w:sz w:val="44"/>
          <w:szCs w:val="44"/>
        </w:rPr>
        <w:t>第四部分 名词解释</w:t>
      </w:r>
    </w:p>
    <w:p>
      <w:pPr>
        <w:spacing w:line="450" w:lineRule="auto"/>
        <w:rPr>
          <w:rFonts w:ascii="Arial"/>
          <w:sz w:val="21"/>
        </w:rPr>
      </w:pPr>
    </w:p>
    <w:p>
      <w:pPr>
        <w:spacing w:before="97" w:line="222" w:lineRule="auto"/>
        <w:ind w:left="6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一、财政拨款收入：指市本级财政部门当年拨付的资金。</w:t>
      </w:r>
    </w:p>
    <w:p>
      <w:pPr>
        <w:spacing w:before="240" w:line="369" w:lineRule="auto"/>
        <w:ind w:left="32" w:right="150" w:firstLine="6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二、事业收入：指事业单位开展专业业务活动及辅助活动所</w:t>
      </w:r>
      <w:r>
        <w:rPr>
          <w:rFonts w:ascii="仿宋" w:hAnsi="仿宋" w:eastAsia="仿宋" w:cs="仿宋"/>
          <w:spacing w:val="-9"/>
          <w:sz w:val="30"/>
          <w:szCs w:val="30"/>
        </w:rPr>
        <w:t>取得的收入。</w:t>
      </w:r>
    </w:p>
    <w:p>
      <w:pPr>
        <w:spacing w:line="369" w:lineRule="auto"/>
        <w:ind w:left="35" w:right="150" w:firstLine="6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三、经营收入：指事业单位在专业业务活动及其辅助活动之</w:t>
      </w:r>
      <w:r>
        <w:rPr>
          <w:rFonts w:ascii="仿宋" w:hAnsi="仿宋" w:eastAsia="仿宋" w:cs="仿宋"/>
          <w:spacing w:val="-4"/>
          <w:sz w:val="30"/>
          <w:szCs w:val="30"/>
        </w:rPr>
        <w:t>外开展非独立核算经营活动取得的收入。</w:t>
      </w:r>
    </w:p>
    <w:p>
      <w:pPr>
        <w:spacing w:before="1" w:line="369" w:lineRule="auto"/>
        <w:ind w:firstLine="66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四、其他收入：指除上述“财政拨款收入”“事业收入”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“经营收入”等以外的收入。</w:t>
      </w:r>
    </w:p>
    <w:p>
      <w:pPr>
        <w:spacing w:before="1" w:line="369" w:lineRule="auto"/>
        <w:ind w:left="37" w:right="150" w:firstLine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五、基本支出：指为保障机构正常运转、完成</w:t>
      </w:r>
      <w:r>
        <w:rPr>
          <w:rFonts w:ascii="仿宋" w:hAnsi="仿宋" w:eastAsia="仿宋" w:cs="仿宋"/>
          <w:spacing w:val="4"/>
          <w:sz w:val="30"/>
          <w:szCs w:val="30"/>
        </w:rPr>
        <w:t>日常工作任务</w:t>
      </w:r>
      <w:r>
        <w:rPr>
          <w:rFonts w:ascii="仿宋" w:hAnsi="仿宋" w:eastAsia="仿宋" w:cs="仿宋"/>
          <w:spacing w:val="-5"/>
          <w:sz w:val="30"/>
          <w:szCs w:val="30"/>
        </w:rPr>
        <w:t>而发生的人员支出和公用支出。</w:t>
      </w:r>
    </w:p>
    <w:p>
      <w:pPr>
        <w:spacing w:before="1" w:line="369" w:lineRule="auto"/>
        <w:ind w:left="31" w:right="150"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六、项目支出：指在基本支出之外为完成特定行政</w:t>
      </w:r>
      <w:r>
        <w:rPr>
          <w:rFonts w:ascii="仿宋" w:hAnsi="仿宋" w:eastAsia="仿宋" w:cs="仿宋"/>
          <w:spacing w:val="4"/>
          <w:sz w:val="30"/>
          <w:szCs w:val="30"/>
        </w:rPr>
        <w:t>任务和事</w:t>
      </w:r>
      <w:r>
        <w:rPr>
          <w:rFonts w:ascii="仿宋" w:hAnsi="仿宋" w:eastAsia="仿宋" w:cs="仿宋"/>
          <w:spacing w:val="-5"/>
          <w:sz w:val="30"/>
          <w:szCs w:val="30"/>
        </w:rPr>
        <w:t>业发展目标所发生的支出。</w:t>
      </w:r>
    </w:p>
    <w:p>
      <w:pPr>
        <w:spacing w:before="3" w:line="369" w:lineRule="auto"/>
        <w:ind w:left="31" w:firstLine="60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七、“三公”经费：纳入市本级财政预决算管理的“三公”</w:t>
      </w:r>
      <w:r>
        <w:rPr>
          <w:rFonts w:ascii="仿宋" w:hAnsi="仿宋" w:eastAsia="仿宋" w:cs="仿宋"/>
          <w:spacing w:val="3"/>
          <w:sz w:val="30"/>
          <w:szCs w:val="30"/>
        </w:rPr>
        <w:t>经费，是指市本级各部门用财政拨款安排的因公出国（境</w:t>
      </w:r>
      <w:r>
        <w:rPr>
          <w:rFonts w:ascii="仿宋" w:hAnsi="仿宋" w:eastAsia="仿宋" w:cs="仿宋"/>
          <w:spacing w:val="2"/>
          <w:sz w:val="30"/>
          <w:szCs w:val="30"/>
        </w:rPr>
        <w:t>）费、</w:t>
      </w:r>
      <w:r>
        <w:rPr>
          <w:rFonts w:ascii="仿宋" w:hAnsi="仿宋" w:eastAsia="仿宋" w:cs="仿宋"/>
          <w:spacing w:val="24"/>
          <w:sz w:val="30"/>
          <w:szCs w:val="30"/>
        </w:rPr>
        <w:t>公务用车购置及运行维护费和公务接待费。其</w:t>
      </w:r>
      <w:r>
        <w:rPr>
          <w:rFonts w:ascii="仿宋" w:hAnsi="仿宋" w:eastAsia="仿宋" w:cs="仿宋"/>
          <w:spacing w:val="23"/>
          <w:sz w:val="30"/>
          <w:szCs w:val="30"/>
        </w:rPr>
        <w:t>中：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因公出国</w:t>
      </w:r>
      <w:r>
        <w:rPr>
          <w:rFonts w:ascii="仿宋" w:hAnsi="仿宋" w:eastAsia="仿宋" w:cs="仿宋"/>
          <w:spacing w:val="4"/>
          <w:sz w:val="30"/>
          <w:szCs w:val="30"/>
        </w:rPr>
        <w:t>（境）费反映单位公务出国（境）的国际旅费、国外城市间交通费、住宿费、伙食费、培训费、公杂费等支出；公务用车购置及运行维护费反映单位公务用车车辆购置支出（含车辆购置税）及租用费、燃料费、维修费、过路过桥费、保险费、安全奖励费用等支出；公务接待费反映单位按规定开支的各类公务接待（含外</w:t>
      </w:r>
      <w:r>
        <w:rPr>
          <w:rFonts w:ascii="仿宋" w:hAnsi="仿宋" w:eastAsia="仿宋" w:cs="仿宋"/>
          <w:spacing w:val="-8"/>
          <w:sz w:val="30"/>
          <w:szCs w:val="30"/>
        </w:rPr>
        <w:t>宾接待）支出。</w:t>
      </w:r>
    </w:p>
    <w:p>
      <w:pPr>
        <w:spacing w:before="1" w:line="369" w:lineRule="auto"/>
        <w:ind w:left="49" w:right="149" w:firstLine="58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八、机关运行经费：为保障行政单位（含参照公务员法管理</w:t>
      </w:r>
      <w:r>
        <w:rPr>
          <w:rFonts w:ascii="仿宋" w:hAnsi="仿宋" w:eastAsia="仿宋" w:cs="仿宋"/>
          <w:spacing w:val="4"/>
          <w:sz w:val="30"/>
          <w:szCs w:val="30"/>
        </w:rPr>
        <w:t>的事业单位）运行用于购买货物和服务的各项资金，包括办公及印刷费、邮电费、差旅费、会议费、日常维修费、专用材料及一</w:t>
      </w:r>
    </w:p>
    <w:p>
      <w:pPr>
        <w:spacing w:line="369" w:lineRule="auto"/>
        <w:rPr>
          <w:rFonts w:ascii="仿宋" w:hAnsi="仿宋" w:eastAsia="仿宋" w:cs="仿宋"/>
          <w:sz w:val="30"/>
          <w:szCs w:val="30"/>
        </w:rPr>
        <w:sectPr>
          <w:footerReference r:id="rId13" w:type="default"/>
          <w:pgSz w:w="11906" w:h="16838"/>
          <w:pgMar w:top="1123" w:right="1465" w:bottom="412" w:left="1728" w:header="0" w:footer="189" w:gutter="0"/>
        </w:sectPr>
      </w:pPr>
    </w:p>
    <w:p>
      <w:pPr>
        <w:spacing w:before="60" w:line="369" w:lineRule="auto"/>
        <w:ind w:firstLine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般设备购置费、办公用房水电费、办公用房取暖费、办公用房物</w:t>
      </w:r>
      <w:r>
        <w:rPr>
          <w:rFonts w:ascii="仿宋" w:hAnsi="仿宋" w:eastAsia="仿宋" w:cs="仿宋"/>
          <w:spacing w:val="-3"/>
          <w:sz w:val="30"/>
          <w:szCs w:val="30"/>
        </w:rPr>
        <w:t>业管理费、公务用车运行维护费以及其他费用。</w:t>
      </w:r>
    </w:p>
    <w:p>
      <w:pPr>
        <w:spacing w:line="369" w:lineRule="auto"/>
        <w:rPr>
          <w:rFonts w:ascii="仿宋" w:hAnsi="仿宋" w:eastAsia="仿宋" w:cs="仿宋"/>
          <w:sz w:val="30"/>
          <w:szCs w:val="30"/>
        </w:rPr>
        <w:sectPr>
          <w:footerReference r:id="rId14" w:type="default"/>
          <w:pgSz w:w="11906" w:h="16838"/>
          <w:pgMar w:top="805" w:right="1615" w:bottom="412" w:left="1759" w:header="0" w:footer="189" w:gutter="0"/>
        </w:sectPr>
      </w:pPr>
    </w:p>
    <w:p>
      <w:pPr>
        <w:pStyle w:val="2"/>
        <w:spacing w:before="88" w:line="222" w:lineRule="auto"/>
        <w:ind w:left="6146"/>
        <w:rPr>
          <w:sz w:val="44"/>
          <w:szCs w:val="44"/>
        </w:rPr>
      </w:pPr>
      <w:r>
        <w:rPr>
          <w:spacing w:val="-7"/>
          <w:sz w:val="44"/>
          <w:szCs w:val="44"/>
        </w:rPr>
        <w:t>第五部分</w:t>
      </w:r>
      <w:r>
        <w:rPr>
          <w:spacing w:val="45"/>
          <w:sz w:val="44"/>
          <w:szCs w:val="44"/>
        </w:rPr>
        <w:t xml:space="preserve"> </w:t>
      </w:r>
      <w:r>
        <w:rPr>
          <w:spacing w:val="-7"/>
          <w:sz w:val="44"/>
          <w:szCs w:val="44"/>
        </w:rPr>
        <w:t>附件</w:t>
      </w:r>
    </w:p>
    <w:p>
      <w:pPr>
        <w:spacing w:line="337" w:lineRule="auto"/>
        <w:rPr>
          <w:rFonts w:ascii="Arial"/>
          <w:sz w:val="21"/>
        </w:rPr>
      </w:pPr>
    </w:p>
    <w:p>
      <w:pPr>
        <w:spacing w:before="78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预算公开01表</w:t>
      </w:r>
    </w:p>
    <w:p>
      <w:pPr>
        <w:spacing w:before="271" w:line="219" w:lineRule="auto"/>
        <w:ind w:left="6401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单位收支总体情况表</w:t>
      </w:r>
    </w:p>
    <w:p>
      <w:pPr>
        <w:spacing w:before="269" w:line="211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单位名称：117002柳州市城中区人民法院    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单位：万元</w:t>
      </w:r>
    </w:p>
    <w:tbl>
      <w:tblPr>
        <w:tblStyle w:val="5"/>
        <w:tblW w:w="151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0"/>
        <w:gridCol w:w="3772"/>
        <w:gridCol w:w="3772"/>
        <w:gridCol w:w="37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552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41" w:line="219" w:lineRule="auto"/>
              <w:ind w:left="3629"/>
            </w:pPr>
            <w:r>
              <w:rPr>
                <w:b/>
                <w:bCs/>
                <w:spacing w:val="-5"/>
              </w:rPr>
              <w:t>收入</w:t>
            </w:r>
          </w:p>
        </w:tc>
        <w:tc>
          <w:tcPr>
            <w:tcW w:w="7552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2" w:line="219" w:lineRule="auto"/>
              <w:ind w:left="3628"/>
            </w:pPr>
            <w:r>
              <w:rPr>
                <w:b/>
                <w:bCs/>
                <w:spacing w:val="-4"/>
              </w:rPr>
              <w:t>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35" w:line="219" w:lineRule="auto"/>
              <w:ind w:left="1736"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34" w:line="219" w:lineRule="auto"/>
              <w:ind w:left="1657"/>
            </w:pPr>
            <w:r>
              <w:rPr>
                <w:b/>
                <w:bCs/>
                <w:spacing w:val="-3"/>
              </w:rPr>
              <w:t>预算数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34" w:line="218" w:lineRule="auto"/>
              <w:ind w:left="914"/>
            </w:pPr>
            <w:r>
              <w:rPr>
                <w:b/>
                <w:bCs/>
                <w:spacing w:val="-3"/>
              </w:rPr>
              <w:t>项目（按支出功能科目分类）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34" w:line="219" w:lineRule="auto"/>
              <w:ind w:left="1665"/>
            </w:pPr>
            <w:r>
              <w:rPr>
                <w:b/>
                <w:bCs/>
                <w:spacing w:val="-3"/>
              </w:rPr>
              <w:t>预算数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35" w:line="219" w:lineRule="auto"/>
              <w:ind w:left="82"/>
            </w:pPr>
            <w:r>
              <w:rPr>
                <w:spacing w:val="-1"/>
              </w:rPr>
              <w:t>一、一般公共预算拨款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35" w:line="216" w:lineRule="auto"/>
              <w:ind w:right="1"/>
              <w:jc w:val="right"/>
            </w:pPr>
            <w:r>
              <w:rPr>
                <w:spacing w:val="-1"/>
              </w:rPr>
              <w:t>2,788.68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35" w:line="219" w:lineRule="auto"/>
              <w:ind w:left="85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36" w:line="230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37" w:line="219" w:lineRule="auto"/>
              <w:ind w:left="384"/>
            </w:pPr>
            <w:r>
              <w:rPr>
                <w:spacing w:val="-3"/>
              </w:rPr>
              <w:t>（一）上级补助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37" w:line="230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37" w:line="219" w:lineRule="auto"/>
              <w:ind w:left="86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37" w:line="230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36" w:line="218" w:lineRule="auto"/>
              <w:ind w:left="384"/>
            </w:pPr>
            <w:r>
              <w:rPr>
                <w:spacing w:val="-4"/>
              </w:rPr>
              <w:t>（二）本级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36" w:line="216" w:lineRule="auto"/>
              <w:ind w:right="1"/>
              <w:jc w:val="right"/>
            </w:pPr>
            <w:r>
              <w:rPr>
                <w:spacing w:val="-1"/>
              </w:rPr>
              <w:t>2,788.68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37" w:line="219" w:lineRule="auto"/>
              <w:ind w:left="83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37" w:line="230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36" w:line="219" w:lineRule="auto"/>
              <w:ind w:left="384"/>
            </w:pPr>
            <w:r>
              <w:rPr>
                <w:spacing w:val="-2"/>
              </w:rPr>
              <w:t>（三）一般债券收入</w:t>
            </w:r>
          </w:p>
        </w:tc>
        <w:tc>
          <w:tcPr>
            <w:tcW w:w="377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37" w:line="230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36" w:line="219" w:lineRule="auto"/>
              <w:ind w:left="98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36" w:line="216" w:lineRule="auto"/>
              <w:jc w:val="right"/>
            </w:pPr>
            <w:r>
              <w:rPr>
                <w:spacing w:val="-2"/>
              </w:rPr>
              <w:t>2,273.71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78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1" w:line="218" w:lineRule="auto"/>
              <w:ind w:left="83"/>
            </w:pPr>
            <w:r>
              <w:rPr>
                <w:spacing w:val="-1"/>
              </w:rPr>
              <w:t>二、政府性基金预算拨款</w:t>
            </w:r>
          </w:p>
        </w:tc>
        <w:tc>
          <w:tcPr>
            <w:tcW w:w="3772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41" w:line="229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41" w:line="219" w:lineRule="auto"/>
              <w:ind w:left="86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378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1" w:line="229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378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38" w:line="219" w:lineRule="auto"/>
              <w:ind w:left="384"/>
            </w:pPr>
            <w:r>
              <w:rPr>
                <w:spacing w:val="-3"/>
              </w:rPr>
              <w:t>（一）上级补助</w:t>
            </w:r>
          </w:p>
        </w:tc>
        <w:tc>
          <w:tcPr>
            <w:tcW w:w="377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37" w:line="228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37" w:line="218" w:lineRule="auto"/>
              <w:ind w:left="83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37" w:line="228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78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3" w:line="218" w:lineRule="auto"/>
              <w:ind w:left="384"/>
            </w:pPr>
            <w:r>
              <w:rPr>
                <w:spacing w:val="-4"/>
              </w:rPr>
              <w:t>（二）本级</w:t>
            </w:r>
          </w:p>
        </w:tc>
        <w:tc>
          <w:tcPr>
            <w:tcW w:w="3772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43" w:line="228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43" w:line="218" w:lineRule="auto"/>
              <w:ind w:left="83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378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3" w:line="228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38" w:line="219" w:lineRule="auto"/>
              <w:ind w:left="384"/>
            </w:pPr>
            <w:r>
              <w:rPr>
                <w:spacing w:val="-2"/>
              </w:rPr>
              <w:t>（三）专项债券收入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38" w:line="228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38" w:line="218" w:lineRule="auto"/>
              <w:ind w:left="86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38" w:line="228" w:lineRule="auto"/>
              <w:jc w:val="right"/>
            </w:pPr>
            <w:r>
              <w:rPr>
                <w:spacing w:val="-2"/>
              </w:rPr>
              <w:t>265.47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38" w:line="218" w:lineRule="auto"/>
              <w:ind w:left="80"/>
            </w:pPr>
            <w:r>
              <w:rPr>
                <w:spacing w:val="-1"/>
              </w:rPr>
              <w:t>三、国有资本经营预算拨款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38" w:line="228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38" w:line="219" w:lineRule="auto"/>
              <w:ind w:left="86"/>
            </w:pPr>
            <w:r>
              <w:rPr>
                <w:spacing w:val="-1"/>
              </w:rPr>
              <w:t>九、卫生健康支出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38" w:line="228" w:lineRule="auto"/>
              <w:jc w:val="right"/>
            </w:pPr>
            <w:r>
              <w:rPr>
                <w:spacing w:val="-3"/>
              </w:rPr>
              <w:t>137.97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39" w:line="219" w:lineRule="auto"/>
              <w:ind w:left="384"/>
            </w:pPr>
            <w:r>
              <w:rPr>
                <w:spacing w:val="-3"/>
              </w:rPr>
              <w:t>（一）上级补助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38" w:line="227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39" w:line="219" w:lineRule="auto"/>
              <w:ind w:left="84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38" w:line="227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39" w:line="218" w:lineRule="auto"/>
              <w:ind w:left="384"/>
            </w:pPr>
            <w:r>
              <w:rPr>
                <w:spacing w:val="-4"/>
              </w:rPr>
              <w:t>（二）本级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40" w:line="225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39" w:line="219" w:lineRule="auto"/>
              <w:ind w:left="84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0" w:line="225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0" w:line="219" w:lineRule="auto"/>
              <w:ind w:left="94"/>
            </w:pPr>
            <w:r>
              <w:rPr>
                <w:spacing w:val="-2"/>
              </w:rPr>
              <w:t>四、财政专户管理资金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41" w:line="225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0" w:line="219" w:lineRule="auto"/>
              <w:ind w:left="84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1" w:line="225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1" w:line="219" w:lineRule="auto"/>
              <w:ind w:left="83"/>
            </w:pPr>
            <w:r>
              <w:rPr>
                <w:spacing w:val="-2"/>
              </w:rPr>
              <w:t>五、单位资金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41" w:line="225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0" w:line="219" w:lineRule="auto"/>
              <w:ind w:left="84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1" w:line="225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0" w:line="219" w:lineRule="auto"/>
              <w:ind w:left="384"/>
            </w:pPr>
            <w:r>
              <w:rPr>
                <w:spacing w:val="-3"/>
              </w:rPr>
              <w:t>（一）事业收入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40" w:line="224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0" w:line="219" w:lineRule="auto"/>
              <w:ind w:left="84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0" w:line="224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378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1" w:line="219" w:lineRule="auto"/>
              <w:ind w:left="384"/>
            </w:pPr>
            <w:r>
              <w:rPr>
                <w:spacing w:val="-2"/>
              </w:rPr>
              <w:t>（二）事业单位经营收入</w:t>
            </w:r>
          </w:p>
        </w:tc>
        <w:tc>
          <w:tcPr>
            <w:tcW w:w="377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41" w:line="223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41" w:line="219" w:lineRule="auto"/>
              <w:ind w:left="84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1" w:line="223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78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7" w:line="219" w:lineRule="auto"/>
              <w:ind w:left="384"/>
            </w:pPr>
            <w:r>
              <w:rPr>
                <w:spacing w:val="-2"/>
              </w:rPr>
              <w:t>（三）上级补助收入</w:t>
            </w:r>
          </w:p>
        </w:tc>
        <w:tc>
          <w:tcPr>
            <w:tcW w:w="3772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47" w:line="223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48" w:line="219" w:lineRule="auto"/>
              <w:ind w:left="84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378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7" w:line="223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2" w:line="218" w:lineRule="auto"/>
              <w:ind w:left="384"/>
            </w:pPr>
            <w:r>
              <w:rPr>
                <w:spacing w:val="-2"/>
              </w:rPr>
              <w:t>（四）附属单位上缴收入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42" w:line="222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3" w:line="219" w:lineRule="auto"/>
              <w:ind w:left="84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2" w:line="222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3" w:line="219" w:lineRule="auto"/>
              <w:ind w:left="384"/>
            </w:pPr>
            <w:r>
              <w:rPr>
                <w:spacing w:val="-3"/>
              </w:rPr>
              <w:t>（五）其他收入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43" w:line="222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3" w:line="219" w:lineRule="auto"/>
              <w:ind w:left="84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3" w:line="222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3" w:line="219" w:lineRule="auto"/>
              <w:ind w:left="84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3" w:line="222" w:lineRule="auto"/>
              <w:jc w:val="right"/>
            </w:pPr>
            <w:r>
              <w:rPr>
                <w:spacing w:val="-3"/>
              </w:rPr>
              <w:t>111.53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3" w:line="218" w:lineRule="auto"/>
              <w:ind w:left="86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3" w:line="222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3" w:line="218" w:lineRule="auto"/>
              <w:ind w:left="86"/>
            </w:pPr>
            <w:r>
              <w:rPr>
                <w:spacing w:val="-2"/>
              </w:rPr>
              <w:t>二十一、国有资本经营预算支出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3" w:line="222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3" w:line="219" w:lineRule="auto"/>
              <w:ind w:left="86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3" w:line="222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4" w:line="219" w:lineRule="auto"/>
              <w:ind w:left="86"/>
            </w:pPr>
            <w:r>
              <w:rPr>
                <w:spacing w:val="-1"/>
              </w:rPr>
              <w:t>二十三、其他支出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3" w:line="222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3" w:line="218" w:lineRule="auto"/>
              <w:ind w:left="86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3" w:line="222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3" w:line="219" w:lineRule="auto"/>
              <w:ind w:left="86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3" w:line="222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3" w:line="219" w:lineRule="auto"/>
              <w:ind w:left="86"/>
            </w:pPr>
            <w:r>
              <w:rPr>
                <w:spacing w:val="-1"/>
              </w:rPr>
              <w:t>二十六、债务发行费用支出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3" w:line="222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3" w:line="218" w:lineRule="auto"/>
              <w:ind w:left="1399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43" w:line="216" w:lineRule="auto"/>
              <w:ind w:right="1"/>
              <w:jc w:val="right"/>
            </w:pPr>
            <w:r>
              <w:rPr>
                <w:spacing w:val="-1"/>
              </w:rPr>
              <w:t>2,788.68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3" w:line="218" w:lineRule="auto"/>
              <w:ind w:left="1402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3" w:line="216" w:lineRule="auto"/>
              <w:jc w:val="right"/>
            </w:pPr>
            <w:r>
              <w:rPr>
                <w:spacing w:val="-2"/>
              </w:rPr>
              <w:t>2,788.68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3" w:line="219" w:lineRule="auto"/>
              <w:ind w:left="81"/>
            </w:pPr>
            <w:r>
              <w:rPr>
                <w:spacing w:val="-1"/>
              </w:rPr>
              <w:t>上年结转结余</w:t>
            </w:r>
          </w:p>
        </w:tc>
        <w:tc>
          <w:tcPr>
            <w:tcW w:w="377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43" w:line="222" w:lineRule="auto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3" w:line="219" w:lineRule="auto"/>
              <w:ind w:left="88"/>
            </w:pPr>
            <w:r>
              <w:rPr>
                <w:spacing w:val="-2"/>
              </w:rPr>
              <w:t>结转下年支出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3" w:line="222" w:lineRule="auto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378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3" w:line="219" w:lineRule="auto"/>
              <w:ind w:left="1553"/>
            </w:pPr>
            <w:r>
              <w:rPr>
                <w:b/>
                <w:bCs/>
                <w:spacing w:val="-4"/>
              </w:rPr>
              <w:t>收入总计</w:t>
            </w:r>
          </w:p>
        </w:tc>
        <w:tc>
          <w:tcPr>
            <w:tcW w:w="377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43" w:line="216" w:lineRule="auto"/>
              <w:ind w:right="1"/>
              <w:jc w:val="right"/>
            </w:pPr>
            <w:r>
              <w:rPr>
                <w:spacing w:val="-1"/>
              </w:rPr>
              <w:t>2,788.68</w:t>
            </w:r>
          </w:p>
        </w:tc>
        <w:tc>
          <w:tcPr>
            <w:tcW w:w="377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44" w:line="219" w:lineRule="auto"/>
              <w:ind w:left="1552"/>
            </w:pPr>
            <w:r>
              <w:rPr>
                <w:b/>
                <w:bCs/>
                <w:spacing w:val="-3"/>
              </w:rPr>
              <w:t>支出总计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3" w:line="216" w:lineRule="auto"/>
              <w:jc w:val="right"/>
            </w:pPr>
            <w:r>
              <w:rPr>
                <w:spacing w:val="-2"/>
              </w:rPr>
              <w:t>2,788.68</w:t>
            </w:r>
          </w:p>
        </w:tc>
      </w:tr>
    </w:tbl>
    <w:p>
      <w:pPr>
        <w:spacing w:before="8" w:line="218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注：本套报表金额单位转换时可能存在四舍五</w:t>
      </w:r>
      <w:r>
        <w:rPr>
          <w:rFonts w:ascii="宋体" w:hAnsi="宋体" w:eastAsia="宋体" w:cs="宋体"/>
          <w:spacing w:val="-2"/>
          <w:sz w:val="18"/>
          <w:szCs w:val="18"/>
        </w:rPr>
        <w:t>入尾数误差。</w:t>
      </w:r>
    </w:p>
    <w:p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footerReference r:id="rId15" w:type="default"/>
          <w:pgSz w:w="16838" w:h="11906"/>
          <w:pgMar w:top="750" w:right="877" w:bottom="481" w:left="840" w:header="0" w:footer="162" w:gutter="0"/>
        </w:sectPr>
      </w:pPr>
    </w:p>
    <w:p>
      <w:pPr>
        <w:spacing w:before="252" w:line="219" w:lineRule="auto"/>
        <w:ind w:left="6401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单位收入总体情况表</w:t>
      </w:r>
    </w:p>
    <w:p>
      <w:pPr>
        <w:spacing w:before="269" w:line="211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单位名称：117002柳州市城中区人民法院    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单位：万元</w:t>
      </w:r>
    </w:p>
    <w:tbl>
      <w:tblPr>
        <w:tblStyle w:val="5"/>
        <w:tblW w:w="151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744"/>
        <w:gridCol w:w="961"/>
        <w:gridCol w:w="961"/>
        <w:gridCol w:w="961"/>
        <w:gridCol w:w="951"/>
        <w:gridCol w:w="951"/>
        <w:gridCol w:w="951"/>
        <w:gridCol w:w="951"/>
        <w:gridCol w:w="951"/>
        <w:gridCol w:w="951"/>
        <w:gridCol w:w="952"/>
        <w:gridCol w:w="951"/>
        <w:gridCol w:w="952"/>
        <w:gridCol w:w="9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90" w:lineRule="auto"/>
              <w:ind w:left="73" w:right="74" w:firstLine="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部门（单</w:t>
            </w:r>
            <w:r>
              <w:rPr>
                <w:b/>
                <w:bCs/>
                <w:spacing w:val="-4"/>
                <w:sz w:val="20"/>
                <w:szCs w:val="20"/>
              </w:rPr>
              <w:t>位）代码</w:t>
            </w:r>
          </w:p>
        </w:tc>
        <w:tc>
          <w:tcPr>
            <w:tcW w:w="1744" w:type="dxa"/>
            <w:vMerge w:val="restart"/>
            <w:tcBorders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6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部门（单位）名称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27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5726" w:type="dxa"/>
            <w:gridSpan w:val="6"/>
            <w:vAlign w:val="top"/>
          </w:tcPr>
          <w:p>
            <w:pPr>
              <w:pStyle w:val="6"/>
              <w:spacing w:before="56" w:line="218" w:lineRule="auto"/>
              <w:ind w:left="246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本年收入</w:t>
            </w:r>
          </w:p>
        </w:tc>
        <w:tc>
          <w:tcPr>
            <w:tcW w:w="5716" w:type="dxa"/>
            <w:gridSpan w:val="6"/>
            <w:vAlign w:val="top"/>
          </w:tcPr>
          <w:p>
            <w:pPr>
              <w:pStyle w:val="6"/>
              <w:spacing w:before="55" w:line="219" w:lineRule="auto"/>
              <w:ind w:left="225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220" w:lineRule="auto"/>
              <w:ind w:left="283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小计</w:t>
            </w:r>
          </w:p>
        </w:tc>
        <w:tc>
          <w:tcPr>
            <w:tcW w:w="96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9" w:line="259" w:lineRule="auto"/>
              <w:ind w:left="277" w:right="75" w:hanging="19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一般公共</w:t>
            </w:r>
            <w:r>
              <w:rPr>
                <w:b/>
                <w:bCs/>
                <w:spacing w:val="-4"/>
                <w:sz w:val="20"/>
                <w:szCs w:val="20"/>
              </w:rPr>
              <w:t>预算</w:t>
            </w:r>
          </w:p>
        </w:tc>
        <w:tc>
          <w:tcPr>
            <w:tcW w:w="951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49" w:line="259" w:lineRule="auto"/>
              <w:ind w:left="175" w:right="71" w:hanging="10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政府性基金预算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18" w:lineRule="auto"/>
              <w:ind w:left="96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国有资本</w:t>
            </w:r>
          </w:p>
          <w:p>
            <w:pPr>
              <w:pStyle w:val="6"/>
              <w:spacing w:before="75" w:line="219" w:lineRule="auto"/>
              <w:ind w:left="7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经营预算</w:t>
            </w: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9" w:line="220" w:lineRule="auto"/>
              <w:ind w:left="76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财政专户</w:t>
            </w:r>
          </w:p>
          <w:p>
            <w:pPr>
              <w:pStyle w:val="6"/>
              <w:spacing w:before="73" w:line="219" w:lineRule="auto"/>
              <w:ind w:left="7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管理资金</w:t>
            </w: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05" w:line="220" w:lineRule="auto"/>
              <w:ind w:left="7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单位资金</w:t>
            </w: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220" w:lineRule="auto"/>
              <w:ind w:left="283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小计</w:t>
            </w: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9" w:line="259" w:lineRule="auto"/>
              <w:ind w:left="278" w:right="64" w:hanging="19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一般公共</w:t>
            </w:r>
            <w:r>
              <w:rPr>
                <w:b/>
                <w:bCs/>
                <w:spacing w:val="-4"/>
                <w:sz w:val="20"/>
                <w:szCs w:val="20"/>
              </w:rPr>
              <w:t>预算</w:t>
            </w:r>
          </w:p>
        </w:tc>
        <w:tc>
          <w:tcPr>
            <w:tcW w:w="952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9" w:line="259" w:lineRule="auto"/>
              <w:ind w:left="181" w:right="63" w:hanging="10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政府性基金预算</w:t>
            </w: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18" w:lineRule="auto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国有资本</w:t>
            </w:r>
          </w:p>
          <w:p>
            <w:pPr>
              <w:pStyle w:val="6"/>
              <w:spacing w:before="75" w:line="219" w:lineRule="auto"/>
              <w:ind w:left="8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经营预算</w:t>
            </w:r>
          </w:p>
        </w:tc>
        <w:tc>
          <w:tcPr>
            <w:tcW w:w="952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9" w:line="220" w:lineRule="auto"/>
              <w:ind w:left="8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财政专户</w:t>
            </w:r>
          </w:p>
          <w:p>
            <w:pPr>
              <w:pStyle w:val="6"/>
              <w:spacing w:before="73" w:line="219" w:lineRule="auto"/>
              <w:ind w:left="8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管理资金</w:t>
            </w:r>
          </w:p>
        </w:tc>
        <w:tc>
          <w:tcPr>
            <w:tcW w:w="95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05" w:line="220" w:lineRule="auto"/>
              <w:ind w:left="8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单位资金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229" w:lineRule="auto"/>
              <w:ind w:left="440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229" w:lineRule="auto"/>
              <w:ind w:left="429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229" w:lineRule="auto"/>
              <w:ind w:left="43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7" w:line="229" w:lineRule="auto"/>
              <w:ind w:left="423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57" w:line="229" w:lineRule="auto"/>
              <w:ind w:left="43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229" w:lineRule="auto"/>
              <w:ind w:left="42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229" w:lineRule="auto"/>
              <w:ind w:left="43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</w:t>
            </w:r>
          </w:p>
        </w:tc>
        <w:tc>
          <w:tcPr>
            <w:tcW w:w="95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229" w:lineRule="auto"/>
              <w:ind w:left="42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229" w:lineRule="auto"/>
              <w:ind w:left="429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229" w:lineRule="auto"/>
              <w:ind w:left="395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229" w:lineRule="auto"/>
              <w:ind w:left="396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11</w:t>
            </w:r>
          </w:p>
        </w:tc>
        <w:tc>
          <w:tcPr>
            <w:tcW w:w="952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229" w:lineRule="auto"/>
              <w:ind w:left="397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12</w:t>
            </w:r>
          </w:p>
        </w:tc>
        <w:tc>
          <w:tcPr>
            <w:tcW w:w="95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229" w:lineRule="auto"/>
              <w:ind w:left="398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702" w:type="dxa"/>
            <w:gridSpan w:val="2"/>
            <w:vAlign w:val="top"/>
          </w:tcPr>
          <w:p>
            <w:pPr>
              <w:pStyle w:val="6"/>
              <w:spacing w:before="54" w:line="220" w:lineRule="auto"/>
              <w:ind w:left="10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961" w:type="dxa"/>
            <w:vAlign w:val="top"/>
          </w:tcPr>
          <w:p>
            <w:pPr>
              <w:pStyle w:val="6"/>
              <w:spacing w:before="53" w:line="216" w:lineRule="auto"/>
              <w:ind w:right="4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961" w:type="dxa"/>
            <w:vAlign w:val="top"/>
          </w:tcPr>
          <w:p>
            <w:pPr>
              <w:pStyle w:val="6"/>
              <w:spacing w:before="53" w:line="216" w:lineRule="auto"/>
              <w:ind w:right="2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961" w:type="dxa"/>
            <w:vAlign w:val="top"/>
          </w:tcPr>
          <w:p>
            <w:pPr>
              <w:pStyle w:val="6"/>
              <w:spacing w:before="53" w:line="216" w:lineRule="auto"/>
              <w:ind w:right="1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951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58" w:type="dxa"/>
            <w:vAlign w:val="top"/>
          </w:tcPr>
          <w:p>
            <w:pPr>
              <w:pStyle w:val="6"/>
              <w:spacing w:before="211" w:line="239" w:lineRule="auto"/>
              <w:ind w:left="12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117</w:t>
            </w:r>
          </w:p>
        </w:tc>
        <w:tc>
          <w:tcPr>
            <w:tcW w:w="1744" w:type="dxa"/>
            <w:vAlign w:val="top"/>
          </w:tcPr>
          <w:p>
            <w:pPr>
              <w:pStyle w:val="6"/>
              <w:spacing w:before="55" w:line="257" w:lineRule="auto"/>
              <w:ind w:left="4" w:right="33" w:firstLine="9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广西壮族自治区柳</w:t>
            </w:r>
            <w:r>
              <w:rPr>
                <w:spacing w:val="-2"/>
                <w:sz w:val="20"/>
                <w:szCs w:val="20"/>
              </w:rPr>
              <w:t>州市中级人民法院</w:t>
            </w:r>
          </w:p>
        </w:tc>
        <w:tc>
          <w:tcPr>
            <w:tcW w:w="961" w:type="dxa"/>
            <w:vAlign w:val="top"/>
          </w:tcPr>
          <w:p>
            <w:pPr>
              <w:pStyle w:val="6"/>
              <w:spacing w:before="210" w:line="216" w:lineRule="auto"/>
              <w:ind w:right="4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961" w:type="dxa"/>
            <w:vAlign w:val="top"/>
          </w:tcPr>
          <w:p>
            <w:pPr>
              <w:pStyle w:val="6"/>
              <w:spacing w:before="210" w:line="216" w:lineRule="auto"/>
              <w:ind w:right="2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961" w:type="dxa"/>
            <w:vAlign w:val="top"/>
          </w:tcPr>
          <w:p>
            <w:pPr>
              <w:pStyle w:val="6"/>
              <w:spacing w:before="210" w:line="216" w:lineRule="auto"/>
              <w:ind w:right="1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951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6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6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2" w:line="239" w:lineRule="auto"/>
              <w:ind w:left="12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117002</w:t>
            </w:r>
          </w:p>
        </w:tc>
        <w:tc>
          <w:tcPr>
            <w:tcW w:w="174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59" w:lineRule="auto"/>
              <w:ind w:left="2" w:right="33" w:firstLine="9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柳州市城中区人民</w:t>
            </w:r>
            <w:r>
              <w:rPr>
                <w:spacing w:val="-3"/>
                <w:sz w:val="20"/>
                <w:szCs w:val="20"/>
              </w:rPr>
              <w:t>法院</w:t>
            </w:r>
          </w:p>
        </w:tc>
        <w:tc>
          <w:tcPr>
            <w:tcW w:w="96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2" w:line="216" w:lineRule="auto"/>
              <w:ind w:right="4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96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2" w:line="216" w:lineRule="auto"/>
              <w:ind w:right="2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96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2" w:line="216" w:lineRule="auto"/>
              <w:ind w:right="1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951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952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952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95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footerReference r:id="rId17" w:type="default"/>
          <w:pgSz w:w="16838" w:h="11906"/>
          <w:pgMar w:top="1305" w:right="877" w:bottom="412" w:left="840" w:header="936" w:footer="189" w:gutter="0"/>
        </w:sectPr>
      </w:pPr>
    </w:p>
    <w:p>
      <w:pPr>
        <w:spacing w:before="253" w:line="219" w:lineRule="auto"/>
        <w:ind w:left="6401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单位支出总体情况表</w:t>
      </w:r>
    </w:p>
    <w:p>
      <w:pPr>
        <w:spacing w:before="268" w:line="211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单位名称：117002柳州市城中区人民法院    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单位：万元</w:t>
      </w:r>
    </w:p>
    <w:tbl>
      <w:tblPr>
        <w:tblStyle w:val="5"/>
        <w:tblW w:w="151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2264"/>
        <w:gridCol w:w="3773"/>
        <w:gridCol w:w="1811"/>
        <w:gridCol w:w="1810"/>
        <w:gridCol w:w="1810"/>
        <w:gridCol w:w="18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819" w:type="dxa"/>
            <w:vAlign w:val="top"/>
          </w:tcPr>
          <w:p>
            <w:pPr>
              <w:pStyle w:val="6"/>
              <w:spacing w:before="56" w:line="218" w:lineRule="auto"/>
              <w:ind w:left="50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科目编码</w:t>
            </w:r>
          </w:p>
        </w:tc>
        <w:tc>
          <w:tcPr>
            <w:tcW w:w="2264" w:type="dxa"/>
            <w:vAlign w:val="top"/>
          </w:tcPr>
          <w:p>
            <w:pPr>
              <w:pStyle w:val="6"/>
              <w:spacing w:before="55" w:line="219" w:lineRule="auto"/>
              <w:ind w:left="32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部门（单位）代码</w:t>
            </w:r>
          </w:p>
        </w:tc>
        <w:tc>
          <w:tcPr>
            <w:tcW w:w="3773" w:type="dxa"/>
            <w:vAlign w:val="top"/>
          </w:tcPr>
          <w:p>
            <w:pPr>
              <w:pStyle w:val="6"/>
              <w:spacing w:before="56" w:line="218" w:lineRule="auto"/>
              <w:ind w:left="185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部门名称（单位）(功能分类科目名称)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6" w:line="220" w:lineRule="auto"/>
              <w:ind w:left="70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6" w:line="218" w:lineRule="auto"/>
              <w:ind w:left="50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基本支出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5" w:line="220" w:lineRule="auto"/>
              <w:ind w:left="51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项目支出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19" w:lineRule="auto"/>
              <w:ind w:left="3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结转下年支出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56" w:type="dxa"/>
            <w:gridSpan w:val="3"/>
            <w:vAlign w:val="top"/>
          </w:tcPr>
          <w:p>
            <w:pPr>
              <w:pStyle w:val="6"/>
              <w:spacing w:before="49" w:line="220" w:lineRule="auto"/>
              <w:ind w:left="3678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48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48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2,305.26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48" w:line="233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483.42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8" w:line="233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6"/>
              <w:spacing w:before="49" w:line="232" w:lineRule="auto"/>
              <w:ind w:left="11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117</w:t>
            </w:r>
          </w:p>
        </w:tc>
        <w:tc>
          <w:tcPr>
            <w:tcW w:w="3773" w:type="dxa"/>
            <w:vAlign w:val="top"/>
          </w:tcPr>
          <w:p>
            <w:pPr>
              <w:pStyle w:val="6"/>
              <w:spacing w:before="50" w:line="218" w:lineRule="auto"/>
              <w:ind w:left="10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广西壮族自治区柳州市中级人民法院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49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49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2,305.26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483.42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9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31" w:lineRule="auto"/>
              <w:ind w:left="116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117002</w:t>
            </w:r>
          </w:p>
        </w:tc>
        <w:tc>
          <w:tcPr>
            <w:tcW w:w="377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18" w:lineRule="auto"/>
              <w:ind w:left="10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柳州市城中区人民法院</w:t>
            </w:r>
          </w:p>
        </w:tc>
        <w:tc>
          <w:tcPr>
            <w:tcW w:w="181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181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2,305.26</w:t>
            </w:r>
          </w:p>
        </w:tc>
        <w:tc>
          <w:tcPr>
            <w:tcW w:w="181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483.42</w:t>
            </w:r>
          </w:p>
        </w:tc>
        <w:tc>
          <w:tcPr>
            <w:tcW w:w="181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1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30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2040501</w:t>
            </w:r>
          </w:p>
        </w:tc>
        <w:tc>
          <w:tcPr>
            <w:tcW w:w="2264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0" w:lineRule="auto"/>
              <w:ind w:left="1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行政运行</w:t>
            </w:r>
          </w:p>
        </w:tc>
        <w:tc>
          <w:tcPr>
            <w:tcW w:w="181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1,790.29</w:t>
            </w:r>
          </w:p>
        </w:tc>
        <w:tc>
          <w:tcPr>
            <w:tcW w:w="181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1,790.29</w:t>
            </w:r>
          </w:p>
        </w:tc>
        <w:tc>
          <w:tcPr>
            <w:tcW w:w="181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6"/>
              <w:spacing w:before="52" w:line="229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2040502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3" w:type="dxa"/>
            <w:vAlign w:val="top"/>
          </w:tcPr>
          <w:p>
            <w:pPr>
              <w:pStyle w:val="6"/>
              <w:spacing w:before="52" w:line="219" w:lineRule="auto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一般行政管理事务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240.13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240.13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6"/>
              <w:spacing w:before="53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2040504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3" w:type="dxa"/>
            <w:vAlign w:val="top"/>
          </w:tcPr>
          <w:p>
            <w:pPr>
              <w:pStyle w:val="6"/>
              <w:spacing w:before="53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案件审判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56.40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56.40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7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2040505</w:t>
            </w:r>
          </w:p>
        </w:tc>
        <w:tc>
          <w:tcPr>
            <w:tcW w:w="2264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4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案件执行</w:t>
            </w:r>
          </w:p>
        </w:tc>
        <w:tc>
          <w:tcPr>
            <w:tcW w:w="181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15.76</w:t>
            </w:r>
          </w:p>
        </w:tc>
        <w:tc>
          <w:tcPr>
            <w:tcW w:w="181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15.76</w:t>
            </w:r>
          </w:p>
        </w:tc>
        <w:tc>
          <w:tcPr>
            <w:tcW w:w="181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1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1" w:line="226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2040506</w:t>
            </w:r>
          </w:p>
        </w:tc>
        <w:tc>
          <w:tcPr>
            <w:tcW w:w="2264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0" w:lineRule="auto"/>
              <w:ind w:left="8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“两庭”建设</w:t>
            </w:r>
          </w:p>
        </w:tc>
        <w:tc>
          <w:tcPr>
            <w:tcW w:w="181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15.15</w:t>
            </w:r>
          </w:p>
        </w:tc>
        <w:tc>
          <w:tcPr>
            <w:tcW w:w="181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15.15</w:t>
            </w:r>
          </w:p>
        </w:tc>
        <w:tc>
          <w:tcPr>
            <w:tcW w:w="181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6"/>
              <w:spacing w:before="57" w:line="225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2040599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3" w:type="dxa"/>
            <w:vAlign w:val="top"/>
          </w:tcPr>
          <w:p>
            <w:pPr>
              <w:pStyle w:val="6"/>
              <w:spacing w:before="56" w:line="220" w:lineRule="auto"/>
              <w:ind w:left="1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其他法院支出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155.98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155.98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6"/>
              <w:spacing w:before="58" w:line="224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2080501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3" w:type="dxa"/>
            <w:vAlign w:val="top"/>
          </w:tcPr>
          <w:p>
            <w:pPr>
              <w:pStyle w:val="6"/>
              <w:spacing w:before="57" w:line="219" w:lineRule="auto"/>
              <w:ind w:left="10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行政单位离退休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59.69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59.69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6"/>
              <w:spacing w:before="59" w:line="223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3" w:type="dxa"/>
            <w:vAlign w:val="top"/>
          </w:tcPr>
          <w:p>
            <w:pPr>
              <w:pStyle w:val="6"/>
              <w:spacing w:before="59" w:line="218" w:lineRule="auto"/>
              <w:ind w:left="1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9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137.19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9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137.19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9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9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6"/>
              <w:spacing w:before="60" w:line="222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2080506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3" w:type="dxa"/>
            <w:vAlign w:val="top"/>
          </w:tcPr>
          <w:p>
            <w:pPr>
              <w:pStyle w:val="6"/>
              <w:spacing w:before="60" w:line="218" w:lineRule="auto"/>
              <w:ind w:left="1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机关事业单位职业年金缴费支出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68.59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68.59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6"/>
              <w:spacing w:before="60" w:line="222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3" w:type="dxa"/>
            <w:vAlign w:val="top"/>
          </w:tcPr>
          <w:p>
            <w:pPr>
              <w:pStyle w:val="6"/>
              <w:spacing w:before="60" w:line="220" w:lineRule="auto"/>
              <w:ind w:left="10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行政单位医疗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67.74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67.74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6"/>
              <w:spacing w:before="61" w:line="221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2101103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3" w:type="dxa"/>
            <w:vAlign w:val="top"/>
          </w:tcPr>
          <w:p>
            <w:pPr>
              <w:pStyle w:val="6"/>
              <w:spacing w:before="61" w:line="219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公务员医疗补助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61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70.24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61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70.24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61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1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819" w:type="dxa"/>
            <w:vAlign w:val="top"/>
          </w:tcPr>
          <w:p>
            <w:pPr>
              <w:pStyle w:val="6"/>
              <w:spacing w:before="63" w:line="227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3" w:type="dxa"/>
            <w:vAlign w:val="top"/>
          </w:tcPr>
          <w:p>
            <w:pPr>
              <w:pStyle w:val="6"/>
              <w:spacing w:before="62" w:line="220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63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111.53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63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111.53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63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3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8" w:type="default"/>
          <w:footerReference r:id="rId19" w:type="default"/>
          <w:pgSz w:w="16838" w:h="11906"/>
          <w:pgMar w:top="1305" w:right="877" w:bottom="481" w:left="840" w:header="936" w:footer="162" w:gutter="0"/>
        </w:sectPr>
      </w:pPr>
    </w:p>
    <w:p>
      <w:pPr>
        <w:spacing w:before="252" w:line="219" w:lineRule="auto"/>
        <w:ind w:left="614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财政拨款收支总体情况表</w:t>
      </w:r>
    </w:p>
    <w:p>
      <w:pPr>
        <w:spacing w:before="269" w:line="211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单位名称：117002柳州市城中区人民法院    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单位：万元</w:t>
      </w:r>
    </w:p>
    <w:tbl>
      <w:tblPr>
        <w:tblStyle w:val="5"/>
        <w:tblW w:w="15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0"/>
        <w:gridCol w:w="3774"/>
        <w:gridCol w:w="3775"/>
        <w:gridCol w:w="3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554" w:type="dxa"/>
            <w:gridSpan w:val="2"/>
            <w:vAlign w:val="top"/>
          </w:tcPr>
          <w:p>
            <w:pPr>
              <w:pStyle w:val="6"/>
              <w:spacing w:before="46" w:line="231" w:lineRule="auto"/>
              <w:ind w:left="3624"/>
            </w:pPr>
            <w:r>
              <w:rPr>
                <w:b/>
                <w:bCs/>
                <w:spacing w:val="2"/>
              </w:rPr>
              <w:t>收入</w:t>
            </w:r>
          </w:p>
        </w:tc>
        <w:tc>
          <w:tcPr>
            <w:tcW w:w="7555" w:type="dxa"/>
            <w:gridSpan w:val="2"/>
            <w:vAlign w:val="top"/>
          </w:tcPr>
          <w:p>
            <w:pPr>
              <w:pStyle w:val="6"/>
              <w:spacing w:before="47" w:line="231" w:lineRule="auto"/>
              <w:ind w:left="3620"/>
            </w:pPr>
            <w:r>
              <w:rPr>
                <w:b/>
                <w:bCs/>
                <w:spacing w:val="4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2" w:line="231" w:lineRule="auto"/>
              <w:ind w:left="1731"/>
            </w:pPr>
            <w:r>
              <w:rPr>
                <w:b/>
                <w:bCs/>
                <w:spacing w:val="4"/>
              </w:rPr>
              <w:t>项目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41" w:line="231" w:lineRule="auto"/>
              <w:ind w:left="1648"/>
            </w:pPr>
            <w:r>
              <w:rPr>
                <w:b/>
                <w:bCs/>
                <w:spacing w:val="6"/>
              </w:rPr>
              <w:t>预算数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1" w:line="230" w:lineRule="auto"/>
              <w:ind w:left="853"/>
            </w:pPr>
            <w:r>
              <w:rPr>
                <w:b/>
                <w:bCs/>
                <w:spacing w:val="6"/>
              </w:rPr>
              <w:t>项目（按支出功能科目分类）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1" w:line="231" w:lineRule="auto"/>
              <w:ind w:left="1653"/>
            </w:pPr>
            <w:r>
              <w:rPr>
                <w:b/>
                <w:bCs/>
                <w:spacing w:val="6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2" w:line="230" w:lineRule="auto"/>
              <w:ind w:left="90"/>
            </w:pPr>
            <w:r>
              <w:rPr>
                <w:spacing w:val="7"/>
              </w:rPr>
              <w:t>一、本年收入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42" w:line="228" w:lineRule="auto"/>
              <w:jc w:val="right"/>
            </w:pPr>
            <w:r>
              <w:rPr>
                <w:spacing w:val="3"/>
              </w:rPr>
              <w:t>2,788.68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2" w:line="230" w:lineRule="auto"/>
              <w:ind w:left="90"/>
            </w:pPr>
            <w:r>
              <w:rPr>
                <w:spacing w:val="5"/>
              </w:rPr>
              <w:t>一、本年支出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2" w:line="228" w:lineRule="auto"/>
              <w:jc w:val="right"/>
            </w:pPr>
            <w:r>
              <w:rPr>
                <w:spacing w:val="3"/>
              </w:rPr>
              <w:t>2,788.68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3" w:line="231" w:lineRule="auto"/>
              <w:ind w:left="97"/>
            </w:pPr>
            <w:r>
              <w:rPr>
                <w:spacing w:val="8"/>
              </w:rPr>
              <w:t>（一）一般公共预算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43" w:line="228" w:lineRule="auto"/>
              <w:jc w:val="right"/>
            </w:pPr>
            <w:r>
              <w:rPr>
                <w:spacing w:val="3"/>
              </w:rPr>
              <w:t>2,788.68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3" w:line="231" w:lineRule="auto"/>
              <w:ind w:left="257"/>
            </w:pPr>
            <w:r>
              <w:rPr>
                <w:spacing w:val="8"/>
              </w:rPr>
              <w:t>（一）一般公共服务支出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4" w:line="242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4" w:line="231" w:lineRule="auto"/>
              <w:ind w:left="419"/>
            </w:pPr>
            <w:r>
              <w:rPr>
                <w:spacing w:val="5"/>
              </w:rPr>
              <w:t>1、上级补助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44" w:line="241" w:lineRule="auto"/>
              <w:jc w:val="right"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4" w:line="231" w:lineRule="auto"/>
              <w:ind w:left="257"/>
            </w:pPr>
            <w:r>
              <w:rPr>
                <w:spacing w:val="4"/>
              </w:rPr>
              <w:t>（二）外交支出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4" w:line="241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4" w:line="230" w:lineRule="auto"/>
              <w:ind w:left="409"/>
            </w:pPr>
            <w:r>
              <w:rPr>
                <w:spacing w:val="6"/>
              </w:rPr>
              <w:t>2、本级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44" w:line="228" w:lineRule="auto"/>
              <w:jc w:val="right"/>
            </w:pPr>
            <w:r>
              <w:rPr>
                <w:spacing w:val="3"/>
              </w:rPr>
              <w:t>2,788.68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5" w:line="231" w:lineRule="auto"/>
              <w:ind w:left="257"/>
            </w:pPr>
            <w:r>
              <w:rPr>
                <w:spacing w:val="4"/>
              </w:rPr>
              <w:t>（三）国防支出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5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5" w:line="231" w:lineRule="auto"/>
              <w:ind w:left="411"/>
            </w:pPr>
            <w:r>
              <w:rPr>
                <w:spacing w:val="8"/>
              </w:rPr>
              <w:t>3、一般债券收入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45" w:line="239" w:lineRule="auto"/>
              <w:jc w:val="right"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5" w:line="231" w:lineRule="auto"/>
              <w:ind w:left="257"/>
            </w:pPr>
            <w:r>
              <w:rPr>
                <w:spacing w:val="5"/>
              </w:rPr>
              <w:t>（四）公共安全支出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5" w:line="228" w:lineRule="auto"/>
              <w:jc w:val="right"/>
            </w:pPr>
            <w:r>
              <w:rPr>
                <w:spacing w:val="3"/>
              </w:rPr>
              <w:t>2,273.71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6" w:line="230" w:lineRule="auto"/>
              <w:ind w:left="97"/>
            </w:pPr>
            <w:r>
              <w:rPr>
                <w:spacing w:val="7"/>
              </w:rPr>
              <w:t>（二）政府性基金预算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46" w:line="239" w:lineRule="auto"/>
              <w:jc w:val="right"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6" w:line="231" w:lineRule="auto"/>
              <w:ind w:left="257"/>
            </w:pPr>
            <w:r>
              <w:rPr>
                <w:spacing w:val="4"/>
              </w:rPr>
              <w:t>（五）教育支出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6" w:line="239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7" w:line="231" w:lineRule="auto"/>
              <w:ind w:left="419"/>
            </w:pPr>
            <w:r>
              <w:rPr>
                <w:spacing w:val="5"/>
              </w:rPr>
              <w:t>1、上级补助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46" w:line="238" w:lineRule="auto"/>
              <w:jc w:val="right"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6" w:line="230" w:lineRule="auto"/>
              <w:ind w:left="257"/>
            </w:pPr>
            <w:r>
              <w:rPr>
                <w:spacing w:val="5"/>
              </w:rPr>
              <w:t>（六）科学技术支出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6" w:line="238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7" w:line="230" w:lineRule="auto"/>
              <w:ind w:left="409"/>
            </w:pPr>
            <w:r>
              <w:rPr>
                <w:spacing w:val="6"/>
              </w:rPr>
              <w:t>2、本级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47" w:line="238" w:lineRule="auto"/>
              <w:jc w:val="right"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7" w:line="230" w:lineRule="auto"/>
              <w:ind w:left="257"/>
            </w:pPr>
            <w:r>
              <w:rPr>
                <w:spacing w:val="7"/>
              </w:rPr>
              <w:t>（七）文化旅游体育与传媒支出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7" w:line="238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7" w:line="231" w:lineRule="auto"/>
              <w:ind w:left="411"/>
            </w:pPr>
            <w:r>
              <w:rPr>
                <w:spacing w:val="8"/>
              </w:rPr>
              <w:t>3、专项债券收入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48" w:line="236" w:lineRule="auto"/>
              <w:jc w:val="right"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7" w:line="230" w:lineRule="auto"/>
              <w:ind w:left="257"/>
            </w:pPr>
            <w:r>
              <w:rPr>
                <w:spacing w:val="6"/>
              </w:rPr>
              <w:t>（八）社会保障和就业支出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8" w:line="236" w:lineRule="auto"/>
              <w:jc w:val="right"/>
            </w:pPr>
            <w:r>
              <w:rPr>
                <w:spacing w:val="3"/>
              </w:rPr>
              <w:t>265.47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8" w:line="230" w:lineRule="auto"/>
              <w:ind w:left="97"/>
            </w:pPr>
            <w:r>
              <w:rPr>
                <w:spacing w:val="7"/>
              </w:rPr>
              <w:t>（三）国有资本经营预算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49" w:line="235" w:lineRule="auto"/>
              <w:jc w:val="right"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8" w:line="231" w:lineRule="auto"/>
              <w:ind w:left="257"/>
            </w:pPr>
            <w:r>
              <w:rPr>
                <w:spacing w:val="5"/>
              </w:rPr>
              <w:t>（九）卫生健康支出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9" w:line="235" w:lineRule="auto"/>
              <w:jc w:val="right"/>
            </w:pPr>
            <w:r>
              <w:rPr>
                <w:spacing w:val="1"/>
              </w:rPr>
              <w:t>137.97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50" w:line="231" w:lineRule="auto"/>
              <w:ind w:left="419"/>
            </w:pPr>
            <w:r>
              <w:rPr>
                <w:spacing w:val="5"/>
              </w:rPr>
              <w:t>1、上级补助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50" w:line="231" w:lineRule="auto"/>
              <w:ind w:left="257"/>
            </w:pPr>
            <w:r>
              <w:rPr>
                <w:spacing w:val="5"/>
              </w:rPr>
              <w:t>（十）节能环保支出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9" w:line="230" w:lineRule="auto"/>
              <w:ind w:left="409"/>
            </w:pPr>
            <w:r>
              <w:rPr>
                <w:spacing w:val="6"/>
              </w:rPr>
              <w:t>2、本级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1" w:lineRule="auto"/>
              <w:ind w:left="257"/>
            </w:pPr>
            <w:r>
              <w:rPr>
                <w:spacing w:val="6"/>
              </w:rPr>
              <w:t>（十一）城乡社区支出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9" w:line="231" w:lineRule="auto"/>
              <w:ind w:left="90"/>
            </w:pPr>
            <w:r>
              <w:rPr>
                <w:spacing w:val="8"/>
              </w:rPr>
              <w:t>二、上年结转结余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1" w:lineRule="auto"/>
              <w:ind w:left="257"/>
            </w:pPr>
            <w:r>
              <w:rPr>
                <w:spacing w:val="5"/>
              </w:rPr>
              <w:t>（十二）农林水支出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9" w:line="231" w:lineRule="auto"/>
              <w:ind w:left="97"/>
            </w:pPr>
            <w:r>
              <w:rPr>
                <w:spacing w:val="8"/>
              </w:rPr>
              <w:t>（一）一般公共预算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1" w:lineRule="auto"/>
              <w:ind w:left="257"/>
            </w:pPr>
            <w:r>
              <w:rPr>
                <w:spacing w:val="6"/>
              </w:rPr>
              <w:t>（十三）交通运输支出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9" w:line="230" w:lineRule="auto"/>
              <w:ind w:left="97"/>
            </w:pPr>
            <w:r>
              <w:rPr>
                <w:spacing w:val="7"/>
              </w:rPr>
              <w:t>（二）政府性基金预算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1" w:lineRule="auto"/>
              <w:ind w:left="257"/>
            </w:pPr>
            <w:r>
              <w:rPr>
                <w:spacing w:val="7"/>
              </w:rPr>
              <w:t>（十四）资源勘探工业信息等支出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9" w:line="230" w:lineRule="auto"/>
              <w:ind w:left="97"/>
            </w:pPr>
            <w:r>
              <w:rPr>
                <w:spacing w:val="7"/>
              </w:rPr>
              <w:t>（三）国有资本经营预算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1" w:lineRule="auto"/>
              <w:ind w:left="257"/>
            </w:pPr>
            <w:r>
              <w:rPr>
                <w:spacing w:val="6"/>
              </w:rPr>
              <w:t>（十五）商业服务业等支出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5" w:type="dxa"/>
            <w:vAlign w:val="top"/>
          </w:tcPr>
          <w:p>
            <w:pPr>
              <w:pStyle w:val="6"/>
              <w:spacing w:before="50" w:line="231" w:lineRule="auto"/>
              <w:ind w:left="257"/>
            </w:pPr>
            <w:r>
              <w:rPr>
                <w:spacing w:val="5"/>
              </w:rPr>
              <w:t>（十六）金融支出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5" w:type="dxa"/>
            <w:vAlign w:val="top"/>
          </w:tcPr>
          <w:p>
            <w:pPr>
              <w:pStyle w:val="6"/>
              <w:spacing w:before="50" w:line="231" w:lineRule="auto"/>
              <w:ind w:left="257"/>
            </w:pPr>
            <w:r>
              <w:rPr>
                <w:spacing w:val="6"/>
              </w:rPr>
              <w:t>（十七）援助其他地区支出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1" w:lineRule="auto"/>
              <w:ind w:left="257"/>
            </w:pPr>
            <w:r>
              <w:rPr>
                <w:spacing w:val="7"/>
              </w:rPr>
              <w:t>（十八）自然资源海洋气象等支出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1" w:lineRule="auto"/>
              <w:ind w:left="257"/>
            </w:pPr>
            <w:r>
              <w:rPr>
                <w:spacing w:val="6"/>
              </w:rPr>
              <w:t>（十九）住房保障支出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1"/>
              </w:rPr>
              <w:t>111.53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0" w:lineRule="auto"/>
              <w:ind w:left="257"/>
            </w:pPr>
            <w:r>
              <w:rPr>
                <w:spacing w:val="6"/>
              </w:rPr>
              <w:t>（二十）粮油物资储备支出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0" w:lineRule="auto"/>
              <w:ind w:left="257"/>
            </w:pPr>
            <w:r>
              <w:rPr>
                <w:spacing w:val="7"/>
              </w:rPr>
              <w:t>（二十一）国有资本经营预算支出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1" w:lineRule="auto"/>
              <w:ind w:left="257"/>
            </w:pPr>
            <w:r>
              <w:rPr>
                <w:spacing w:val="7"/>
              </w:rPr>
              <w:t>（二十二）灾害防治及应急管理支出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5" w:type="dxa"/>
            <w:vAlign w:val="top"/>
          </w:tcPr>
          <w:p>
            <w:pPr>
              <w:pStyle w:val="6"/>
              <w:spacing w:before="50" w:line="231" w:lineRule="auto"/>
              <w:ind w:left="257"/>
            </w:pPr>
            <w:r>
              <w:rPr>
                <w:spacing w:val="5"/>
              </w:rPr>
              <w:t>（二十三）其他支出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0" w:lineRule="auto"/>
              <w:ind w:left="257"/>
            </w:pPr>
            <w:r>
              <w:rPr>
                <w:spacing w:val="6"/>
              </w:rPr>
              <w:t>（二十四）债务还本支出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1" w:lineRule="auto"/>
              <w:ind w:left="257"/>
            </w:pPr>
            <w:r>
              <w:rPr>
                <w:spacing w:val="6"/>
              </w:rPr>
              <w:t>（二十五）债务付息支出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1" w:lineRule="auto"/>
              <w:ind w:left="257"/>
            </w:pPr>
            <w:r>
              <w:rPr>
                <w:spacing w:val="7"/>
              </w:rPr>
              <w:t>（二十六）债务发行费用支出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3775" w:type="dxa"/>
            <w:vAlign w:val="top"/>
          </w:tcPr>
          <w:p>
            <w:pPr>
              <w:pStyle w:val="6"/>
              <w:spacing w:before="49" w:line="231" w:lineRule="auto"/>
              <w:ind w:left="90"/>
            </w:pPr>
            <w:r>
              <w:rPr>
                <w:spacing w:val="8"/>
              </w:rPr>
              <w:t>二、结转下年支出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50" w:line="235" w:lineRule="auto"/>
              <w:jc w:val="right"/>
            </w:pPr>
            <w:r>
              <w:rPr>
                <w:spacing w:val="3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3780" w:type="dxa"/>
            <w:vAlign w:val="top"/>
          </w:tcPr>
          <w:p>
            <w:pPr>
              <w:pStyle w:val="6"/>
              <w:spacing w:before="49" w:line="231" w:lineRule="auto"/>
              <w:ind w:left="1536"/>
            </w:pPr>
            <w:r>
              <w:rPr>
                <w:b/>
                <w:bCs/>
                <w:spacing w:val="5"/>
              </w:rPr>
              <w:t>收入总计</w:t>
            </w:r>
          </w:p>
        </w:tc>
        <w:tc>
          <w:tcPr>
            <w:tcW w:w="3774" w:type="dxa"/>
            <w:vAlign w:val="top"/>
          </w:tcPr>
          <w:p>
            <w:pPr>
              <w:pStyle w:val="6"/>
              <w:spacing w:before="49" w:line="228" w:lineRule="auto"/>
              <w:jc w:val="right"/>
            </w:pPr>
            <w:r>
              <w:rPr>
                <w:spacing w:val="3"/>
              </w:rPr>
              <w:t>2,788.68</w:t>
            </w:r>
          </w:p>
        </w:tc>
        <w:tc>
          <w:tcPr>
            <w:tcW w:w="3775" w:type="dxa"/>
            <w:vAlign w:val="top"/>
          </w:tcPr>
          <w:p>
            <w:pPr>
              <w:pStyle w:val="6"/>
              <w:spacing w:before="50" w:line="231" w:lineRule="auto"/>
              <w:ind w:left="1532"/>
            </w:pPr>
            <w:r>
              <w:rPr>
                <w:b/>
                <w:bCs/>
                <w:spacing w:val="6"/>
              </w:rPr>
              <w:t>支出总计</w:t>
            </w:r>
          </w:p>
        </w:tc>
        <w:tc>
          <w:tcPr>
            <w:tcW w:w="3780" w:type="dxa"/>
            <w:vAlign w:val="top"/>
          </w:tcPr>
          <w:p>
            <w:pPr>
              <w:pStyle w:val="6"/>
              <w:spacing w:before="49" w:line="228" w:lineRule="auto"/>
              <w:jc w:val="right"/>
            </w:pPr>
            <w:r>
              <w:rPr>
                <w:spacing w:val="3"/>
              </w:rPr>
              <w:t>2,788.68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20" w:type="default"/>
          <w:footerReference r:id="rId21" w:type="default"/>
          <w:pgSz w:w="16838" w:h="11906"/>
          <w:pgMar w:top="1305" w:right="877" w:bottom="481" w:left="840" w:header="936" w:footer="162" w:gutter="0"/>
        </w:sectPr>
      </w:pPr>
    </w:p>
    <w:p>
      <w:pPr>
        <w:spacing w:before="252" w:line="219" w:lineRule="auto"/>
        <w:ind w:left="6142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一般公共预算支出情况表</w:t>
      </w:r>
    </w:p>
    <w:p>
      <w:pPr>
        <w:spacing w:before="269" w:line="211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单位名称：117002柳州市城中区人民法院    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单位：万元</w:t>
      </w:r>
    </w:p>
    <w:tbl>
      <w:tblPr>
        <w:tblStyle w:val="5"/>
        <w:tblW w:w="151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811"/>
        <w:gridCol w:w="3019"/>
        <w:gridCol w:w="1811"/>
        <w:gridCol w:w="1811"/>
        <w:gridCol w:w="1810"/>
        <w:gridCol w:w="1810"/>
        <w:gridCol w:w="18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15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8" w:lineRule="auto"/>
              <w:ind w:left="20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科目编码</w:t>
            </w:r>
          </w:p>
        </w:tc>
        <w:tc>
          <w:tcPr>
            <w:tcW w:w="1811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0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部门（单位）代码</w:t>
            </w:r>
          </w:p>
        </w:tc>
        <w:tc>
          <w:tcPr>
            <w:tcW w:w="3019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8" w:lineRule="auto"/>
              <w:ind w:left="5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部门（单位）名称(功能分类科目</w:t>
            </w:r>
          </w:p>
          <w:p>
            <w:pPr>
              <w:pStyle w:val="6"/>
              <w:spacing w:before="75" w:line="221" w:lineRule="auto"/>
              <w:ind w:left="1258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名称)</w:t>
            </w:r>
          </w:p>
        </w:tc>
        <w:tc>
          <w:tcPr>
            <w:tcW w:w="1811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70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7249" w:type="dxa"/>
            <w:gridSpan w:val="4"/>
            <w:vAlign w:val="top"/>
          </w:tcPr>
          <w:p>
            <w:pPr>
              <w:pStyle w:val="6"/>
              <w:spacing w:before="56" w:line="218" w:lineRule="auto"/>
              <w:ind w:left="2624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本年一般公共预算支出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15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1" w:type="dxa"/>
            <w:gridSpan w:val="3"/>
            <w:vAlign w:val="top"/>
          </w:tcPr>
          <w:p>
            <w:pPr>
              <w:pStyle w:val="6"/>
              <w:spacing w:before="49" w:line="218" w:lineRule="auto"/>
              <w:ind w:left="23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基本支出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2" w:line="220" w:lineRule="auto"/>
              <w:ind w:left="51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15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pStyle w:val="6"/>
              <w:spacing w:before="50" w:line="220" w:lineRule="auto"/>
              <w:ind w:left="712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小计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49" w:line="220" w:lineRule="auto"/>
              <w:ind w:left="50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人员经费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49" w:line="220" w:lineRule="auto"/>
              <w:ind w:left="51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公用经费</w:t>
            </w:r>
          </w:p>
        </w:tc>
        <w:tc>
          <w:tcPr>
            <w:tcW w:w="18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1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31" w:lineRule="auto"/>
              <w:ind w:left="869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31" w:lineRule="auto"/>
              <w:ind w:left="85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31" w:lineRule="auto"/>
              <w:ind w:left="86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31" w:lineRule="auto"/>
              <w:ind w:left="859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4</w:t>
            </w:r>
          </w:p>
        </w:tc>
        <w:tc>
          <w:tcPr>
            <w:tcW w:w="181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31" w:lineRule="auto"/>
              <w:ind w:left="866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045" w:type="dxa"/>
            <w:gridSpan w:val="3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220" w:lineRule="auto"/>
              <w:ind w:left="277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81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181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2,305.26</w:t>
            </w:r>
          </w:p>
        </w:tc>
        <w:tc>
          <w:tcPr>
            <w:tcW w:w="181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2,064.68</w:t>
            </w:r>
          </w:p>
        </w:tc>
        <w:tc>
          <w:tcPr>
            <w:tcW w:w="181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240.58</w:t>
            </w:r>
          </w:p>
        </w:tc>
        <w:tc>
          <w:tcPr>
            <w:tcW w:w="181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483.42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1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08" w:line="239" w:lineRule="auto"/>
              <w:ind w:left="11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117</w:t>
            </w:r>
          </w:p>
        </w:tc>
        <w:tc>
          <w:tcPr>
            <w:tcW w:w="3019" w:type="dxa"/>
            <w:vAlign w:val="top"/>
          </w:tcPr>
          <w:p>
            <w:pPr>
              <w:pStyle w:val="6"/>
              <w:spacing w:before="53" w:line="258" w:lineRule="auto"/>
              <w:ind w:left="4" w:right="104" w:firstLine="9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广西壮族自治区柳州市中级人民</w:t>
            </w:r>
            <w:r>
              <w:rPr>
                <w:spacing w:val="-3"/>
                <w:sz w:val="20"/>
                <w:szCs w:val="20"/>
              </w:rPr>
              <w:t>法院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208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208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2,305.26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208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2,064.68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209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240.58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9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483.42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3" w:line="229" w:lineRule="auto"/>
              <w:ind w:left="1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117002</w:t>
            </w:r>
          </w:p>
        </w:tc>
        <w:tc>
          <w:tcPr>
            <w:tcW w:w="3019" w:type="dxa"/>
            <w:vAlign w:val="top"/>
          </w:tcPr>
          <w:p>
            <w:pPr>
              <w:pStyle w:val="6"/>
              <w:spacing w:before="54" w:line="218" w:lineRule="auto"/>
              <w:ind w:left="10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柳州市城中区人民法院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3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2,788.68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3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2,305.26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3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2,064.68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240.58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483.42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3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2040501</w:t>
            </w:r>
          </w:p>
        </w:tc>
        <w:tc>
          <w:tcPr>
            <w:tcW w:w="181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3" w:line="220" w:lineRule="auto"/>
              <w:ind w:left="1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行政运行</w:t>
            </w:r>
          </w:p>
        </w:tc>
        <w:tc>
          <w:tcPr>
            <w:tcW w:w="181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3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1,790.29</w:t>
            </w:r>
          </w:p>
        </w:tc>
        <w:tc>
          <w:tcPr>
            <w:tcW w:w="181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3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1,790.29</w:t>
            </w:r>
          </w:p>
        </w:tc>
        <w:tc>
          <w:tcPr>
            <w:tcW w:w="181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3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1,551.51</w:t>
            </w:r>
          </w:p>
        </w:tc>
        <w:tc>
          <w:tcPr>
            <w:tcW w:w="181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238.78</w:t>
            </w:r>
          </w:p>
        </w:tc>
        <w:tc>
          <w:tcPr>
            <w:tcW w:w="181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0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9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一般行政管理事务</w:t>
            </w:r>
          </w:p>
        </w:tc>
        <w:tc>
          <w:tcPr>
            <w:tcW w:w="181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240.13</w:t>
            </w:r>
          </w:p>
        </w:tc>
        <w:tc>
          <w:tcPr>
            <w:tcW w:w="181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81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5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5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2040504</w:t>
            </w:r>
          </w:p>
        </w:tc>
        <w:tc>
          <w:tcPr>
            <w:tcW w:w="1811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vAlign w:val="top"/>
          </w:tcPr>
          <w:p>
            <w:pPr>
              <w:pStyle w:val="6"/>
              <w:spacing w:before="54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案件审判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56.40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5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5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2040505</w:t>
            </w:r>
          </w:p>
        </w:tc>
        <w:tc>
          <w:tcPr>
            <w:tcW w:w="1811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vAlign w:val="top"/>
          </w:tcPr>
          <w:p>
            <w:pPr>
              <w:pStyle w:val="6"/>
              <w:spacing w:before="54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案件执行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15.76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5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2040506</w:t>
            </w:r>
          </w:p>
        </w:tc>
        <w:tc>
          <w:tcPr>
            <w:tcW w:w="181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4" w:line="220" w:lineRule="auto"/>
              <w:ind w:left="8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“两庭”建设</w:t>
            </w:r>
          </w:p>
        </w:tc>
        <w:tc>
          <w:tcPr>
            <w:tcW w:w="181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15.15</w:t>
            </w:r>
          </w:p>
        </w:tc>
        <w:tc>
          <w:tcPr>
            <w:tcW w:w="181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81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1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2040599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9" w:line="220" w:lineRule="auto"/>
              <w:ind w:left="1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其他法院支出</w:t>
            </w:r>
          </w:p>
        </w:tc>
        <w:tc>
          <w:tcPr>
            <w:tcW w:w="181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155.98</w:t>
            </w:r>
          </w:p>
        </w:tc>
        <w:tc>
          <w:tcPr>
            <w:tcW w:w="181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81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155.98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5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6" w:line="227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2080501</w:t>
            </w:r>
          </w:p>
        </w:tc>
        <w:tc>
          <w:tcPr>
            <w:tcW w:w="1811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vAlign w:val="top"/>
          </w:tcPr>
          <w:p>
            <w:pPr>
              <w:pStyle w:val="6"/>
              <w:spacing w:before="55" w:line="219" w:lineRule="auto"/>
              <w:ind w:left="10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行政单位离退休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6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59.69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6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59.69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6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57.89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6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1.80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15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211" w:line="239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1811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vAlign w:val="top"/>
          </w:tcPr>
          <w:p>
            <w:pPr>
              <w:pStyle w:val="6"/>
              <w:spacing w:before="56" w:line="257" w:lineRule="auto"/>
              <w:ind w:left="4" w:right="104" w:firstLine="9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</w:t>
            </w:r>
            <w:r>
              <w:rPr>
                <w:spacing w:val="-3"/>
                <w:sz w:val="20"/>
                <w:szCs w:val="20"/>
              </w:rPr>
              <w:t>支出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137.19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137.19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137.19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5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7" w:line="226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2080506</w:t>
            </w:r>
          </w:p>
        </w:tc>
        <w:tc>
          <w:tcPr>
            <w:tcW w:w="1811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vAlign w:val="top"/>
          </w:tcPr>
          <w:p>
            <w:pPr>
              <w:pStyle w:val="6"/>
              <w:spacing w:before="57" w:line="218" w:lineRule="auto"/>
              <w:ind w:left="1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机关事业单位职业年金缴费支出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68.59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68.59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68.59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15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7" w:line="225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1811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vAlign w:val="top"/>
          </w:tcPr>
          <w:p>
            <w:pPr>
              <w:pStyle w:val="6"/>
              <w:spacing w:before="56" w:line="220" w:lineRule="auto"/>
              <w:ind w:left="10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行政单位医疗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67.74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67.74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67.74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5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8" w:line="225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2101103</w:t>
            </w:r>
          </w:p>
        </w:tc>
        <w:tc>
          <w:tcPr>
            <w:tcW w:w="1811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vAlign w:val="top"/>
          </w:tcPr>
          <w:p>
            <w:pPr>
              <w:pStyle w:val="6"/>
              <w:spacing w:before="57" w:line="219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公务员医疗补助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70.24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70.24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70.24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7" w:line="232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181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20" w:lineRule="auto"/>
              <w:ind w:left="1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81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111.53</w:t>
            </w:r>
          </w:p>
        </w:tc>
        <w:tc>
          <w:tcPr>
            <w:tcW w:w="181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111.53</w:t>
            </w:r>
          </w:p>
        </w:tc>
        <w:tc>
          <w:tcPr>
            <w:tcW w:w="181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111.53</w:t>
            </w:r>
          </w:p>
        </w:tc>
        <w:tc>
          <w:tcPr>
            <w:tcW w:w="181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81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footerReference r:id="rId23" w:type="default"/>
          <w:pgSz w:w="16838" w:h="11906"/>
          <w:pgMar w:top="1305" w:right="877" w:bottom="412" w:left="840" w:header="936" w:footer="189" w:gutter="0"/>
        </w:sectPr>
      </w:pPr>
    </w:p>
    <w:p>
      <w:pPr>
        <w:spacing w:before="252" w:line="218" w:lineRule="auto"/>
        <w:ind w:left="5882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一般公共预算基本支出情况表</w:t>
      </w:r>
    </w:p>
    <w:p>
      <w:pPr>
        <w:spacing w:before="270" w:line="211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单位名称：117002柳州市城中区人民法院    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单位：万元</w:t>
      </w:r>
    </w:p>
    <w:tbl>
      <w:tblPr>
        <w:tblStyle w:val="5"/>
        <w:tblW w:w="151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5"/>
        <w:gridCol w:w="3018"/>
        <w:gridCol w:w="3018"/>
        <w:gridCol w:w="3018"/>
        <w:gridCol w:w="3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043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6" w:line="218" w:lineRule="auto"/>
              <w:ind w:left="182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部门预算支出经济分类科目</w:t>
            </w:r>
          </w:p>
        </w:tc>
        <w:tc>
          <w:tcPr>
            <w:tcW w:w="9062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6" w:line="218" w:lineRule="auto"/>
              <w:ind w:left="333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本年一般公共预算基本支出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49" w:line="218" w:lineRule="auto"/>
              <w:ind w:left="111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科目编码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49" w:line="218" w:lineRule="auto"/>
              <w:ind w:left="1106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科目名称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9" w:line="220" w:lineRule="auto"/>
              <w:ind w:left="131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48" w:line="220" w:lineRule="auto"/>
              <w:ind w:left="111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人员经费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48" w:line="220" w:lineRule="auto"/>
              <w:ind w:left="112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43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0" w:line="220" w:lineRule="auto"/>
              <w:ind w:left="277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9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2,305.26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49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2,064.68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49" w:line="233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2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9" w:line="232" w:lineRule="auto"/>
              <w:ind w:left="11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301</w:t>
            </w:r>
          </w:p>
        </w:tc>
        <w:tc>
          <w:tcPr>
            <w:tcW w:w="301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49" w:line="220" w:lineRule="auto"/>
              <w:ind w:left="1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工资福利支出</w:t>
            </w:r>
          </w:p>
        </w:tc>
        <w:tc>
          <w:tcPr>
            <w:tcW w:w="301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49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1,963.08</w:t>
            </w:r>
          </w:p>
        </w:tc>
        <w:tc>
          <w:tcPr>
            <w:tcW w:w="301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9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1,963.08</w:t>
            </w:r>
          </w:p>
        </w:tc>
        <w:tc>
          <w:tcPr>
            <w:tcW w:w="302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02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5" w:line="232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30101</w:t>
            </w:r>
          </w:p>
        </w:tc>
        <w:tc>
          <w:tcPr>
            <w:tcW w:w="3018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6" w:line="218" w:lineRule="auto"/>
              <w:ind w:left="1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基本工资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55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351.50</w:t>
            </w:r>
          </w:p>
        </w:tc>
        <w:tc>
          <w:tcPr>
            <w:tcW w:w="301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5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351.50</w:t>
            </w:r>
          </w:p>
        </w:tc>
        <w:tc>
          <w:tcPr>
            <w:tcW w:w="302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5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0" w:line="232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30102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0" w:line="219" w:lineRule="auto"/>
              <w:ind w:left="1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津贴补贴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257.01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257.01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0" w:line="232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30103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0" w:line="220" w:lineRule="auto"/>
              <w:ind w:left="1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奖金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241.10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241.10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2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32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30108</w:t>
            </w:r>
          </w:p>
        </w:tc>
        <w:tc>
          <w:tcPr>
            <w:tcW w:w="301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18" w:lineRule="auto"/>
              <w:ind w:left="1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</w:t>
            </w:r>
          </w:p>
        </w:tc>
        <w:tc>
          <w:tcPr>
            <w:tcW w:w="301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137.19</w:t>
            </w:r>
          </w:p>
        </w:tc>
        <w:tc>
          <w:tcPr>
            <w:tcW w:w="301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137.19</w:t>
            </w:r>
          </w:p>
        </w:tc>
        <w:tc>
          <w:tcPr>
            <w:tcW w:w="302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02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5" w:line="231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30109</w:t>
            </w:r>
          </w:p>
        </w:tc>
        <w:tc>
          <w:tcPr>
            <w:tcW w:w="3018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5" w:line="219" w:lineRule="auto"/>
              <w:ind w:left="10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职业年金缴费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55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68.59</w:t>
            </w:r>
          </w:p>
        </w:tc>
        <w:tc>
          <w:tcPr>
            <w:tcW w:w="301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5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68.59</w:t>
            </w:r>
          </w:p>
        </w:tc>
        <w:tc>
          <w:tcPr>
            <w:tcW w:w="302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5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1" w:line="231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30110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2" w:line="218" w:lineRule="auto"/>
              <w:ind w:left="10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职工基本医疗保险缴费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67.74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67.74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1" w:line="231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30111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19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公务员医疗补助缴费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45.56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45.56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1" w:line="231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30112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2" w:line="218" w:lineRule="auto"/>
              <w:ind w:left="1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其他社会保障缴费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0.86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0.86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1" w:line="231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30113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20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111.53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111.53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1" w:line="230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30199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20" w:lineRule="auto"/>
              <w:ind w:left="1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其他工资福利支出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682.00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682.00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2" w:line="230" w:lineRule="auto"/>
              <w:ind w:left="11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302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2" w:line="219" w:lineRule="auto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商品和服务支出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2" w:line="230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240.58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2" w:line="230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2" w:line="230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2" w:line="229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30201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2" w:line="219" w:lineRule="auto"/>
              <w:ind w:left="1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办公费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24.15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3" w:line="229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30202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3" w:line="219" w:lineRule="auto"/>
              <w:ind w:left="12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印刷费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2.45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3" w:line="229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30205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3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水费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2.45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4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30206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3" w:line="220" w:lineRule="auto"/>
              <w:ind w:left="127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电费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9.10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4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30207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4" w:line="220" w:lineRule="auto"/>
              <w:ind w:left="12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邮电费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14.50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2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7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30209</w:t>
            </w:r>
          </w:p>
        </w:tc>
        <w:tc>
          <w:tcPr>
            <w:tcW w:w="301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4" w:line="219" w:lineRule="auto"/>
              <w:ind w:left="1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物业管理费</w:t>
            </w:r>
          </w:p>
        </w:tc>
        <w:tc>
          <w:tcPr>
            <w:tcW w:w="301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1.40</w:t>
            </w:r>
          </w:p>
        </w:tc>
        <w:tc>
          <w:tcPr>
            <w:tcW w:w="301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0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61" w:line="227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30211</w:t>
            </w:r>
          </w:p>
        </w:tc>
        <w:tc>
          <w:tcPr>
            <w:tcW w:w="30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0" w:line="220" w:lineRule="auto"/>
              <w:ind w:left="1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差旅费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31.50</w:t>
            </w:r>
          </w:p>
        </w:tc>
        <w:tc>
          <w:tcPr>
            <w:tcW w:w="301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02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1" w:line="226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30213</w:t>
            </w:r>
          </w:p>
        </w:tc>
        <w:tc>
          <w:tcPr>
            <w:tcW w:w="3018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0" w:line="219" w:lineRule="auto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维修（护）费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4.55</w:t>
            </w:r>
          </w:p>
        </w:tc>
        <w:tc>
          <w:tcPr>
            <w:tcW w:w="301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7" w:line="225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30215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7" w:line="218" w:lineRule="auto"/>
              <w:ind w:left="1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会议费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4.48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8" w:line="225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30216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7" w:line="220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培训费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4.48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2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32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30217</w:t>
            </w:r>
          </w:p>
        </w:tc>
        <w:tc>
          <w:tcPr>
            <w:tcW w:w="301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7" w:line="219" w:lineRule="auto"/>
              <w:ind w:left="11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公务接待费</w:t>
            </w:r>
          </w:p>
        </w:tc>
        <w:tc>
          <w:tcPr>
            <w:tcW w:w="301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2.52</w:t>
            </w:r>
          </w:p>
        </w:tc>
        <w:tc>
          <w:tcPr>
            <w:tcW w:w="301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24" w:type="default"/>
          <w:footerReference r:id="rId25" w:type="default"/>
          <w:pgSz w:w="16838" w:h="11906"/>
          <w:pgMar w:top="1305" w:right="877" w:bottom="481" w:left="840" w:header="936" w:footer="162" w:gutter="0"/>
        </w:sectPr>
      </w:pPr>
    </w:p>
    <w:p>
      <w:pPr>
        <w:spacing w:before="78"/>
      </w:pPr>
    </w:p>
    <w:tbl>
      <w:tblPr>
        <w:tblStyle w:val="5"/>
        <w:tblW w:w="151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5"/>
        <w:gridCol w:w="3018"/>
        <w:gridCol w:w="3018"/>
        <w:gridCol w:w="3018"/>
        <w:gridCol w:w="3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043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6" w:line="218" w:lineRule="auto"/>
              <w:ind w:left="182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部门预算支出经济分类科目</w:t>
            </w:r>
          </w:p>
        </w:tc>
        <w:tc>
          <w:tcPr>
            <w:tcW w:w="9062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6" w:line="218" w:lineRule="auto"/>
              <w:ind w:left="333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本年一般公共预算基本支出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0" w:line="218" w:lineRule="auto"/>
              <w:ind w:left="111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科目编码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0" w:line="218" w:lineRule="auto"/>
              <w:ind w:left="1106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科目名称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0" w:line="220" w:lineRule="auto"/>
              <w:ind w:left="131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49" w:line="220" w:lineRule="auto"/>
              <w:ind w:left="111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人员经费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49" w:line="220" w:lineRule="auto"/>
              <w:ind w:left="112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0" w:line="231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30228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18" w:lineRule="auto"/>
              <w:ind w:left="1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工会经费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17.15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02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29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30231</w:t>
            </w:r>
          </w:p>
        </w:tc>
        <w:tc>
          <w:tcPr>
            <w:tcW w:w="301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19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公务用车运行维护费</w:t>
            </w:r>
          </w:p>
        </w:tc>
        <w:tc>
          <w:tcPr>
            <w:tcW w:w="301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14.40</w:t>
            </w:r>
          </w:p>
        </w:tc>
        <w:tc>
          <w:tcPr>
            <w:tcW w:w="301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02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9" w:line="227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30239</w:t>
            </w:r>
          </w:p>
        </w:tc>
        <w:tc>
          <w:tcPr>
            <w:tcW w:w="3018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8" w:line="220" w:lineRule="auto"/>
              <w:ind w:left="1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其他交通费用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59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63.30</w:t>
            </w:r>
          </w:p>
        </w:tc>
        <w:tc>
          <w:tcPr>
            <w:tcW w:w="301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9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9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6" w:line="225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30299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5" w:line="219" w:lineRule="auto"/>
              <w:ind w:left="1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其他商品和服务支出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6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44.15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6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6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58" w:line="224" w:lineRule="auto"/>
              <w:ind w:left="11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303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7" w:line="219" w:lineRule="auto"/>
              <w:ind w:left="1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对个人和家庭的补助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101.61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101.61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2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9" w:line="223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30302</w:t>
            </w:r>
          </w:p>
        </w:tc>
        <w:tc>
          <w:tcPr>
            <w:tcW w:w="301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8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退休费</w:t>
            </w:r>
          </w:p>
        </w:tc>
        <w:tc>
          <w:tcPr>
            <w:tcW w:w="301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9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57.89</w:t>
            </w:r>
          </w:p>
        </w:tc>
        <w:tc>
          <w:tcPr>
            <w:tcW w:w="301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9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57.89</w:t>
            </w:r>
          </w:p>
        </w:tc>
        <w:tc>
          <w:tcPr>
            <w:tcW w:w="302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9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02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5" w:line="221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30307</w:t>
            </w:r>
          </w:p>
        </w:tc>
        <w:tc>
          <w:tcPr>
            <w:tcW w:w="3018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4" w:line="220" w:lineRule="auto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医疗费补助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65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24.68</w:t>
            </w:r>
          </w:p>
        </w:tc>
        <w:tc>
          <w:tcPr>
            <w:tcW w:w="301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5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24.68</w:t>
            </w:r>
          </w:p>
        </w:tc>
        <w:tc>
          <w:tcPr>
            <w:tcW w:w="302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5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025" w:type="dxa"/>
            <w:vAlign w:val="top"/>
          </w:tcPr>
          <w:p>
            <w:pPr>
              <w:pStyle w:val="6"/>
              <w:spacing w:before="62" w:line="227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30399</w:t>
            </w:r>
          </w:p>
        </w:tc>
        <w:tc>
          <w:tcPr>
            <w:tcW w:w="301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61" w:line="219" w:lineRule="auto"/>
              <w:ind w:left="1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其他对个人和家庭的补助</w:t>
            </w:r>
          </w:p>
        </w:tc>
        <w:tc>
          <w:tcPr>
            <w:tcW w:w="301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19.04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19.04</w:t>
            </w:r>
          </w:p>
        </w:tc>
        <w:tc>
          <w:tcPr>
            <w:tcW w:w="3026" w:type="dxa"/>
            <w:vAlign w:val="top"/>
          </w:tcPr>
          <w:p>
            <w:pPr>
              <w:pStyle w:val="6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26" w:type="default"/>
          <w:footerReference r:id="rId27" w:type="default"/>
          <w:pgSz w:w="16838" w:h="11906"/>
          <w:pgMar w:top="400" w:right="877" w:bottom="481" w:left="840" w:header="0" w:footer="162" w:gutter="0"/>
        </w:sectPr>
      </w:pPr>
    </w:p>
    <w:p>
      <w:pPr>
        <w:spacing w:before="252" w:line="219" w:lineRule="auto"/>
        <w:ind w:left="587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财政拨款三公两费支出情况表</w:t>
      </w:r>
    </w:p>
    <w:p>
      <w:pPr>
        <w:spacing w:before="269" w:line="211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单位名称：117002柳州市城中区人民法院    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单位：万元</w:t>
      </w:r>
    </w:p>
    <w:tbl>
      <w:tblPr>
        <w:tblStyle w:val="5"/>
        <w:tblW w:w="151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358"/>
        <w:gridCol w:w="1056"/>
        <w:gridCol w:w="1358"/>
        <w:gridCol w:w="1358"/>
        <w:gridCol w:w="1358"/>
        <w:gridCol w:w="1208"/>
        <w:gridCol w:w="1208"/>
        <w:gridCol w:w="1056"/>
        <w:gridCol w:w="1056"/>
        <w:gridCol w:w="1055"/>
        <w:gridCol w:w="1056"/>
        <w:gridCol w:w="9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64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90" w:lineRule="auto"/>
              <w:ind w:left="127" w:right="129" w:firstLine="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部门（单</w:t>
            </w:r>
            <w:r>
              <w:rPr>
                <w:b/>
                <w:bCs/>
                <w:spacing w:val="-4"/>
                <w:sz w:val="20"/>
                <w:szCs w:val="20"/>
              </w:rPr>
              <w:t>位）代码</w:t>
            </w:r>
          </w:p>
        </w:tc>
        <w:tc>
          <w:tcPr>
            <w:tcW w:w="1358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部门（单位）</w:t>
            </w:r>
          </w:p>
          <w:p>
            <w:pPr>
              <w:pStyle w:val="6"/>
              <w:spacing w:before="74" w:line="221" w:lineRule="auto"/>
              <w:ind w:left="47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名称</w:t>
            </w:r>
          </w:p>
        </w:tc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13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资金性质</w:t>
            </w:r>
          </w:p>
        </w:tc>
        <w:tc>
          <w:tcPr>
            <w:tcW w:w="7546" w:type="dxa"/>
            <w:gridSpan w:val="6"/>
            <w:vAlign w:val="top"/>
          </w:tcPr>
          <w:p>
            <w:pPr>
              <w:pStyle w:val="6"/>
              <w:spacing w:before="55" w:line="220" w:lineRule="auto"/>
              <w:ind w:left="3157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“三公”经费</w:t>
            </w:r>
          </w:p>
        </w:tc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8" w:lineRule="auto"/>
              <w:ind w:left="23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会议费</w:t>
            </w:r>
          </w:p>
        </w:tc>
        <w:tc>
          <w:tcPr>
            <w:tcW w:w="3024" w:type="dxa"/>
            <w:gridSpan w:val="3"/>
            <w:vAlign w:val="top"/>
          </w:tcPr>
          <w:p>
            <w:pPr>
              <w:pStyle w:val="6"/>
              <w:spacing w:before="55" w:line="220" w:lineRule="auto"/>
              <w:ind w:left="1216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培训费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64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47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35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before="213" w:line="290" w:lineRule="auto"/>
              <w:ind w:left="285" w:right="274" w:firstLine="10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因公出国</w:t>
            </w:r>
            <w:r>
              <w:rPr>
                <w:b/>
                <w:bCs/>
                <w:spacing w:val="-7"/>
                <w:sz w:val="20"/>
                <w:szCs w:val="20"/>
              </w:rPr>
              <w:t>（境）费</w:t>
            </w:r>
          </w:p>
        </w:tc>
        <w:tc>
          <w:tcPr>
            <w:tcW w:w="3774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8" w:line="219" w:lineRule="auto"/>
              <w:ind w:left="696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公务用车购置及运行维护费</w:t>
            </w:r>
          </w:p>
        </w:tc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38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公务接待费</w:t>
            </w: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339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小计</w:t>
            </w:r>
          </w:p>
        </w:tc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3" w:line="291" w:lineRule="auto"/>
              <w:ind w:left="435" w:right="12" w:hanging="39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本级资金安</w:t>
            </w:r>
            <w:r>
              <w:rPr>
                <w:b/>
                <w:bCs/>
                <w:spacing w:val="-3"/>
                <w:sz w:val="20"/>
                <w:szCs w:val="20"/>
              </w:rPr>
              <w:t>排</w:t>
            </w:r>
          </w:p>
        </w:tc>
        <w:tc>
          <w:tcPr>
            <w:tcW w:w="91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2" w:line="291" w:lineRule="auto"/>
              <w:ind w:left="68" w:right="44" w:hanging="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上级补助</w:t>
            </w:r>
            <w:r>
              <w:rPr>
                <w:b/>
                <w:bCs/>
                <w:spacing w:val="-6"/>
                <w:sz w:val="20"/>
                <w:szCs w:val="20"/>
              </w:rPr>
              <w:t>资金安排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64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06" w:line="220" w:lineRule="auto"/>
              <w:ind w:left="488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小计</w:t>
            </w:r>
          </w:p>
        </w:tc>
        <w:tc>
          <w:tcPr>
            <w:tcW w:w="120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0" w:line="259" w:lineRule="auto"/>
              <w:ind w:left="411" w:right="93" w:hanging="29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公务用车购置费</w:t>
            </w:r>
          </w:p>
        </w:tc>
        <w:tc>
          <w:tcPr>
            <w:tcW w:w="1208" w:type="dxa"/>
            <w:vAlign w:val="top"/>
          </w:tcPr>
          <w:p>
            <w:pPr>
              <w:pStyle w:val="6"/>
              <w:spacing w:before="50" w:line="259" w:lineRule="auto"/>
              <w:ind w:left="206" w:right="92" w:hanging="9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公务用车运</w:t>
            </w:r>
            <w:r>
              <w:rPr>
                <w:b/>
                <w:bCs/>
                <w:spacing w:val="-4"/>
                <w:sz w:val="20"/>
                <w:szCs w:val="20"/>
              </w:rPr>
              <w:t>行维护费</w:t>
            </w:r>
          </w:p>
        </w:tc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64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30" w:lineRule="auto"/>
              <w:ind w:left="64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30" w:lineRule="auto"/>
              <w:ind w:left="63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30" w:lineRule="auto"/>
              <w:ind w:left="636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</w:t>
            </w:r>
          </w:p>
        </w:tc>
        <w:tc>
          <w:tcPr>
            <w:tcW w:w="120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1" w:line="230" w:lineRule="auto"/>
              <w:ind w:left="55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4</w:t>
            </w:r>
          </w:p>
        </w:tc>
        <w:tc>
          <w:tcPr>
            <w:tcW w:w="1208" w:type="dxa"/>
            <w:vAlign w:val="top"/>
          </w:tcPr>
          <w:p>
            <w:pPr>
              <w:pStyle w:val="6"/>
              <w:spacing w:before="51" w:line="230" w:lineRule="auto"/>
              <w:ind w:left="56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51" w:line="230" w:lineRule="auto"/>
              <w:ind w:left="483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51" w:line="230" w:lineRule="auto"/>
              <w:ind w:left="48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</w:t>
            </w:r>
          </w:p>
        </w:tc>
        <w:tc>
          <w:tcPr>
            <w:tcW w:w="1055" w:type="dxa"/>
            <w:vAlign w:val="top"/>
          </w:tcPr>
          <w:p>
            <w:pPr>
              <w:pStyle w:val="6"/>
              <w:spacing w:before="51" w:line="230" w:lineRule="auto"/>
              <w:ind w:left="484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8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51" w:line="230" w:lineRule="auto"/>
              <w:ind w:left="486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9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51" w:line="230" w:lineRule="auto"/>
              <w:ind w:left="376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478" w:type="dxa"/>
            <w:gridSpan w:val="3"/>
            <w:vAlign w:val="top"/>
          </w:tcPr>
          <w:p>
            <w:pPr>
              <w:pStyle w:val="6"/>
              <w:spacing w:before="53" w:line="220" w:lineRule="auto"/>
              <w:ind w:left="148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35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16.92</w:t>
            </w: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14.40</w:t>
            </w:r>
          </w:p>
        </w:tc>
        <w:tc>
          <w:tcPr>
            <w:tcW w:w="120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208" w:type="dxa"/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14.40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2.52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4.48</w:t>
            </w:r>
          </w:p>
        </w:tc>
        <w:tc>
          <w:tcPr>
            <w:tcW w:w="1055" w:type="dxa"/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4.48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4.48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3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一般公共</w:t>
            </w:r>
          </w:p>
          <w:p>
            <w:pPr>
              <w:pStyle w:val="6"/>
              <w:spacing w:before="74" w:line="219" w:lineRule="auto"/>
              <w:ind w:left="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预算资金</w:t>
            </w:r>
          </w:p>
        </w:tc>
        <w:tc>
          <w:tcPr>
            <w:tcW w:w="135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10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16.92</w:t>
            </w:r>
          </w:p>
        </w:tc>
        <w:tc>
          <w:tcPr>
            <w:tcW w:w="13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10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3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10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14.40</w:t>
            </w:r>
          </w:p>
        </w:tc>
        <w:tc>
          <w:tcPr>
            <w:tcW w:w="120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20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14.40</w:t>
            </w:r>
          </w:p>
        </w:tc>
        <w:tc>
          <w:tcPr>
            <w:tcW w:w="105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2.52</w:t>
            </w:r>
          </w:p>
        </w:tc>
        <w:tc>
          <w:tcPr>
            <w:tcW w:w="105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4.48</w:t>
            </w:r>
          </w:p>
        </w:tc>
        <w:tc>
          <w:tcPr>
            <w:tcW w:w="105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4.48</w:t>
            </w:r>
          </w:p>
        </w:tc>
        <w:tc>
          <w:tcPr>
            <w:tcW w:w="105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4.48</w:t>
            </w:r>
          </w:p>
        </w:tc>
        <w:tc>
          <w:tcPr>
            <w:tcW w:w="91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6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9" w:lineRule="auto"/>
              <w:ind w:left="12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61" w:line="267" w:lineRule="auto"/>
              <w:ind w:left="4" w:right="47" w:firstLine="9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广西壮族自治区柳州市中级人民法院</w:t>
            </w:r>
          </w:p>
        </w:tc>
        <w:tc>
          <w:tcPr>
            <w:tcW w:w="1056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16.92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14.40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208" w:type="dxa"/>
            <w:tcBorders>
              <w:top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14.40</w:t>
            </w:r>
          </w:p>
        </w:tc>
        <w:tc>
          <w:tcPr>
            <w:tcW w:w="1056" w:type="dxa"/>
            <w:tcBorders>
              <w:top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2.52</w:t>
            </w:r>
          </w:p>
        </w:tc>
        <w:tc>
          <w:tcPr>
            <w:tcW w:w="1056" w:type="dxa"/>
            <w:tcBorders>
              <w:top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4.48</w:t>
            </w:r>
          </w:p>
        </w:tc>
        <w:tc>
          <w:tcPr>
            <w:tcW w:w="1055" w:type="dxa"/>
            <w:tcBorders>
              <w:top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4.48</w:t>
            </w:r>
          </w:p>
        </w:tc>
        <w:tc>
          <w:tcPr>
            <w:tcW w:w="1056" w:type="dxa"/>
            <w:tcBorders>
              <w:top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4.48</w:t>
            </w:r>
          </w:p>
        </w:tc>
        <w:tc>
          <w:tcPr>
            <w:tcW w:w="913" w:type="dxa"/>
            <w:tcBorders>
              <w:top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13" w:line="239" w:lineRule="auto"/>
              <w:ind w:left="12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117002</w:t>
            </w:r>
          </w:p>
        </w:tc>
        <w:tc>
          <w:tcPr>
            <w:tcW w:w="135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8" w:line="259" w:lineRule="auto"/>
              <w:ind w:left="4" w:right="47" w:firstLine="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柳州市城中区人民法院</w:t>
            </w:r>
          </w:p>
        </w:tc>
        <w:tc>
          <w:tcPr>
            <w:tcW w:w="105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一般公共</w:t>
            </w:r>
          </w:p>
          <w:p>
            <w:pPr>
              <w:pStyle w:val="6"/>
              <w:spacing w:before="74" w:line="219" w:lineRule="auto"/>
              <w:ind w:left="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预算资金</w:t>
            </w:r>
          </w:p>
        </w:tc>
        <w:tc>
          <w:tcPr>
            <w:tcW w:w="135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14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16.92</w:t>
            </w:r>
          </w:p>
        </w:tc>
        <w:tc>
          <w:tcPr>
            <w:tcW w:w="13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14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3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14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14.40</w:t>
            </w:r>
          </w:p>
        </w:tc>
        <w:tc>
          <w:tcPr>
            <w:tcW w:w="1208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14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20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4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14.40</w:t>
            </w:r>
          </w:p>
        </w:tc>
        <w:tc>
          <w:tcPr>
            <w:tcW w:w="105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4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2.52</w:t>
            </w:r>
          </w:p>
        </w:tc>
        <w:tc>
          <w:tcPr>
            <w:tcW w:w="105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4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4.48</w:t>
            </w:r>
          </w:p>
        </w:tc>
        <w:tc>
          <w:tcPr>
            <w:tcW w:w="105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4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4.48</w:t>
            </w:r>
          </w:p>
        </w:tc>
        <w:tc>
          <w:tcPr>
            <w:tcW w:w="105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4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4.48</w:t>
            </w:r>
          </w:p>
        </w:tc>
        <w:tc>
          <w:tcPr>
            <w:tcW w:w="91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4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28" w:type="default"/>
          <w:footerReference r:id="rId29" w:type="default"/>
          <w:pgSz w:w="16838" w:h="11906"/>
          <w:pgMar w:top="1305" w:right="877" w:bottom="481" w:left="840" w:header="936" w:footer="162" w:gutter="0"/>
        </w:sectPr>
      </w:pPr>
    </w:p>
    <w:p>
      <w:pPr>
        <w:spacing w:before="252" w:line="218" w:lineRule="auto"/>
        <w:ind w:left="60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政府性基金预算支出情况表</w:t>
      </w:r>
    </w:p>
    <w:p>
      <w:pPr>
        <w:spacing w:before="270" w:line="211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单位名称：117002柳州市城中区人民法院    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单位：万元</w:t>
      </w:r>
    </w:p>
    <w:tbl>
      <w:tblPr>
        <w:tblStyle w:val="5"/>
        <w:tblW w:w="151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9"/>
        <w:gridCol w:w="2263"/>
        <w:gridCol w:w="2867"/>
        <w:gridCol w:w="2716"/>
        <w:gridCol w:w="2716"/>
        <w:gridCol w:w="2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69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8" w:lineRule="auto"/>
              <w:ind w:left="58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科目编码</w:t>
            </w:r>
          </w:p>
        </w:tc>
        <w:tc>
          <w:tcPr>
            <w:tcW w:w="2263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32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部门（单位）代码</w:t>
            </w:r>
          </w:p>
        </w:tc>
        <w:tc>
          <w:tcPr>
            <w:tcW w:w="286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7" w:line="218" w:lineRule="auto"/>
              <w:ind w:left="84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部门（单位）名称(功能分类科</w:t>
            </w:r>
          </w:p>
          <w:p>
            <w:pPr>
              <w:pStyle w:val="6"/>
              <w:spacing w:before="75" w:line="221" w:lineRule="auto"/>
              <w:ind w:left="1121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目名称)</w:t>
            </w:r>
          </w:p>
        </w:tc>
        <w:tc>
          <w:tcPr>
            <w:tcW w:w="8005" w:type="dxa"/>
            <w:gridSpan w:val="3"/>
            <w:vAlign w:val="top"/>
          </w:tcPr>
          <w:p>
            <w:pPr>
              <w:pStyle w:val="6"/>
              <w:spacing w:before="56" w:line="218" w:lineRule="auto"/>
              <w:ind w:left="2903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本年政府性基金预算支出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20" w:lineRule="auto"/>
              <w:ind w:left="116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2716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1" w:line="218" w:lineRule="auto"/>
              <w:ind w:left="96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基本支出</w:t>
            </w:r>
          </w:p>
        </w:tc>
        <w:tc>
          <w:tcPr>
            <w:tcW w:w="2573" w:type="dxa"/>
            <w:vAlign w:val="top"/>
          </w:tcPr>
          <w:p>
            <w:pPr>
              <w:pStyle w:val="6"/>
              <w:spacing w:before="50" w:line="220" w:lineRule="auto"/>
              <w:ind w:left="89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9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4" w:line="226" w:lineRule="auto"/>
              <w:ind w:left="1324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2716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4" w:line="226" w:lineRule="auto"/>
              <w:ind w:left="131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6"/>
              <w:spacing w:before="54" w:line="226" w:lineRule="auto"/>
              <w:ind w:left="1244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099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20" w:lineRule="auto"/>
              <w:ind w:left="330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2716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271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257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</w:tbl>
    <w:p>
      <w:pPr>
        <w:spacing w:before="8" w:line="218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注：本单位2026年没有政府性基金预算支出，故本表无</w:t>
      </w:r>
      <w:r>
        <w:rPr>
          <w:rFonts w:ascii="宋体" w:hAnsi="宋体" w:eastAsia="宋体" w:cs="宋体"/>
          <w:spacing w:val="-2"/>
          <w:sz w:val="18"/>
          <w:szCs w:val="18"/>
        </w:rPr>
        <w:t>数据。</w:t>
      </w:r>
    </w:p>
    <w:p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headerReference r:id="rId30" w:type="default"/>
          <w:footerReference r:id="rId31" w:type="default"/>
          <w:pgSz w:w="16838" w:h="11906"/>
          <w:pgMar w:top="1305" w:right="877" w:bottom="412" w:left="840" w:header="936" w:footer="189" w:gutter="0"/>
        </w:sectPr>
      </w:pPr>
    </w:p>
    <w:p>
      <w:pPr>
        <w:spacing w:before="252" w:line="218" w:lineRule="auto"/>
        <w:ind w:left="590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6"/>
          <w:sz w:val="26"/>
          <w:szCs w:val="26"/>
        </w:rPr>
        <w:t>国有资本经营预算支出情况表</w:t>
      </w:r>
    </w:p>
    <w:p>
      <w:pPr>
        <w:spacing w:before="270" w:line="211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单位名称：117002柳州市城中区人民法院    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单位：万元</w:t>
      </w:r>
    </w:p>
    <w:tbl>
      <w:tblPr>
        <w:tblStyle w:val="5"/>
        <w:tblW w:w="151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9"/>
        <w:gridCol w:w="2263"/>
        <w:gridCol w:w="2867"/>
        <w:gridCol w:w="2716"/>
        <w:gridCol w:w="2716"/>
        <w:gridCol w:w="2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69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8" w:lineRule="auto"/>
              <w:ind w:left="58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科目编码</w:t>
            </w:r>
          </w:p>
        </w:tc>
        <w:tc>
          <w:tcPr>
            <w:tcW w:w="2263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32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部门（单位）代码</w:t>
            </w:r>
          </w:p>
        </w:tc>
        <w:tc>
          <w:tcPr>
            <w:tcW w:w="286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7" w:line="218" w:lineRule="auto"/>
              <w:ind w:left="84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部门（单位）名称(功能分类科</w:t>
            </w:r>
          </w:p>
          <w:p>
            <w:pPr>
              <w:pStyle w:val="6"/>
              <w:spacing w:before="75" w:line="221" w:lineRule="auto"/>
              <w:ind w:left="1121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目名称)</w:t>
            </w:r>
          </w:p>
        </w:tc>
        <w:tc>
          <w:tcPr>
            <w:tcW w:w="8005" w:type="dxa"/>
            <w:gridSpan w:val="3"/>
            <w:vAlign w:val="top"/>
          </w:tcPr>
          <w:p>
            <w:pPr>
              <w:pStyle w:val="6"/>
              <w:spacing w:before="56" w:line="218" w:lineRule="auto"/>
              <w:ind w:left="280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本年国有资本经营预算支出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20" w:lineRule="auto"/>
              <w:ind w:left="116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2716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1" w:line="218" w:lineRule="auto"/>
              <w:ind w:left="96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基本支出</w:t>
            </w:r>
          </w:p>
        </w:tc>
        <w:tc>
          <w:tcPr>
            <w:tcW w:w="2573" w:type="dxa"/>
            <w:vAlign w:val="top"/>
          </w:tcPr>
          <w:p>
            <w:pPr>
              <w:pStyle w:val="6"/>
              <w:spacing w:before="50" w:line="220" w:lineRule="auto"/>
              <w:ind w:left="89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09" w:hRule="atLeast"/>
        </w:trPr>
        <w:tc>
          <w:tcPr>
            <w:tcW w:w="19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4" w:line="226" w:lineRule="auto"/>
              <w:ind w:left="1324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2716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4" w:line="226" w:lineRule="auto"/>
              <w:ind w:left="131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6"/>
              <w:spacing w:before="54" w:line="226" w:lineRule="auto"/>
              <w:ind w:left="1244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099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7" w:line="220" w:lineRule="auto"/>
              <w:ind w:left="330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2716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271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257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</w:tbl>
    <w:p>
      <w:pPr>
        <w:spacing w:before="8" w:line="218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注：本单位2026年没有国有资本经营预算支出，故本表无数</w:t>
      </w:r>
      <w:r>
        <w:rPr>
          <w:rFonts w:ascii="宋体" w:hAnsi="宋体" w:eastAsia="宋体" w:cs="宋体"/>
          <w:spacing w:val="-2"/>
          <w:sz w:val="18"/>
          <w:szCs w:val="18"/>
        </w:rPr>
        <w:t>据。</w:t>
      </w:r>
    </w:p>
    <w:p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headerReference r:id="rId32" w:type="default"/>
          <w:footerReference r:id="rId33" w:type="default"/>
          <w:pgSz w:w="16838" w:h="11906"/>
          <w:pgMar w:top="1305" w:right="877" w:bottom="412" w:left="840" w:header="936" w:footer="189" w:gutter="0"/>
        </w:sectPr>
      </w:pPr>
    </w:p>
    <w:p>
      <w:pPr>
        <w:spacing w:before="252" w:line="218" w:lineRule="auto"/>
        <w:ind w:left="666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政府采购预算表</w:t>
      </w:r>
    </w:p>
    <w:p>
      <w:pPr>
        <w:spacing w:before="270" w:line="211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单位名称：117002柳州市城中区人民法院    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单位：万元</w:t>
      </w:r>
    </w:p>
    <w:tbl>
      <w:tblPr>
        <w:tblStyle w:val="5"/>
        <w:tblW w:w="151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934"/>
        <w:gridCol w:w="1714"/>
        <w:gridCol w:w="1402"/>
        <w:gridCol w:w="934"/>
        <w:gridCol w:w="779"/>
        <w:gridCol w:w="779"/>
        <w:gridCol w:w="779"/>
        <w:gridCol w:w="779"/>
        <w:gridCol w:w="479"/>
        <w:gridCol w:w="623"/>
        <w:gridCol w:w="664"/>
        <w:gridCol w:w="664"/>
        <w:gridCol w:w="623"/>
        <w:gridCol w:w="665"/>
        <w:gridCol w:w="623"/>
        <w:gridCol w:w="623"/>
        <w:gridCol w:w="623"/>
        <w:gridCol w:w="6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科目编码</w:t>
            </w: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90" w:lineRule="auto"/>
              <w:ind w:left="98" w:right="106" w:firstLine="3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部门（单</w:t>
            </w:r>
            <w:r>
              <w:rPr>
                <w:b/>
                <w:bCs/>
                <w:spacing w:val="-4"/>
                <w:sz w:val="18"/>
                <w:szCs w:val="18"/>
              </w:rPr>
              <w:t>位）代码</w:t>
            </w:r>
          </w:p>
        </w:tc>
        <w:tc>
          <w:tcPr>
            <w:tcW w:w="1714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90" w:lineRule="auto"/>
              <w:ind w:left="72" w:right="44" w:firstLine="6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部门（单位）名称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</w:rPr>
              <w:t>(功能分类科目名称)</w:t>
            </w:r>
          </w:p>
        </w:tc>
        <w:tc>
          <w:tcPr>
            <w:tcW w:w="1402" w:type="dxa"/>
            <w:vMerge w:val="restart"/>
            <w:tcBorders>
              <w:bottom w:val="nil"/>
            </w:tcBorders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33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项目名称</w:t>
            </w:r>
          </w:p>
        </w:tc>
        <w:tc>
          <w:tcPr>
            <w:tcW w:w="5152" w:type="dxa"/>
            <w:gridSpan w:val="7"/>
            <w:vAlign w:val="top"/>
          </w:tcPr>
          <w:p>
            <w:pPr>
              <w:pStyle w:val="6"/>
              <w:spacing w:before="49" w:line="218" w:lineRule="auto"/>
              <w:ind w:left="1855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政府采购资金类型</w:t>
            </w:r>
          </w:p>
        </w:tc>
        <w:tc>
          <w:tcPr>
            <w:tcW w:w="5116" w:type="dxa"/>
            <w:gridSpan w:val="8"/>
            <w:vAlign w:val="top"/>
          </w:tcPr>
          <w:p>
            <w:pPr>
              <w:pStyle w:val="6"/>
              <w:spacing w:before="49" w:line="218" w:lineRule="auto"/>
              <w:ind w:left="1839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政府采购项目类型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1" w:line="220" w:lineRule="auto"/>
              <w:ind w:left="28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0" w:line="264" w:lineRule="auto"/>
              <w:ind w:left="206" w:right="23" w:hanging="17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一般公共</w:t>
            </w:r>
            <w:r>
              <w:rPr>
                <w:b/>
                <w:bCs/>
                <w:spacing w:val="-4"/>
                <w:sz w:val="18"/>
                <w:szCs w:val="18"/>
              </w:rPr>
              <w:t>预算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0" w:line="264" w:lineRule="auto"/>
              <w:ind w:left="119" w:right="22" w:hanging="9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政府性基金预算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0" w:line="218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国有资本</w:t>
            </w:r>
          </w:p>
          <w:p>
            <w:pPr>
              <w:pStyle w:val="6"/>
              <w:spacing w:before="67" w:line="219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经营预算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1" w:line="219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财政专户</w:t>
            </w:r>
          </w:p>
          <w:p>
            <w:pPr>
              <w:pStyle w:val="6"/>
              <w:spacing w:before="66" w:line="219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管理资金</w:t>
            </w:r>
          </w:p>
        </w:tc>
        <w:tc>
          <w:tcPr>
            <w:tcW w:w="4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1" w:line="219" w:lineRule="auto"/>
              <w:ind w:left="62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单位</w:t>
            </w:r>
          </w:p>
          <w:p>
            <w:pPr>
              <w:pStyle w:val="6"/>
              <w:spacing w:before="66" w:line="220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资金</w:t>
            </w:r>
          </w:p>
        </w:tc>
        <w:tc>
          <w:tcPr>
            <w:tcW w:w="62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0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上年结</w:t>
            </w:r>
          </w:p>
          <w:p>
            <w:pPr>
              <w:pStyle w:val="6"/>
              <w:spacing w:before="67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转结余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1" w:line="220" w:lineRule="auto"/>
              <w:ind w:left="15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952" w:type="dxa"/>
            <w:gridSpan w:val="3"/>
            <w:vAlign w:val="top"/>
          </w:tcPr>
          <w:p>
            <w:pPr>
              <w:pStyle w:val="6"/>
              <w:spacing w:before="43" w:line="218" w:lineRule="auto"/>
              <w:ind w:left="61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集中采购</w:t>
            </w:r>
          </w:p>
        </w:tc>
        <w:tc>
          <w:tcPr>
            <w:tcW w:w="2500" w:type="dxa"/>
            <w:gridSpan w:val="4"/>
            <w:vAlign w:val="top"/>
          </w:tcPr>
          <w:p>
            <w:pPr>
              <w:pStyle w:val="6"/>
              <w:spacing w:before="43" w:line="218" w:lineRule="auto"/>
              <w:ind w:left="89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分散采购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44" w:line="220" w:lineRule="auto"/>
              <w:ind w:left="160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小计</w:t>
            </w:r>
          </w:p>
        </w:tc>
        <w:tc>
          <w:tcPr>
            <w:tcW w:w="62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43" w:line="218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货物类</w:t>
            </w:r>
          </w:p>
        </w:tc>
        <w:tc>
          <w:tcPr>
            <w:tcW w:w="66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3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服务类</w:t>
            </w:r>
          </w:p>
        </w:tc>
        <w:tc>
          <w:tcPr>
            <w:tcW w:w="62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4" w:line="220" w:lineRule="auto"/>
              <w:ind w:left="141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小计</w:t>
            </w:r>
          </w:p>
        </w:tc>
        <w:tc>
          <w:tcPr>
            <w:tcW w:w="62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3" w:line="218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货物类</w:t>
            </w:r>
          </w:p>
        </w:tc>
        <w:tc>
          <w:tcPr>
            <w:tcW w:w="62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3" w:line="219" w:lineRule="auto"/>
              <w:ind w:left="5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工程类</w:t>
            </w:r>
          </w:p>
        </w:tc>
        <w:tc>
          <w:tcPr>
            <w:tcW w:w="63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3" w:line="219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服务类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43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34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34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34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34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</w:t>
            </w:r>
          </w:p>
        </w:tc>
        <w:tc>
          <w:tcPr>
            <w:tcW w:w="47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</w:t>
            </w:r>
          </w:p>
        </w:tc>
        <w:tc>
          <w:tcPr>
            <w:tcW w:w="62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27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</w:t>
            </w:r>
          </w:p>
        </w:tc>
        <w:tc>
          <w:tcPr>
            <w:tcW w:w="66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29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</w:t>
            </w:r>
          </w:p>
        </w:tc>
        <w:tc>
          <w:tcPr>
            <w:tcW w:w="66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29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241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10</w:t>
            </w:r>
          </w:p>
        </w:tc>
        <w:tc>
          <w:tcPr>
            <w:tcW w:w="66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259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11</w:t>
            </w:r>
          </w:p>
        </w:tc>
        <w:tc>
          <w:tcPr>
            <w:tcW w:w="62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239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12</w:t>
            </w:r>
          </w:p>
        </w:tc>
        <w:tc>
          <w:tcPr>
            <w:tcW w:w="62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240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13</w:t>
            </w:r>
          </w:p>
        </w:tc>
        <w:tc>
          <w:tcPr>
            <w:tcW w:w="62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241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14</w:t>
            </w:r>
          </w:p>
        </w:tc>
        <w:tc>
          <w:tcPr>
            <w:tcW w:w="63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49" w:line="231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36" w:type="dxa"/>
            <w:gridSpan w:val="4"/>
            <w:vAlign w:val="top"/>
          </w:tcPr>
          <w:p>
            <w:pPr>
              <w:pStyle w:val="6"/>
              <w:spacing w:before="45" w:line="220" w:lineRule="auto"/>
              <w:ind w:left="219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934" w:type="dxa"/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159.09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159.09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479" w:type="dxa"/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159.09</w:t>
            </w:r>
          </w:p>
        </w:tc>
        <w:tc>
          <w:tcPr>
            <w:tcW w:w="664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159.09</w:t>
            </w:r>
          </w:p>
        </w:tc>
        <w:tc>
          <w:tcPr>
            <w:tcW w:w="623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65" w:type="dxa"/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159.09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0.00</w:t>
            </w:r>
          </w:p>
        </w:tc>
        <w:tc>
          <w:tcPr>
            <w:tcW w:w="631" w:type="dxa"/>
            <w:vAlign w:val="top"/>
          </w:tcPr>
          <w:p>
            <w:pPr>
              <w:pStyle w:val="6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>
            <w:pPr>
              <w:pStyle w:val="6"/>
              <w:spacing w:before="185" w:line="239" w:lineRule="auto"/>
              <w:ind w:left="10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117</w:t>
            </w:r>
          </w:p>
        </w:tc>
        <w:tc>
          <w:tcPr>
            <w:tcW w:w="1714" w:type="dxa"/>
            <w:vAlign w:val="top"/>
          </w:tcPr>
          <w:p>
            <w:pPr>
              <w:pStyle w:val="6"/>
              <w:spacing w:before="45" w:line="258" w:lineRule="auto"/>
              <w:ind w:left="4" w:right="174" w:firstLine="8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广西壮族自治区柳</w:t>
            </w:r>
            <w:r>
              <w:rPr>
                <w:spacing w:val="-2"/>
                <w:sz w:val="18"/>
                <w:szCs w:val="18"/>
              </w:rPr>
              <w:t>州市中级人民法院</w:t>
            </w:r>
          </w:p>
        </w:tc>
        <w:tc>
          <w:tcPr>
            <w:tcW w:w="1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159.09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159.09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479" w:type="dxa"/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159.09</w:t>
            </w:r>
          </w:p>
        </w:tc>
        <w:tc>
          <w:tcPr>
            <w:tcW w:w="664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159.09</w:t>
            </w:r>
          </w:p>
        </w:tc>
        <w:tc>
          <w:tcPr>
            <w:tcW w:w="623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65" w:type="dxa"/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159.09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0.00</w:t>
            </w:r>
          </w:p>
        </w:tc>
        <w:tc>
          <w:tcPr>
            <w:tcW w:w="631" w:type="dxa"/>
            <w:vAlign w:val="top"/>
          </w:tcPr>
          <w:p>
            <w:pPr>
              <w:pStyle w:val="6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>
            <w:pPr>
              <w:pStyle w:val="6"/>
              <w:spacing w:before="187" w:line="239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117002</w:t>
            </w:r>
          </w:p>
        </w:tc>
        <w:tc>
          <w:tcPr>
            <w:tcW w:w="1714" w:type="dxa"/>
            <w:vAlign w:val="top"/>
          </w:tcPr>
          <w:p>
            <w:pPr>
              <w:pStyle w:val="6"/>
              <w:spacing w:before="47" w:line="257" w:lineRule="auto"/>
              <w:ind w:left="2" w:right="174" w:firstLine="8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柳州市城中区人民</w:t>
            </w:r>
            <w:r>
              <w:rPr>
                <w:spacing w:val="-2"/>
                <w:sz w:val="18"/>
                <w:szCs w:val="18"/>
              </w:rPr>
              <w:t>法院</w:t>
            </w:r>
          </w:p>
        </w:tc>
        <w:tc>
          <w:tcPr>
            <w:tcW w:w="1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159.09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159.09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479" w:type="dxa"/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159.09</w:t>
            </w:r>
          </w:p>
        </w:tc>
        <w:tc>
          <w:tcPr>
            <w:tcW w:w="664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159.09</w:t>
            </w:r>
          </w:p>
        </w:tc>
        <w:tc>
          <w:tcPr>
            <w:tcW w:w="623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65" w:type="dxa"/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159.09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0.00</w:t>
            </w:r>
          </w:p>
        </w:tc>
        <w:tc>
          <w:tcPr>
            <w:tcW w:w="631" w:type="dxa"/>
            <w:vAlign w:val="top"/>
          </w:tcPr>
          <w:p>
            <w:pPr>
              <w:pStyle w:val="6"/>
              <w:spacing w:before="187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86" w:type="dxa"/>
            <w:vAlign w:val="top"/>
          </w:tcPr>
          <w:p>
            <w:pPr>
              <w:pStyle w:val="6"/>
              <w:spacing w:before="49" w:line="226" w:lineRule="auto"/>
              <w:ind w:left="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2040501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>
            <w:pPr>
              <w:pStyle w:val="6"/>
              <w:spacing w:before="50" w:line="219" w:lineRule="auto"/>
              <w:ind w:left="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行政运行</w:t>
            </w:r>
          </w:p>
        </w:tc>
        <w:tc>
          <w:tcPr>
            <w:tcW w:w="1402" w:type="dxa"/>
            <w:vAlign w:val="top"/>
          </w:tcPr>
          <w:p>
            <w:pPr>
              <w:pStyle w:val="6"/>
              <w:spacing w:before="49"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车辆经费</w:t>
            </w:r>
          </w:p>
        </w:tc>
        <w:tc>
          <w:tcPr>
            <w:tcW w:w="934" w:type="dxa"/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6.86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6.86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479" w:type="dxa"/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6.86</w:t>
            </w:r>
          </w:p>
        </w:tc>
        <w:tc>
          <w:tcPr>
            <w:tcW w:w="664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6.86</w:t>
            </w:r>
          </w:p>
        </w:tc>
        <w:tc>
          <w:tcPr>
            <w:tcW w:w="623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65" w:type="dxa"/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6.86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0.00</w:t>
            </w:r>
          </w:p>
        </w:tc>
        <w:tc>
          <w:tcPr>
            <w:tcW w:w="631" w:type="dxa"/>
            <w:vAlign w:val="top"/>
          </w:tcPr>
          <w:p>
            <w:pPr>
              <w:pStyle w:val="6"/>
              <w:spacing w:before="4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6" w:type="dxa"/>
            <w:vAlign w:val="top"/>
          </w:tcPr>
          <w:p>
            <w:pPr>
              <w:pStyle w:val="6"/>
              <w:spacing w:before="190" w:line="239" w:lineRule="auto"/>
              <w:ind w:left="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2040501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>
            <w:pPr>
              <w:pStyle w:val="6"/>
              <w:spacing w:before="190" w:line="219" w:lineRule="auto"/>
              <w:ind w:left="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行政运行</w:t>
            </w:r>
          </w:p>
        </w:tc>
        <w:tc>
          <w:tcPr>
            <w:tcW w:w="1402" w:type="dxa"/>
            <w:vAlign w:val="top"/>
          </w:tcPr>
          <w:p>
            <w:pPr>
              <w:pStyle w:val="6"/>
              <w:spacing w:before="50" w:line="256" w:lineRule="auto"/>
              <w:ind w:left="3" w:right="41" w:firstLine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定额商品和服务支出</w:t>
            </w:r>
          </w:p>
        </w:tc>
        <w:tc>
          <w:tcPr>
            <w:tcW w:w="934" w:type="dxa"/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2.45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2.45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479" w:type="dxa"/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64" w:type="dxa"/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2.45</w:t>
            </w:r>
          </w:p>
        </w:tc>
        <w:tc>
          <w:tcPr>
            <w:tcW w:w="664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2.45</w:t>
            </w:r>
          </w:p>
        </w:tc>
        <w:tc>
          <w:tcPr>
            <w:tcW w:w="623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65" w:type="dxa"/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2.45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0.00</w:t>
            </w:r>
          </w:p>
        </w:tc>
        <w:tc>
          <w:tcPr>
            <w:tcW w:w="631" w:type="dxa"/>
            <w:vAlign w:val="top"/>
          </w:tcPr>
          <w:p>
            <w:pPr>
              <w:pStyle w:val="6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8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ind w:left="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2040501</w:t>
            </w:r>
          </w:p>
        </w:tc>
        <w:tc>
          <w:tcPr>
            <w:tcW w:w="934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19" w:lineRule="auto"/>
              <w:ind w:left="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行政运行</w:t>
            </w:r>
          </w:p>
        </w:tc>
        <w:tc>
          <w:tcPr>
            <w:tcW w:w="1402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车辆经费</w:t>
            </w:r>
          </w:p>
        </w:tc>
        <w:tc>
          <w:tcPr>
            <w:tcW w:w="93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3.80</w:t>
            </w:r>
          </w:p>
        </w:tc>
        <w:tc>
          <w:tcPr>
            <w:tcW w:w="77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3.80</w:t>
            </w:r>
          </w:p>
        </w:tc>
        <w:tc>
          <w:tcPr>
            <w:tcW w:w="77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2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6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3.80</w:t>
            </w:r>
          </w:p>
        </w:tc>
        <w:tc>
          <w:tcPr>
            <w:tcW w:w="66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3.80</w:t>
            </w:r>
          </w:p>
        </w:tc>
        <w:tc>
          <w:tcPr>
            <w:tcW w:w="62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6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3.80</w:t>
            </w:r>
          </w:p>
        </w:tc>
        <w:tc>
          <w:tcPr>
            <w:tcW w:w="62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0.00</w:t>
            </w:r>
          </w:p>
        </w:tc>
        <w:tc>
          <w:tcPr>
            <w:tcW w:w="63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ind w:left="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2040599</w:t>
            </w:r>
          </w:p>
        </w:tc>
        <w:tc>
          <w:tcPr>
            <w:tcW w:w="934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219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其他法院支出</w:t>
            </w:r>
          </w:p>
        </w:tc>
        <w:tc>
          <w:tcPr>
            <w:tcW w:w="1402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19" w:lineRule="auto"/>
              <w:ind w:left="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物业管理费</w:t>
            </w:r>
          </w:p>
        </w:tc>
        <w:tc>
          <w:tcPr>
            <w:tcW w:w="93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145.00</w:t>
            </w:r>
          </w:p>
        </w:tc>
        <w:tc>
          <w:tcPr>
            <w:tcW w:w="77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145.00</w:t>
            </w:r>
          </w:p>
        </w:tc>
        <w:tc>
          <w:tcPr>
            <w:tcW w:w="77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47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2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6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145.00</w:t>
            </w:r>
          </w:p>
        </w:tc>
        <w:tc>
          <w:tcPr>
            <w:tcW w:w="66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145.00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6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145.00</w:t>
            </w:r>
          </w:p>
        </w:tc>
        <w:tc>
          <w:tcPr>
            <w:tcW w:w="62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0.00</w:t>
            </w:r>
          </w:p>
        </w:tc>
        <w:tc>
          <w:tcPr>
            <w:tcW w:w="63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6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8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ind w:left="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2040599</w:t>
            </w:r>
          </w:p>
        </w:tc>
        <w:tc>
          <w:tcPr>
            <w:tcW w:w="934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2" w:line="219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其他法院支出</w:t>
            </w:r>
          </w:p>
        </w:tc>
        <w:tc>
          <w:tcPr>
            <w:tcW w:w="1402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19" w:lineRule="auto"/>
              <w:ind w:left="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办公业务费</w:t>
            </w:r>
          </w:p>
        </w:tc>
        <w:tc>
          <w:tcPr>
            <w:tcW w:w="93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0.98</w:t>
            </w:r>
          </w:p>
        </w:tc>
        <w:tc>
          <w:tcPr>
            <w:tcW w:w="77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0.98</w:t>
            </w:r>
          </w:p>
        </w:tc>
        <w:tc>
          <w:tcPr>
            <w:tcW w:w="77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77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2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  <w:tc>
          <w:tcPr>
            <w:tcW w:w="66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0.98</w:t>
            </w:r>
          </w:p>
        </w:tc>
        <w:tc>
          <w:tcPr>
            <w:tcW w:w="66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0.98</w:t>
            </w:r>
          </w:p>
        </w:tc>
        <w:tc>
          <w:tcPr>
            <w:tcW w:w="62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6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0.98</w:t>
            </w:r>
          </w:p>
        </w:tc>
        <w:tc>
          <w:tcPr>
            <w:tcW w:w="62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0.00</w:t>
            </w:r>
          </w:p>
        </w:tc>
        <w:tc>
          <w:tcPr>
            <w:tcW w:w="62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0.00</w:t>
            </w:r>
          </w:p>
        </w:tc>
        <w:tc>
          <w:tcPr>
            <w:tcW w:w="63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1" w:line="23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34" w:type="default"/>
          <w:footerReference r:id="rId35" w:type="default"/>
          <w:pgSz w:w="16838" w:h="11906"/>
          <w:pgMar w:top="1305" w:right="877" w:bottom="481" w:left="840" w:header="936" w:footer="162" w:gutter="0"/>
        </w:sectPr>
      </w:pPr>
    </w:p>
    <w:p>
      <w:pPr>
        <w:spacing w:before="252" w:line="218" w:lineRule="auto"/>
        <w:ind w:left="640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政府购买服务预算表</w:t>
      </w:r>
    </w:p>
    <w:p>
      <w:pPr>
        <w:spacing w:before="270" w:line="211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单位名称：117002柳州市城中区人民法院    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单位：万元</w:t>
      </w:r>
    </w:p>
    <w:tbl>
      <w:tblPr>
        <w:tblStyle w:val="5"/>
        <w:tblW w:w="151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886"/>
        <w:gridCol w:w="1886"/>
        <w:gridCol w:w="1572"/>
        <w:gridCol w:w="1414"/>
        <w:gridCol w:w="1415"/>
        <w:gridCol w:w="1414"/>
        <w:gridCol w:w="1414"/>
        <w:gridCol w:w="1415"/>
        <w:gridCol w:w="14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8" w:lineRule="auto"/>
              <w:ind w:left="22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科目编码</w:t>
            </w:r>
          </w:p>
        </w:tc>
        <w:tc>
          <w:tcPr>
            <w:tcW w:w="1886" w:type="dxa"/>
            <w:vMerge w:val="restart"/>
            <w:tcBorders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3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部门（单位）代码</w:t>
            </w:r>
          </w:p>
        </w:tc>
        <w:tc>
          <w:tcPr>
            <w:tcW w:w="1886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90" w:lineRule="auto"/>
              <w:ind w:left="72" w:right="41" w:firstLine="6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部门（单位）名称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7"/>
                <w:sz w:val="20"/>
                <w:szCs w:val="20"/>
              </w:rPr>
              <w:t>(功能分类科目名称)</w:t>
            </w:r>
          </w:p>
        </w:tc>
        <w:tc>
          <w:tcPr>
            <w:tcW w:w="10067" w:type="dxa"/>
            <w:gridSpan w:val="7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6" w:line="218" w:lineRule="auto"/>
              <w:ind w:left="4034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政府购买服务资金类型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5" w:line="220" w:lineRule="auto"/>
              <w:ind w:left="58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04" w:line="219" w:lineRule="auto"/>
              <w:ind w:left="10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一般公共预算</w:t>
            </w:r>
          </w:p>
        </w:tc>
        <w:tc>
          <w:tcPr>
            <w:tcW w:w="141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9" w:line="260" w:lineRule="auto"/>
              <w:ind w:left="608" w:right="98" w:hanging="50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政府性基金预</w:t>
            </w:r>
            <w:r>
              <w:rPr>
                <w:b/>
                <w:bCs/>
                <w:spacing w:val="-3"/>
                <w:sz w:val="20"/>
                <w:szCs w:val="20"/>
              </w:rPr>
              <w:t>算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9" w:line="260" w:lineRule="auto"/>
              <w:ind w:left="508" w:right="96" w:hanging="380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国有资本经营</w:t>
            </w:r>
            <w:r>
              <w:rPr>
                <w:b/>
                <w:bCs/>
                <w:spacing w:val="-4"/>
                <w:sz w:val="20"/>
                <w:szCs w:val="20"/>
              </w:rPr>
              <w:t>预算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49" w:line="260" w:lineRule="auto"/>
              <w:ind w:left="518" w:right="94" w:hanging="40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财政专户管理</w:t>
            </w:r>
            <w:r>
              <w:rPr>
                <w:b/>
                <w:bCs/>
                <w:spacing w:val="-6"/>
                <w:sz w:val="20"/>
                <w:szCs w:val="20"/>
              </w:rPr>
              <w:t>资金</w:t>
            </w:r>
          </w:p>
        </w:tc>
        <w:tc>
          <w:tcPr>
            <w:tcW w:w="141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04" w:line="220" w:lineRule="auto"/>
              <w:ind w:left="31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单位资金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4" w:line="219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54" w:line="232" w:lineRule="auto"/>
              <w:ind w:left="75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4" w:line="232" w:lineRule="auto"/>
              <w:ind w:left="659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4" w:line="232" w:lineRule="auto"/>
              <w:ind w:left="66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4" w:line="232" w:lineRule="auto"/>
              <w:ind w:left="65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4" w:line="232" w:lineRule="auto"/>
              <w:ind w:left="665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4" w:line="232" w:lineRule="auto"/>
              <w:ind w:left="665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54" w:line="232" w:lineRule="auto"/>
              <w:ind w:left="67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037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20" w:lineRule="auto"/>
              <w:ind w:left="226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5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231.34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231.34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5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23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pStyle w:val="6"/>
              <w:spacing w:before="207" w:line="239" w:lineRule="auto"/>
              <w:ind w:left="11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117</w:t>
            </w:r>
          </w:p>
        </w:tc>
        <w:tc>
          <w:tcPr>
            <w:tcW w:w="1886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59" w:lineRule="auto"/>
              <w:ind w:left="6" w:right="176" w:firstLine="9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广西壮族自治区柳</w:t>
            </w:r>
            <w:r>
              <w:rPr>
                <w:spacing w:val="-2"/>
                <w:sz w:val="20"/>
                <w:szCs w:val="20"/>
              </w:rPr>
              <w:t>州市中级人民法院</w:t>
            </w:r>
          </w:p>
        </w:tc>
        <w:tc>
          <w:tcPr>
            <w:tcW w:w="15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08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231.34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208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231.34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208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208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208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5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208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23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208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65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08" w:line="239" w:lineRule="auto"/>
              <w:ind w:left="116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117002</w:t>
            </w:r>
          </w:p>
        </w:tc>
        <w:tc>
          <w:tcPr>
            <w:tcW w:w="1886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3" w:line="258" w:lineRule="auto"/>
              <w:ind w:left="3" w:right="176" w:firstLine="9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柳州市城中区人民</w:t>
            </w:r>
            <w:r>
              <w:rPr>
                <w:spacing w:val="-3"/>
                <w:sz w:val="20"/>
                <w:szCs w:val="20"/>
              </w:rPr>
              <w:t>法院</w:t>
            </w:r>
          </w:p>
        </w:tc>
        <w:tc>
          <w:tcPr>
            <w:tcW w:w="157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231.34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231.34</w:t>
            </w:r>
          </w:p>
        </w:tc>
        <w:tc>
          <w:tcPr>
            <w:tcW w:w="141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09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6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2040599</w:t>
            </w:r>
          </w:p>
        </w:tc>
        <w:tc>
          <w:tcPr>
            <w:tcW w:w="1886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9" w:line="220" w:lineRule="auto"/>
              <w:ind w:left="10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其他法院支出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0.98</w:t>
            </w:r>
          </w:p>
        </w:tc>
        <w:tc>
          <w:tcPr>
            <w:tcW w:w="141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0.98</w:t>
            </w:r>
          </w:p>
        </w:tc>
        <w:tc>
          <w:tcPr>
            <w:tcW w:w="141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41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5" w:type="dxa"/>
            <w:vAlign w:val="top"/>
          </w:tcPr>
          <w:p>
            <w:pPr>
              <w:pStyle w:val="6"/>
              <w:spacing w:before="56" w:line="226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2040599</w:t>
            </w: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5" w:line="220" w:lineRule="auto"/>
              <w:ind w:left="10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其他法院支出</w:t>
            </w:r>
          </w:p>
        </w:tc>
        <w:tc>
          <w:tcPr>
            <w:tcW w:w="15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10.00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5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23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5" w:type="dxa"/>
            <w:vAlign w:val="top"/>
          </w:tcPr>
          <w:p>
            <w:pPr>
              <w:pStyle w:val="6"/>
              <w:spacing w:before="57" w:line="225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2040599</w:t>
            </w: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6" w:line="220" w:lineRule="auto"/>
              <w:ind w:left="10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其他法院支出</w:t>
            </w:r>
          </w:p>
        </w:tc>
        <w:tc>
          <w:tcPr>
            <w:tcW w:w="15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145.00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145.00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5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23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8" w:line="224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2040506</w:t>
            </w:r>
          </w:p>
        </w:tc>
        <w:tc>
          <w:tcPr>
            <w:tcW w:w="1886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7" w:line="220" w:lineRule="auto"/>
              <w:ind w:left="8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“两庭”建设</w:t>
            </w:r>
          </w:p>
        </w:tc>
        <w:tc>
          <w:tcPr>
            <w:tcW w:w="157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15.15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15.15</w:t>
            </w:r>
          </w:p>
        </w:tc>
        <w:tc>
          <w:tcPr>
            <w:tcW w:w="141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6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4" w:line="223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2040504</w:t>
            </w:r>
          </w:p>
        </w:tc>
        <w:tc>
          <w:tcPr>
            <w:tcW w:w="1886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3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案件审判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64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32.40</w:t>
            </w:r>
          </w:p>
        </w:tc>
        <w:tc>
          <w:tcPr>
            <w:tcW w:w="141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4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32.40</w:t>
            </w:r>
          </w:p>
        </w:tc>
        <w:tc>
          <w:tcPr>
            <w:tcW w:w="141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4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41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4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4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4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64" w:line="223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5" w:type="dxa"/>
            <w:vAlign w:val="top"/>
          </w:tcPr>
          <w:p>
            <w:pPr>
              <w:pStyle w:val="6"/>
              <w:spacing w:before="60" w:line="222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2040502</w:t>
            </w: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59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一般行政管理事务</w:t>
            </w:r>
          </w:p>
        </w:tc>
        <w:tc>
          <w:tcPr>
            <w:tcW w:w="15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20.26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20.26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5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23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60" w:line="222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2040501</w:t>
            </w:r>
          </w:p>
        </w:tc>
        <w:tc>
          <w:tcPr>
            <w:tcW w:w="1886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0" w:line="220" w:lineRule="auto"/>
              <w:ind w:left="1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行政运行</w:t>
            </w:r>
          </w:p>
        </w:tc>
        <w:tc>
          <w:tcPr>
            <w:tcW w:w="157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1.30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1.30</w:t>
            </w:r>
          </w:p>
        </w:tc>
        <w:tc>
          <w:tcPr>
            <w:tcW w:w="141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6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6" w:line="221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2040501</w:t>
            </w:r>
          </w:p>
        </w:tc>
        <w:tc>
          <w:tcPr>
            <w:tcW w:w="1886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6" w:line="220" w:lineRule="auto"/>
              <w:ind w:left="1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行政运行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66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3.80</w:t>
            </w:r>
          </w:p>
        </w:tc>
        <w:tc>
          <w:tcPr>
            <w:tcW w:w="141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6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3.80</w:t>
            </w:r>
          </w:p>
        </w:tc>
        <w:tc>
          <w:tcPr>
            <w:tcW w:w="141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6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41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6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6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6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66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65" w:type="dxa"/>
            <w:vAlign w:val="top"/>
          </w:tcPr>
          <w:p>
            <w:pPr>
              <w:pStyle w:val="6"/>
              <w:spacing w:before="63" w:line="227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2040501</w:t>
            </w: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62" w:line="220" w:lineRule="auto"/>
              <w:ind w:left="1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行政运行</w:t>
            </w:r>
          </w:p>
        </w:tc>
        <w:tc>
          <w:tcPr>
            <w:tcW w:w="1572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63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2.45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63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2.45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63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63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6"/>
              <w:spacing w:before="63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15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63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0.00</w:t>
            </w:r>
          </w:p>
        </w:tc>
        <w:tc>
          <w:tcPr>
            <w:tcW w:w="1423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63" w:line="227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36" w:type="default"/>
          <w:footerReference r:id="rId37" w:type="default"/>
          <w:pgSz w:w="16838" w:h="11906"/>
          <w:pgMar w:top="1305" w:right="877" w:bottom="412" w:left="840" w:header="936" w:footer="189" w:gutter="0"/>
        </w:sectPr>
      </w:pPr>
    </w:p>
    <w:p>
      <w:pPr>
        <w:spacing w:before="253" w:line="219" w:lineRule="auto"/>
        <w:ind w:left="640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项目绩效目标公开表</w:t>
      </w:r>
    </w:p>
    <w:p>
      <w:pPr>
        <w:spacing w:before="268" w:line="211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单位名称：117002柳州市城中区人民法院    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单位：万元</w:t>
      </w:r>
    </w:p>
    <w:tbl>
      <w:tblPr>
        <w:tblStyle w:val="5"/>
        <w:tblW w:w="151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642"/>
        <w:gridCol w:w="803"/>
        <w:gridCol w:w="963"/>
        <w:gridCol w:w="643"/>
        <w:gridCol w:w="1608"/>
        <w:gridCol w:w="1125"/>
        <w:gridCol w:w="1125"/>
        <w:gridCol w:w="1125"/>
        <w:gridCol w:w="1125"/>
        <w:gridCol w:w="1125"/>
        <w:gridCol w:w="1125"/>
        <w:gridCol w:w="1125"/>
        <w:gridCol w:w="1286"/>
        <w:gridCol w:w="9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25" w:type="dxa"/>
            <w:vAlign w:val="top"/>
          </w:tcPr>
          <w:p>
            <w:pPr>
              <w:pStyle w:val="6"/>
              <w:spacing w:before="131" w:line="220" w:lineRule="auto"/>
              <w:ind w:left="43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序号</w:t>
            </w:r>
          </w:p>
        </w:tc>
        <w:tc>
          <w:tcPr>
            <w:tcW w:w="642" w:type="dxa"/>
            <w:vAlign w:val="top"/>
          </w:tcPr>
          <w:p>
            <w:pPr>
              <w:pStyle w:val="6"/>
              <w:spacing w:before="130" w:line="219" w:lineRule="auto"/>
              <w:ind w:left="81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单位代码</w:t>
            </w:r>
          </w:p>
        </w:tc>
        <w:tc>
          <w:tcPr>
            <w:tcW w:w="803" w:type="dxa"/>
            <w:vAlign w:val="top"/>
          </w:tcPr>
          <w:p>
            <w:pPr>
              <w:pStyle w:val="6"/>
              <w:spacing w:before="131" w:line="219" w:lineRule="auto"/>
              <w:ind w:left="161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单位名称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131" w:line="219" w:lineRule="auto"/>
              <w:ind w:left="241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项目名称</w:t>
            </w:r>
          </w:p>
        </w:tc>
        <w:tc>
          <w:tcPr>
            <w:tcW w:w="643" w:type="dxa"/>
            <w:vAlign w:val="top"/>
          </w:tcPr>
          <w:p>
            <w:pPr>
              <w:pStyle w:val="6"/>
              <w:spacing w:before="37" w:line="257" w:lineRule="auto"/>
              <w:ind w:left="260" w:right="21" w:hanging="239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预算资金总</w:t>
            </w:r>
            <w:r>
              <w:rPr>
                <w:b/>
                <w:bCs/>
                <w:spacing w:val="-2"/>
                <w:sz w:val="12"/>
                <w:szCs w:val="12"/>
              </w:rPr>
              <w:t>额</w:t>
            </w:r>
          </w:p>
        </w:tc>
        <w:tc>
          <w:tcPr>
            <w:tcW w:w="1608" w:type="dxa"/>
            <w:vAlign w:val="top"/>
          </w:tcPr>
          <w:p>
            <w:pPr>
              <w:pStyle w:val="6"/>
              <w:spacing w:before="130" w:line="219" w:lineRule="auto"/>
              <w:ind w:left="444"/>
              <w:rPr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年度绩效目标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0" w:line="219" w:lineRule="auto"/>
              <w:ind w:left="323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数量指标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1" w:line="219" w:lineRule="auto"/>
              <w:ind w:left="323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质量指标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1" w:line="219" w:lineRule="auto"/>
              <w:ind w:left="332"/>
              <w:rPr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时效指标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0" w:line="218" w:lineRule="auto"/>
              <w:ind w:left="325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成本指标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1" w:line="219" w:lineRule="auto"/>
              <w:ind w:left="206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经济效益指标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0" w:line="218" w:lineRule="auto"/>
              <w:ind w:left="207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社会效益指标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1" w:line="219" w:lineRule="auto"/>
              <w:ind w:left="211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生态效益指标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30" w:line="219" w:lineRule="auto"/>
              <w:ind w:left="229"/>
              <w:rPr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可持续效益指标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37" w:line="257" w:lineRule="auto"/>
              <w:ind w:left="367" w:right="60" w:hanging="300"/>
              <w:rPr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服务对象满意度</w:t>
            </w:r>
            <w:r>
              <w:rPr>
                <w:b/>
                <w:bCs/>
                <w:spacing w:val="-3"/>
                <w:sz w:val="12"/>
                <w:szCs w:val="12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325" w:type="dxa"/>
            <w:vAlign w:val="top"/>
          </w:tcPr>
          <w:p>
            <w:pPr>
              <w:pStyle w:val="6"/>
              <w:spacing w:before="33" w:line="226" w:lineRule="auto"/>
              <w:ind w:left="1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4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803" w:type="dxa"/>
            <w:vAlign w:val="top"/>
          </w:tcPr>
          <w:p>
            <w:pPr>
              <w:pStyle w:val="6"/>
              <w:spacing w:before="33" w:line="220" w:lineRule="auto"/>
              <w:ind w:left="6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合计</w:t>
            </w:r>
          </w:p>
        </w:tc>
        <w:tc>
          <w:tcPr>
            <w:tcW w:w="963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643" w:type="dxa"/>
            <w:vAlign w:val="top"/>
          </w:tcPr>
          <w:p>
            <w:pPr>
              <w:pStyle w:val="6"/>
              <w:spacing w:before="33" w:line="226" w:lineRule="auto"/>
              <w:ind w:right="3"/>
              <w:jc w:val="right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483.42</w:t>
            </w:r>
          </w:p>
        </w:tc>
        <w:tc>
          <w:tcPr>
            <w:tcW w:w="1608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1286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96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25" w:type="dxa"/>
            <w:vAlign w:val="top"/>
          </w:tcPr>
          <w:p>
            <w:pPr>
              <w:pStyle w:val="6"/>
              <w:spacing w:before="221"/>
              <w:ind w:left="10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642" w:type="dxa"/>
            <w:vAlign w:val="top"/>
          </w:tcPr>
          <w:p>
            <w:pPr>
              <w:pStyle w:val="6"/>
              <w:spacing w:before="220" w:line="239" w:lineRule="auto"/>
              <w:ind w:left="72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117</w:t>
            </w:r>
          </w:p>
        </w:tc>
        <w:tc>
          <w:tcPr>
            <w:tcW w:w="803" w:type="dxa"/>
            <w:vAlign w:val="top"/>
          </w:tcPr>
          <w:p>
            <w:pPr>
              <w:pStyle w:val="6"/>
              <w:spacing w:before="33" w:line="267" w:lineRule="auto"/>
              <w:ind w:left="4" w:right="18" w:firstLine="59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广西壮族自治区柳州市中级人民法院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pStyle w:val="6"/>
              <w:spacing w:before="221" w:line="238" w:lineRule="auto"/>
              <w:ind w:right="3"/>
              <w:jc w:val="right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483.42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325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9" w:lineRule="auto"/>
              <w:ind w:left="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642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9" w:lineRule="auto"/>
              <w:ind w:left="7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117002</w:t>
            </w:r>
          </w:p>
        </w:tc>
        <w:tc>
          <w:tcPr>
            <w:tcW w:w="803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4" w:right="18" w:firstLine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柳州市城中区人民法院</w:t>
            </w:r>
          </w:p>
        </w:tc>
        <w:tc>
          <w:tcPr>
            <w:tcW w:w="963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6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物业管理费</w:t>
            </w:r>
          </w:p>
        </w:tc>
        <w:tc>
          <w:tcPr>
            <w:tcW w:w="643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8" w:lineRule="auto"/>
              <w:ind w:right="1"/>
              <w:jc w:val="right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145.00</w:t>
            </w:r>
          </w:p>
        </w:tc>
        <w:tc>
          <w:tcPr>
            <w:tcW w:w="1608" w:type="dxa"/>
            <w:vAlign w:val="top"/>
          </w:tcPr>
          <w:p>
            <w:pPr>
              <w:pStyle w:val="6"/>
              <w:spacing w:before="33" w:line="277" w:lineRule="auto"/>
              <w:ind w:left="4" w:right="42" w:firstLine="59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通过聘请物业管理公司对我院审判综合楼及附属设施提供安全保卫、保洁、绿化、公共设施设备维护等服务活动，为法院正常开展审判活动提供良</w:t>
            </w:r>
            <w:r>
              <w:rPr>
                <w:spacing w:val="-3"/>
                <w:sz w:val="12"/>
                <w:szCs w:val="12"/>
              </w:rPr>
              <w:t>好的后勤支持。</w:t>
            </w:r>
          </w:p>
        </w:tc>
        <w:tc>
          <w:tcPr>
            <w:tcW w:w="112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89" w:lineRule="auto"/>
              <w:ind w:left="25" w:right="340" w:firstLine="3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物业服务面积</w:t>
            </w:r>
            <w:r>
              <w:rPr>
                <w:spacing w:val="-3"/>
                <w:sz w:val="12"/>
                <w:szCs w:val="12"/>
              </w:rPr>
              <w:t>(≥189平方米)</w:t>
            </w:r>
          </w:p>
        </w:tc>
        <w:tc>
          <w:tcPr>
            <w:tcW w:w="112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89" w:lineRule="auto"/>
              <w:ind w:left="5" w:right="99" w:firstLine="6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公共设施设备维护</w:t>
            </w:r>
            <w:r>
              <w:rPr>
                <w:spacing w:val="-1"/>
                <w:sz w:val="12"/>
                <w:szCs w:val="12"/>
              </w:rPr>
              <w:t>保养完好率(≥90%)</w:t>
            </w:r>
          </w:p>
        </w:tc>
        <w:tc>
          <w:tcPr>
            <w:tcW w:w="112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27" w:right="218" w:firstLine="3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卫生保洁及时率</w:t>
            </w:r>
            <w:r>
              <w:rPr>
                <w:spacing w:val="-4"/>
                <w:sz w:val="12"/>
                <w:szCs w:val="12"/>
              </w:rPr>
              <w:t>(＝1小时)</w:t>
            </w:r>
          </w:p>
        </w:tc>
        <w:tc>
          <w:tcPr>
            <w:tcW w:w="112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28" w:right="277" w:firstLine="3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物业管理成本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3"/>
                <w:sz w:val="12"/>
                <w:szCs w:val="12"/>
              </w:rPr>
              <w:t>(≤131.17万元)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1" w:lineRule="auto"/>
              <w:ind w:left="29" w:right="96" w:firstLine="3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解决社会就业人数</w:t>
            </w:r>
            <w:r>
              <w:rPr>
                <w:spacing w:val="-4"/>
                <w:sz w:val="12"/>
                <w:szCs w:val="12"/>
              </w:rPr>
              <w:t>(≥25人)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水电能耗节约率(≥5%)</w:t>
            </w:r>
          </w:p>
        </w:tc>
        <w:tc>
          <w:tcPr>
            <w:tcW w:w="969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1" w:lineRule="auto"/>
              <w:ind w:left="31" w:right="58" w:firstLine="3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单位职工满意度</w:t>
            </w:r>
            <w:r>
              <w:rPr>
                <w:spacing w:val="-4"/>
                <w:sz w:val="12"/>
                <w:szCs w:val="12"/>
              </w:rPr>
              <w:t>(≥90%)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25" w:type="dxa"/>
            <w:vAlign w:val="top"/>
          </w:tcPr>
          <w:p>
            <w:pPr>
              <w:pStyle w:val="6"/>
              <w:spacing w:before="221"/>
              <w:ind w:left="10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642" w:type="dxa"/>
            <w:vAlign w:val="top"/>
          </w:tcPr>
          <w:p>
            <w:pPr>
              <w:pStyle w:val="6"/>
              <w:spacing w:before="221" w:line="239" w:lineRule="auto"/>
              <w:ind w:left="7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117002</w:t>
            </w:r>
          </w:p>
        </w:tc>
        <w:tc>
          <w:tcPr>
            <w:tcW w:w="803" w:type="dxa"/>
            <w:vAlign w:val="top"/>
          </w:tcPr>
          <w:p>
            <w:pPr>
              <w:pStyle w:val="6"/>
              <w:spacing w:before="127" w:line="290" w:lineRule="auto"/>
              <w:ind w:left="4" w:right="18" w:firstLine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柳州市城中区人民法院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127" w:line="290" w:lineRule="auto"/>
              <w:ind w:left="4" w:right="58" w:firstLine="7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网络维护及线路</w:t>
            </w:r>
            <w:r>
              <w:rPr>
                <w:spacing w:val="-2"/>
                <w:sz w:val="12"/>
                <w:szCs w:val="12"/>
              </w:rPr>
              <w:t>租用费</w:t>
            </w:r>
          </w:p>
        </w:tc>
        <w:tc>
          <w:tcPr>
            <w:tcW w:w="643" w:type="dxa"/>
            <w:vAlign w:val="top"/>
          </w:tcPr>
          <w:p>
            <w:pPr>
              <w:pStyle w:val="6"/>
              <w:spacing w:before="221" w:line="238" w:lineRule="auto"/>
              <w:ind w:right="1"/>
              <w:jc w:val="right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10.00</w:t>
            </w:r>
          </w:p>
        </w:tc>
        <w:tc>
          <w:tcPr>
            <w:tcW w:w="1608" w:type="dxa"/>
            <w:vAlign w:val="top"/>
          </w:tcPr>
          <w:p>
            <w:pPr>
              <w:pStyle w:val="6"/>
              <w:spacing w:before="128" w:line="289" w:lineRule="auto"/>
              <w:ind w:left="5" w:right="42" w:firstLine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智能查控辅助技术，实现立案后集约化查询被执行人财产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35" w:line="266" w:lineRule="auto"/>
              <w:ind w:left="8" w:right="40" w:firstLine="57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智能查控数字书记员技术服务项目数量</w:t>
            </w:r>
            <w:r>
              <w:rPr>
                <w:spacing w:val="-2"/>
                <w:sz w:val="12"/>
                <w:szCs w:val="12"/>
              </w:rPr>
              <w:t>(＝1个)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35" w:line="287" w:lineRule="auto"/>
              <w:ind w:left="5" w:right="99" w:firstLine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立案后集约化查询被执行人财产</w:t>
            </w:r>
          </w:p>
          <w:p>
            <w:pPr>
              <w:pStyle w:val="6"/>
              <w:spacing w:line="221" w:lineRule="auto"/>
              <w:ind w:left="26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(≤100%)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28" w:line="290" w:lineRule="auto"/>
              <w:ind w:left="10" w:right="38" w:firstLine="5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查询的及时性(≤24</w:t>
            </w:r>
            <w:r>
              <w:rPr>
                <w:spacing w:val="-3"/>
                <w:sz w:val="12"/>
                <w:szCs w:val="12"/>
              </w:rPr>
              <w:t>小时)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35" w:line="266" w:lineRule="auto"/>
              <w:ind w:left="6" w:right="97" w:firstLine="61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智能查控技术平台服务项目成本(＝10</w:t>
            </w:r>
            <w:r>
              <w:rPr>
                <w:spacing w:val="-2"/>
                <w:sz w:val="12"/>
                <w:szCs w:val="12"/>
              </w:rPr>
              <w:t>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pStyle w:val="6"/>
              <w:spacing w:before="128" w:line="289" w:lineRule="auto"/>
              <w:ind w:left="9" w:right="96" w:firstLine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智能查控平台使用率(≥30%)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pStyle w:val="6"/>
              <w:spacing w:before="127" w:line="219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智能查控平台使用年限</w:t>
            </w:r>
          </w:p>
          <w:p>
            <w:pPr>
              <w:pStyle w:val="6"/>
              <w:spacing w:before="44" w:line="219" w:lineRule="auto"/>
              <w:ind w:left="3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(＝1年)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35" w:line="287" w:lineRule="auto"/>
              <w:ind w:left="10" w:right="58" w:firstLine="6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智能查控平台使用人满意度</w:t>
            </w:r>
          </w:p>
          <w:p>
            <w:pPr>
              <w:pStyle w:val="6"/>
              <w:spacing w:line="221" w:lineRule="auto"/>
              <w:ind w:left="31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(≥90%)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3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9" w:lineRule="auto"/>
              <w:ind w:left="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4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9" w:lineRule="auto"/>
              <w:ind w:left="7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117002</w:t>
            </w:r>
          </w:p>
        </w:tc>
        <w:tc>
          <w:tcPr>
            <w:tcW w:w="80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4" w:right="18" w:firstLine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柳州市城中区人民法院</w:t>
            </w:r>
          </w:p>
        </w:tc>
        <w:tc>
          <w:tcPr>
            <w:tcW w:w="96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6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司法改革绩效奖</w:t>
            </w:r>
          </w:p>
        </w:tc>
        <w:tc>
          <w:tcPr>
            <w:tcW w:w="64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8" w:lineRule="auto"/>
              <w:ind w:right="2"/>
              <w:jc w:val="right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219.87</w:t>
            </w:r>
          </w:p>
        </w:tc>
        <w:tc>
          <w:tcPr>
            <w:tcW w:w="1608" w:type="dxa"/>
            <w:vAlign w:val="top"/>
          </w:tcPr>
          <w:p>
            <w:pPr>
              <w:pStyle w:val="6"/>
              <w:spacing w:before="36" w:line="287" w:lineRule="auto"/>
              <w:ind w:left="5" w:right="42" w:firstLine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对法院、检察院工作人员按员额法官、司法辅助人员、司法行政人员等三类人员开展绩效考核。并根据考核结果按人员类别发放司法改革绩效奖</w:t>
            </w:r>
          </w:p>
          <w:p>
            <w:pPr>
              <w:pStyle w:val="6"/>
              <w:spacing w:line="287" w:lineRule="auto"/>
              <w:ind w:left="4" w:right="4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励。通过开展绩效考核，激励法院各类人员恪尽职守，克己奉公。努力让人民群众在每一个司法案件中感受到公平正</w:t>
            </w:r>
          </w:p>
          <w:p>
            <w:pPr>
              <w:pStyle w:val="6"/>
              <w:spacing w:line="219" w:lineRule="auto"/>
              <w:ind w:left="5"/>
              <w:rPr>
                <w:sz w:val="12"/>
                <w:szCs w:val="12"/>
              </w:rPr>
            </w:pPr>
            <w:r>
              <w:rPr>
                <w:spacing w:val="-6"/>
                <w:sz w:val="12"/>
                <w:szCs w:val="12"/>
              </w:rPr>
              <w:t>义。</w:t>
            </w:r>
          </w:p>
        </w:tc>
        <w:tc>
          <w:tcPr>
            <w:tcW w:w="11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1" w:lineRule="auto"/>
              <w:ind w:left="25" w:right="100" w:firstLine="4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司改绩效发放人数</w:t>
            </w:r>
            <w:r>
              <w:rPr>
                <w:spacing w:val="-4"/>
                <w:sz w:val="12"/>
                <w:szCs w:val="12"/>
              </w:rPr>
              <w:t>(≥59人)</w:t>
            </w:r>
          </w:p>
        </w:tc>
        <w:tc>
          <w:tcPr>
            <w:tcW w:w="11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5" w:right="99" w:firstLine="6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司法改革绩效奖发</w:t>
            </w:r>
            <w:r>
              <w:rPr>
                <w:spacing w:val="-1"/>
                <w:sz w:val="12"/>
                <w:szCs w:val="12"/>
              </w:rPr>
              <w:t>放合规性(＝100%)</w:t>
            </w:r>
          </w:p>
        </w:tc>
        <w:tc>
          <w:tcPr>
            <w:tcW w:w="11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14" w:right="98" w:firstLine="5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司法改革绩效奖按时发放率(＝100%)</w:t>
            </w:r>
          </w:p>
        </w:tc>
        <w:tc>
          <w:tcPr>
            <w:tcW w:w="11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6" w:right="97" w:firstLine="6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司法改革绩效奖总</w:t>
            </w:r>
            <w:r>
              <w:rPr>
                <w:spacing w:val="-1"/>
                <w:sz w:val="12"/>
                <w:szCs w:val="12"/>
              </w:rPr>
              <w:t>额(≤257.41万元)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9" w:right="36" w:firstLine="60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办案一线司法人员工资福利待遇保障率(＝100%)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1" w:lineRule="auto"/>
              <w:ind w:left="31" w:right="58" w:firstLine="3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社会公众满意度</w:t>
            </w:r>
            <w:r>
              <w:rPr>
                <w:spacing w:val="-4"/>
                <w:sz w:val="12"/>
                <w:szCs w:val="12"/>
              </w:rPr>
              <w:t>(≥90%)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25" w:type="dxa"/>
            <w:vAlign w:val="top"/>
          </w:tcPr>
          <w:p>
            <w:pPr>
              <w:pStyle w:val="6"/>
              <w:spacing w:before="223" w:line="239" w:lineRule="auto"/>
              <w:ind w:left="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42" w:type="dxa"/>
            <w:vAlign w:val="top"/>
          </w:tcPr>
          <w:p>
            <w:pPr>
              <w:pStyle w:val="6"/>
              <w:spacing w:before="223" w:line="239" w:lineRule="auto"/>
              <w:ind w:left="7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117002</w:t>
            </w:r>
          </w:p>
        </w:tc>
        <w:tc>
          <w:tcPr>
            <w:tcW w:w="803" w:type="dxa"/>
            <w:vAlign w:val="top"/>
          </w:tcPr>
          <w:p>
            <w:pPr>
              <w:pStyle w:val="6"/>
              <w:spacing w:before="129" w:line="290" w:lineRule="auto"/>
              <w:ind w:left="4" w:right="18" w:firstLine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柳州市城中区人民法院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223" w:line="219" w:lineRule="auto"/>
              <w:ind w:left="6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办公楼运维费</w:t>
            </w:r>
          </w:p>
        </w:tc>
        <w:tc>
          <w:tcPr>
            <w:tcW w:w="643" w:type="dxa"/>
            <w:vAlign w:val="top"/>
          </w:tcPr>
          <w:p>
            <w:pPr>
              <w:pStyle w:val="6"/>
              <w:spacing w:before="223" w:line="238" w:lineRule="auto"/>
              <w:ind w:right="1"/>
              <w:jc w:val="right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15.15</w:t>
            </w:r>
          </w:p>
        </w:tc>
        <w:tc>
          <w:tcPr>
            <w:tcW w:w="1608" w:type="dxa"/>
            <w:vAlign w:val="top"/>
          </w:tcPr>
          <w:p>
            <w:pPr>
              <w:pStyle w:val="6"/>
              <w:spacing w:before="37" w:line="265" w:lineRule="auto"/>
              <w:ind w:left="6" w:right="42" w:firstLine="60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维护审判综合楼基础设施的正常使用，以便更好满足审判工作办公设施的需要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28" w:line="290" w:lineRule="auto"/>
              <w:ind w:left="5" w:right="100" w:firstLine="6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办公用房改造修缮数量(≥1次)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28" w:line="290" w:lineRule="auto"/>
              <w:ind w:left="5" w:right="39" w:firstLine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办公用房改造修缮验收合格率(＝100%)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28" w:line="290" w:lineRule="auto"/>
              <w:ind w:left="5" w:right="38" w:firstLine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办公用房改造修缮验收及时率(＝100%)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29" w:line="289" w:lineRule="auto"/>
              <w:ind w:left="7" w:right="97" w:firstLine="6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办公用房改造修缮成本(≤10.39万元)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pStyle w:val="6"/>
              <w:spacing w:before="128" w:line="290" w:lineRule="auto"/>
              <w:ind w:left="9" w:right="96" w:firstLine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办公用房改造修缮受益人数(≥190人)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pStyle w:val="6"/>
              <w:spacing w:before="129" w:line="291" w:lineRule="auto"/>
              <w:ind w:left="31" w:right="298" w:firstLine="3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职工满意度</w:t>
            </w:r>
            <w:r>
              <w:rPr>
                <w:spacing w:val="-4"/>
                <w:sz w:val="12"/>
                <w:szCs w:val="12"/>
              </w:rPr>
              <w:t>(≥90%)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32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9" w:lineRule="auto"/>
              <w:ind w:left="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4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9" w:lineRule="auto"/>
              <w:ind w:left="7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117002</w:t>
            </w:r>
          </w:p>
        </w:tc>
        <w:tc>
          <w:tcPr>
            <w:tcW w:w="803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4" w:right="18" w:firstLine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柳州市城中区人民法院</w:t>
            </w:r>
          </w:p>
        </w:tc>
        <w:tc>
          <w:tcPr>
            <w:tcW w:w="963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10" w:right="58" w:firstLine="5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干警保险及体检</w:t>
            </w:r>
            <w:r>
              <w:rPr>
                <w:sz w:val="12"/>
                <w:szCs w:val="12"/>
              </w:rPr>
              <w:t>费</w:t>
            </w:r>
          </w:p>
        </w:tc>
        <w:tc>
          <w:tcPr>
            <w:tcW w:w="64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8" w:lineRule="auto"/>
              <w:ind w:right="2"/>
              <w:jc w:val="right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20.26</w:t>
            </w:r>
          </w:p>
        </w:tc>
        <w:tc>
          <w:tcPr>
            <w:tcW w:w="1608" w:type="dxa"/>
            <w:vAlign w:val="top"/>
          </w:tcPr>
          <w:p>
            <w:pPr>
              <w:pStyle w:val="6"/>
              <w:spacing w:before="37" w:line="287" w:lineRule="auto"/>
              <w:ind w:left="5" w:right="42" w:firstLine="6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为保障工作人员安全，体现单位对职工身心的关怀，通过体检、保健确保干警及时发现自己的身体状态，及时治疗，为干警外出执勤提供保险服</w:t>
            </w:r>
          </w:p>
          <w:p>
            <w:pPr>
              <w:pStyle w:val="6"/>
              <w:spacing w:line="253" w:lineRule="auto"/>
              <w:ind w:left="6" w:right="6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务，激励我院职工努力工作，</w:t>
            </w:r>
            <w:r>
              <w:rPr>
                <w:spacing w:val="-2"/>
                <w:sz w:val="12"/>
                <w:szCs w:val="12"/>
              </w:rPr>
              <w:t>更好地为人民审判服务。</w:t>
            </w:r>
          </w:p>
        </w:tc>
        <w:tc>
          <w:tcPr>
            <w:tcW w:w="1125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1" w:lineRule="auto"/>
              <w:ind w:left="25" w:right="340" w:firstLine="3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干警参保人数</w:t>
            </w:r>
            <w:r>
              <w:rPr>
                <w:spacing w:val="-4"/>
                <w:sz w:val="12"/>
                <w:szCs w:val="12"/>
              </w:rPr>
              <w:t>(≥110人)</w:t>
            </w:r>
          </w:p>
        </w:tc>
        <w:tc>
          <w:tcPr>
            <w:tcW w:w="112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8" w:lineRule="auto"/>
              <w:ind w:left="6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干警参保率(≥90%)</w:t>
            </w:r>
          </w:p>
        </w:tc>
        <w:tc>
          <w:tcPr>
            <w:tcW w:w="1125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1" w:lineRule="auto"/>
              <w:ind w:left="27" w:right="218" w:firstLine="3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干警参保及时率</w:t>
            </w:r>
            <w:r>
              <w:rPr>
                <w:spacing w:val="-4"/>
                <w:sz w:val="12"/>
                <w:szCs w:val="12"/>
              </w:rPr>
              <w:t>(≥100%)</w:t>
            </w:r>
          </w:p>
        </w:tc>
        <w:tc>
          <w:tcPr>
            <w:tcW w:w="1125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11" w:right="97" w:firstLine="5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干警保险体检费用总额(≤19.74万元)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14" w:right="96" w:firstLine="5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参保干警的福利保</w:t>
            </w:r>
            <w:r>
              <w:rPr>
                <w:spacing w:val="-2"/>
                <w:sz w:val="12"/>
                <w:szCs w:val="12"/>
              </w:rPr>
              <w:t>障率(＝100%)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1" w:lineRule="auto"/>
              <w:ind w:left="31" w:right="298" w:firstLine="3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干警满意度</w:t>
            </w:r>
            <w:r>
              <w:rPr>
                <w:spacing w:val="-4"/>
                <w:sz w:val="12"/>
                <w:szCs w:val="12"/>
              </w:rPr>
              <w:t>(≥90%)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32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9" w:lineRule="auto"/>
              <w:ind w:left="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4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9" w:lineRule="auto"/>
              <w:ind w:left="7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117002</w:t>
            </w:r>
          </w:p>
        </w:tc>
        <w:tc>
          <w:tcPr>
            <w:tcW w:w="80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4" w:right="18" w:firstLine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柳州市城中区人民法院</w:t>
            </w:r>
          </w:p>
        </w:tc>
        <w:tc>
          <w:tcPr>
            <w:tcW w:w="96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6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办案业务费</w:t>
            </w:r>
          </w:p>
        </w:tc>
        <w:tc>
          <w:tcPr>
            <w:tcW w:w="64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8" w:lineRule="auto"/>
              <w:ind w:right="2"/>
              <w:jc w:val="right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33.79</w:t>
            </w:r>
          </w:p>
        </w:tc>
        <w:tc>
          <w:tcPr>
            <w:tcW w:w="1608" w:type="dxa"/>
            <w:vAlign w:val="top"/>
          </w:tcPr>
          <w:p>
            <w:pPr>
              <w:pStyle w:val="6"/>
              <w:spacing w:before="36" w:line="280" w:lineRule="auto"/>
              <w:ind w:left="4" w:right="42" w:firstLine="68"/>
              <w:jc w:val="both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1、推进审判工作改革，促进</w:t>
            </w:r>
            <w:r>
              <w:rPr>
                <w:spacing w:val="-1"/>
                <w:sz w:val="12"/>
                <w:szCs w:val="12"/>
              </w:rPr>
              <w:t>审判工作平稳发展，一审案件结案率至少达80</w:t>
            </w:r>
            <w:r>
              <w:rPr>
                <w:spacing w:val="3"/>
                <w:sz w:val="12"/>
                <w:szCs w:val="12"/>
              </w:rPr>
              <w:t>％；</w:t>
            </w:r>
            <w:r>
              <w:rPr>
                <w:spacing w:val="-1"/>
                <w:sz w:val="12"/>
                <w:szCs w:val="12"/>
              </w:rPr>
              <w:t>2、立足审判实际，严把质量关、调解关、释明关，做好民事案件当事人的服判息诉 工作，力争在年底实现民事一审服判息诉</w:t>
            </w:r>
            <w:r>
              <w:rPr>
                <w:spacing w:val="-3"/>
                <w:sz w:val="12"/>
                <w:szCs w:val="12"/>
              </w:rPr>
              <w:t>率达到60％。</w:t>
            </w:r>
          </w:p>
        </w:tc>
        <w:tc>
          <w:tcPr>
            <w:tcW w:w="112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1" w:lineRule="auto"/>
              <w:ind w:left="25" w:right="220" w:firstLine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一审案件结案率</w:t>
            </w:r>
            <w:r>
              <w:rPr>
                <w:spacing w:val="-4"/>
                <w:sz w:val="12"/>
                <w:szCs w:val="12"/>
              </w:rPr>
              <w:t>(≥80%)</w:t>
            </w:r>
          </w:p>
        </w:tc>
        <w:tc>
          <w:tcPr>
            <w:tcW w:w="112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6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上诉率(≤20%)</w:t>
            </w:r>
          </w:p>
        </w:tc>
        <w:tc>
          <w:tcPr>
            <w:tcW w:w="112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1" w:lineRule="auto"/>
              <w:ind w:left="27" w:right="98" w:firstLine="3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法定审限内结案率</w:t>
            </w:r>
            <w:r>
              <w:rPr>
                <w:spacing w:val="-4"/>
                <w:sz w:val="12"/>
                <w:szCs w:val="12"/>
              </w:rPr>
              <w:t>(≥95%)</w:t>
            </w:r>
          </w:p>
        </w:tc>
        <w:tc>
          <w:tcPr>
            <w:tcW w:w="112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28" w:right="217" w:firstLine="4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办案业务费总额</w:t>
            </w:r>
            <w:r>
              <w:rPr>
                <w:spacing w:val="-3"/>
                <w:sz w:val="12"/>
                <w:szCs w:val="12"/>
              </w:rPr>
              <w:t>(≤36.78万元)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1" w:lineRule="auto"/>
              <w:ind w:left="29" w:right="216" w:firstLine="5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民事案件调解率</w:t>
            </w:r>
            <w:r>
              <w:rPr>
                <w:spacing w:val="-4"/>
                <w:sz w:val="12"/>
                <w:szCs w:val="12"/>
              </w:rPr>
              <w:t>(≤11%)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1" w:lineRule="auto"/>
              <w:ind w:left="31" w:right="58" w:firstLine="3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社会公众满意度</w:t>
            </w:r>
            <w:r>
              <w:rPr>
                <w:spacing w:val="-4"/>
                <w:sz w:val="12"/>
                <w:szCs w:val="12"/>
              </w:rPr>
              <w:t>(≥90%)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38" w:type="default"/>
          <w:footerReference r:id="rId39" w:type="default"/>
          <w:pgSz w:w="16838" w:h="11906"/>
          <w:pgMar w:top="1305" w:right="877" w:bottom="481" w:left="840" w:header="936" w:footer="162" w:gutter="0"/>
        </w:sectPr>
      </w:pPr>
    </w:p>
    <w:p>
      <w:pPr>
        <w:spacing w:before="78"/>
      </w:pPr>
    </w:p>
    <w:tbl>
      <w:tblPr>
        <w:tblStyle w:val="5"/>
        <w:tblW w:w="151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642"/>
        <w:gridCol w:w="803"/>
        <w:gridCol w:w="963"/>
        <w:gridCol w:w="643"/>
        <w:gridCol w:w="1608"/>
        <w:gridCol w:w="1125"/>
        <w:gridCol w:w="1125"/>
        <w:gridCol w:w="1125"/>
        <w:gridCol w:w="1125"/>
        <w:gridCol w:w="1125"/>
        <w:gridCol w:w="1125"/>
        <w:gridCol w:w="1125"/>
        <w:gridCol w:w="1286"/>
        <w:gridCol w:w="9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25" w:type="dxa"/>
            <w:vAlign w:val="top"/>
          </w:tcPr>
          <w:p>
            <w:pPr>
              <w:pStyle w:val="6"/>
              <w:spacing w:before="131" w:line="220" w:lineRule="auto"/>
              <w:ind w:left="43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序号</w:t>
            </w:r>
          </w:p>
        </w:tc>
        <w:tc>
          <w:tcPr>
            <w:tcW w:w="642" w:type="dxa"/>
            <w:vAlign w:val="top"/>
          </w:tcPr>
          <w:p>
            <w:pPr>
              <w:pStyle w:val="6"/>
              <w:spacing w:before="130" w:line="219" w:lineRule="auto"/>
              <w:ind w:left="81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单位代码</w:t>
            </w:r>
          </w:p>
        </w:tc>
        <w:tc>
          <w:tcPr>
            <w:tcW w:w="803" w:type="dxa"/>
            <w:vAlign w:val="top"/>
          </w:tcPr>
          <w:p>
            <w:pPr>
              <w:pStyle w:val="6"/>
              <w:spacing w:before="131" w:line="219" w:lineRule="auto"/>
              <w:ind w:left="161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单位名称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131" w:line="219" w:lineRule="auto"/>
              <w:ind w:left="241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项目名称</w:t>
            </w:r>
          </w:p>
        </w:tc>
        <w:tc>
          <w:tcPr>
            <w:tcW w:w="643" w:type="dxa"/>
            <w:vAlign w:val="top"/>
          </w:tcPr>
          <w:p>
            <w:pPr>
              <w:pStyle w:val="6"/>
              <w:spacing w:before="38" w:line="256" w:lineRule="auto"/>
              <w:ind w:left="260" w:right="21" w:hanging="239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预算资金总</w:t>
            </w:r>
            <w:r>
              <w:rPr>
                <w:b/>
                <w:bCs/>
                <w:spacing w:val="-2"/>
                <w:sz w:val="12"/>
                <w:szCs w:val="12"/>
              </w:rPr>
              <w:t>额</w:t>
            </w:r>
          </w:p>
        </w:tc>
        <w:tc>
          <w:tcPr>
            <w:tcW w:w="1608" w:type="dxa"/>
            <w:vAlign w:val="top"/>
          </w:tcPr>
          <w:p>
            <w:pPr>
              <w:pStyle w:val="6"/>
              <w:spacing w:before="130" w:line="219" w:lineRule="auto"/>
              <w:ind w:left="444"/>
              <w:rPr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年度绩效目标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0" w:line="219" w:lineRule="auto"/>
              <w:ind w:left="323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数量指标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1" w:line="219" w:lineRule="auto"/>
              <w:ind w:left="323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质量指标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1" w:line="219" w:lineRule="auto"/>
              <w:ind w:left="332"/>
              <w:rPr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时效指标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0" w:line="218" w:lineRule="auto"/>
              <w:ind w:left="325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成本指标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1" w:line="219" w:lineRule="auto"/>
              <w:ind w:left="206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经济效益指标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0" w:line="218" w:lineRule="auto"/>
              <w:ind w:left="207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社会效益指标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1" w:line="219" w:lineRule="auto"/>
              <w:ind w:left="211"/>
              <w:rPr>
                <w:sz w:val="12"/>
                <w:szCs w:val="12"/>
              </w:rPr>
            </w:pPr>
            <w:r>
              <w:rPr>
                <w:b/>
                <w:bCs/>
                <w:spacing w:val="-3"/>
                <w:sz w:val="12"/>
                <w:szCs w:val="12"/>
              </w:rPr>
              <w:t>生态效益指标</w:t>
            </w:r>
          </w:p>
        </w:tc>
        <w:tc>
          <w:tcPr>
            <w:tcW w:w="1286" w:type="dxa"/>
            <w:vAlign w:val="top"/>
          </w:tcPr>
          <w:p>
            <w:pPr>
              <w:pStyle w:val="6"/>
              <w:spacing w:before="130" w:line="219" w:lineRule="auto"/>
              <w:ind w:left="229"/>
              <w:rPr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可持续效益指标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38" w:line="256" w:lineRule="auto"/>
              <w:ind w:left="367" w:right="60" w:hanging="300"/>
              <w:rPr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服务对象满意度</w:t>
            </w:r>
            <w:r>
              <w:rPr>
                <w:b/>
                <w:bCs/>
                <w:spacing w:val="-3"/>
                <w:sz w:val="12"/>
                <w:szCs w:val="12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325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9" w:lineRule="auto"/>
              <w:ind w:left="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42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9" w:lineRule="auto"/>
              <w:ind w:left="7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117002</w:t>
            </w:r>
          </w:p>
        </w:tc>
        <w:tc>
          <w:tcPr>
            <w:tcW w:w="803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4" w:right="18" w:firstLine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柳州市城中区人民法院</w:t>
            </w:r>
          </w:p>
        </w:tc>
        <w:tc>
          <w:tcPr>
            <w:tcW w:w="963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4" w:right="58" w:firstLine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法警法定工作日之外加班补贴</w:t>
            </w:r>
          </w:p>
        </w:tc>
        <w:tc>
          <w:tcPr>
            <w:tcW w:w="643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8" w:lineRule="auto"/>
              <w:ind w:right="2"/>
              <w:jc w:val="right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5.96</w:t>
            </w:r>
          </w:p>
        </w:tc>
        <w:tc>
          <w:tcPr>
            <w:tcW w:w="1608" w:type="dxa"/>
            <w:vAlign w:val="top"/>
          </w:tcPr>
          <w:p>
            <w:pPr>
              <w:pStyle w:val="6"/>
              <w:spacing w:before="34" w:line="219" w:lineRule="auto"/>
              <w:ind w:left="64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根据人社部和财政部文件，</w:t>
            </w:r>
          </w:p>
          <w:p>
            <w:pPr>
              <w:pStyle w:val="6"/>
              <w:spacing w:before="45" w:line="274" w:lineRule="auto"/>
              <w:ind w:left="4" w:right="4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考核、发放我院在职在编法警法定工作日之外加班补贴。通过从优待警措施、保障警察正当利益，激励警察忠诚履职、</w:t>
            </w:r>
            <w:r>
              <w:rPr>
                <w:spacing w:val="-4"/>
                <w:sz w:val="12"/>
                <w:szCs w:val="12"/>
              </w:rPr>
              <w:t>克己奉公。</w:t>
            </w:r>
          </w:p>
        </w:tc>
        <w:tc>
          <w:tcPr>
            <w:tcW w:w="112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0" w:lineRule="auto"/>
              <w:ind w:left="5" w:right="100" w:firstLine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法警法定工作日之外加班人次(≥7人)</w:t>
            </w:r>
          </w:p>
        </w:tc>
        <w:tc>
          <w:tcPr>
            <w:tcW w:w="112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89" w:lineRule="auto"/>
              <w:ind w:left="5" w:right="39" w:firstLine="60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法警法定工作日之外加班补贴发放合规性(＝100%)</w:t>
            </w:r>
          </w:p>
        </w:tc>
        <w:tc>
          <w:tcPr>
            <w:tcW w:w="112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89" w:lineRule="auto"/>
              <w:ind w:left="7" w:right="38" w:firstLine="59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法警法定工作日之外加班补贴按时发放率(＝100%)</w:t>
            </w:r>
          </w:p>
        </w:tc>
        <w:tc>
          <w:tcPr>
            <w:tcW w:w="112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87" w:lineRule="auto"/>
              <w:ind w:left="7" w:right="97" w:firstLine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法警法定工作日之外加班补贴总额</w:t>
            </w:r>
          </w:p>
          <w:p>
            <w:pPr>
              <w:pStyle w:val="6"/>
              <w:spacing w:line="219" w:lineRule="auto"/>
              <w:ind w:left="28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(≤5.96元)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1" w:lineRule="auto"/>
              <w:ind w:left="29" w:right="216" w:firstLine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突发事件处置率</w:t>
            </w:r>
            <w:r>
              <w:rPr>
                <w:spacing w:val="-4"/>
                <w:sz w:val="12"/>
                <w:szCs w:val="12"/>
              </w:rPr>
              <w:t>(≥90%)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91" w:lineRule="auto"/>
              <w:ind w:left="31" w:right="298" w:firstLine="3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法警满意度</w:t>
            </w:r>
            <w:r>
              <w:rPr>
                <w:spacing w:val="-4"/>
                <w:sz w:val="12"/>
                <w:szCs w:val="12"/>
              </w:rPr>
              <w:t>(≥90%)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2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9" w:lineRule="auto"/>
              <w:ind w:left="82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10</w:t>
            </w:r>
          </w:p>
        </w:tc>
        <w:tc>
          <w:tcPr>
            <w:tcW w:w="64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9" w:lineRule="auto"/>
              <w:ind w:left="7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117002</w:t>
            </w:r>
          </w:p>
        </w:tc>
        <w:tc>
          <w:tcPr>
            <w:tcW w:w="803" w:type="dxa"/>
            <w:vAlign w:val="top"/>
          </w:tcPr>
          <w:p>
            <w:pPr>
              <w:pStyle w:val="6"/>
              <w:spacing w:before="223" w:line="290" w:lineRule="auto"/>
              <w:ind w:left="4" w:right="18" w:firstLine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柳州市城中区人民法院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129" w:line="289" w:lineRule="auto"/>
              <w:ind w:left="5" w:right="58" w:firstLine="59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法院司法辅助工作购买社会化服</w:t>
            </w:r>
            <w:r>
              <w:rPr>
                <w:sz w:val="12"/>
                <w:szCs w:val="12"/>
              </w:rPr>
              <w:t>务</w:t>
            </w:r>
          </w:p>
        </w:tc>
        <w:tc>
          <w:tcPr>
            <w:tcW w:w="6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8" w:lineRule="auto"/>
              <w:ind w:right="2"/>
              <w:jc w:val="right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32.40</w:t>
            </w:r>
          </w:p>
        </w:tc>
        <w:tc>
          <w:tcPr>
            <w:tcW w:w="1608" w:type="dxa"/>
            <w:vAlign w:val="top"/>
          </w:tcPr>
          <w:p>
            <w:pPr>
              <w:pStyle w:val="6"/>
              <w:spacing w:before="38" w:line="270" w:lineRule="auto"/>
              <w:ind w:left="5" w:right="42" w:firstLine="59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通过社会化辅助服务，提高案件办理效率，减少投诉率，践行司法为民，提升群众对政</w:t>
            </w:r>
            <w:r>
              <w:rPr>
                <w:spacing w:val="-3"/>
                <w:sz w:val="12"/>
                <w:szCs w:val="12"/>
              </w:rPr>
              <w:t>法队伍满意度。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223" w:line="291" w:lineRule="auto"/>
              <w:ind w:left="25" w:right="460" w:firstLine="3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文书上网率</w:t>
            </w:r>
            <w:r>
              <w:rPr>
                <w:spacing w:val="-4"/>
                <w:sz w:val="12"/>
                <w:szCs w:val="12"/>
              </w:rPr>
              <w:t>(＝100%)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223" w:line="291" w:lineRule="auto"/>
              <w:ind w:left="26" w:right="99" w:firstLine="3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诉前调解案件比率</w:t>
            </w:r>
            <w:r>
              <w:rPr>
                <w:spacing w:val="-4"/>
                <w:sz w:val="12"/>
                <w:szCs w:val="12"/>
              </w:rPr>
              <w:t>(≥40%)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223" w:line="290" w:lineRule="auto"/>
              <w:ind w:left="14" w:right="98" w:firstLine="64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民事案件文书送达</w:t>
            </w:r>
            <w:r>
              <w:rPr>
                <w:spacing w:val="-2"/>
                <w:sz w:val="12"/>
                <w:szCs w:val="12"/>
              </w:rPr>
              <w:t>时限(≤7天)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223" w:line="290" w:lineRule="auto"/>
              <w:ind w:left="28" w:right="97" w:firstLine="4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司法辅助事务成本</w:t>
            </w:r>
            <w:r>
              <w:rPr>
                <w:spacing w:val="-4"/>
                <w:sz w:val="12"/>
                <w:szCs w:val="12"/>
              </w:rPr>
              <w:t>(≤38万元)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pStyle w:val="6"/>
              <w:spacing w:before="223" w:line="291" w:lineRule="auto"/>
              <w:ind w:left="29" w:right="216" w:firstLine="3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诉前调解成功率</w:t>
            </w:r>
            <w:r>
              <w:rPr>
                <w:spacing w:val="-4"/>
                <w:sz w:val="12"/>
                <w:szCs w:val="12"/>
              </w:rPr>
              <w:t>(≥50%)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pStyle w:val="6"/>
              <w:spacing w:before="223" w:line="290" w:lineRule="auto"/>
              <w:ind w:left="9" w:right="58" w:firstLine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诉讼参与人满意度(≥90%)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5" w:type="dxa"/>
            <w:vAlign w:val="top"/>
          </w:tcPr>
          <w:p>
            <w:pPr>
              <w:pStyle w:val="6"/>
              <w:spacing w:before="224"/>
              <w:ind w:left="82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11</w:t>
            </w:r>
          </w:p>
        </w:tc>
        <w:tc>
          <w:tcPr>
            <w:tcW w:w="642" w:type="dxa"/>
            <w:vAlign w:val="top"/>
          </w:tcPr>
          <w:p>
            <w:pPr>
              <w:pStyle w:val="6"/>
              <w:spacing w:before="224" w:line="239" w:lineRule="auto"/>
              <w:ind w:left="7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117002</w:t>
            </w:r>
          </w:p>
        </w:tc>
        <w:tc>
          <w:tcPr>
            <w:tcW w:w="803" w:type="dxa"/>
            <w:vAlign w:val="top"/>
          </w:tcPr>
          <w:p>
            <w:pPr>
              <w:pStyle w:val="6"/>
              <w:spacing w:before="130" w:line="290" w:lineRule="auto"/>
              <w:ind w:left="4" w:right="18" w:firstLine="5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柳州市城中区人民法院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224" w:line="219" w:lineRule="auto"/>
              <w:ind w:left="6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办公业务费</w:t>
            </w:r>
          </w:p>
        </w:tc>
        <w:tc>
          <w:tcPr>
            <w:tcW w:w="643" w:type="dxa"/>
            <w:vAlign w:val="top"/>
          </w:tcPr>
          <w:p>
            <w:pPr>
              <w:pStyle w:val="6"/>
              <w:spacing w:before="224" w:line="238" w:lineRule="auto"/>
              <w:ind w:right="2"/>
              <w:jc w:val="right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0.98</w:t>
            </w:r>
          </w:p>
        </w:tc>
        <w:tc>
          <w:tcPr>
            <w:tcW w:w="1608" w:type="dxa"/>
            <w:vAlign w:val="top"/>
          </w:tcPr>
          <w:p>
            <w:pPr>
              <w:pStyle w:val="6"/>
              <w:spacing w:before="37" w:line="267" w:lineRule="auto"/>
              <w:ind w:left="5" w:right="42" w:firstLine="60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按时支付复印纸费等业务办公相关费用，保障干警正常开</w:t>
            </w:r>
            <w:r>
              <w:rPr>
                <w:spacing w:val="-3"/>
                <w:sz w:val="12"/>
                <w:szCs w:val="12"/>
              </w:rPr>
              <w:t>展各项业务工作。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0" w:line="291" w:lineRule="auto"/>
              <w:ind w:left="25" w:right="100" w:firstLine="4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办公用品采购数量</w:t>
            </w:r>
            <w:r>
              <w:rPr>
                <w:spacing w:val="-5"/>
                <w:sz w:val="12"/>
                <w:szCs w:val="12"/>
              </w:rPr>
              <w:t>(≥2批)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0" w:line="290" w:lineRule="auto"/>
              <w:ind w:left="6" w:right="99" w:firstLine="6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办公用品验收合格率(≥100%)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0" w:line="290" w:lineRule="auto"/>
              <w:ind w:left="5" w:right="98" w:firstLine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办公用品采购验收及时率(＝100%)</w:t>
            </w: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0" w:line="290" w:lineRule="auto"/>
              <w:ind w:left="11" w:right="97" w:firstLine="5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办公用品采购经费总额(≤12.88万元)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pStyle w:val="6"/>
              <w:spacing w:before="130" w:line="291" w:lineRule="auto"/>
              <w:ind w:left="29" w:right="96" w:firstLine="4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办公用品服务人数</w:t>
            </w:r>
            <w:r>
              <w:rPr>
                <w:spacing w:val="-4"/>
                <w:sz w:val="12"/>
                <w:szCs w:val="12"/>
              </w:rPr>
              <w:t>(≥100人)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pStyle w:val="6"/>
              <w:spacing w:before="130" w:line="291" w:lineRule="auto"/>
              <w:ind w:left="31" w:right="58" w:firstLine="3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使用人员满意度</w:t>
            </w:r>
            <w:r>
              <w:rPr>
                <w:spacing w:val="-4"/>
                <w:sz w:val="12"/>
                <w:szCs w:val="12"/>
              </w:rPr>
              <w:t>(≥90%)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40" w:type="default"/>
      <w:footerReference r:id="rId41" w:type="default"/>
      <w:pgSz w:w="16838" w:h="11906"/>
      <w:pgMar w:top="400" w:right="877" w:bottom="481" w:left="840" w:header="0" w:footer="16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3987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2"/>
        <w:sz w:val="24"/>
        <w:szCs w:val="24"/>
      </w:rPr>
      <w:t>-</w:t>
    </w:r>
    <w:r>
      <w:rPr>
        <w:rFonts w:ascii="Arial" w:hAnsi="Arial" w:eastAsia="Arial" w:cs="Arial"/>
        <w:spacing w:val="27"/>
        <w:sz w:val="24"/>
        <w:szCs w:val="24"/>
      </w:rPr>
      <w:t xml:space="preserve"> </w:t>
    </w:r>
    <w:r>
      <w:rPr>
        <w:rFonts w:ascii="Arial" w:hAnsi="Arial" w:eastAsia="Arial" w:cs="Arial"/>
        <w:spacing w:val="-12"/>
        <w:sz w:val="24"/>
        <w:szCs w:val="24"/>
      </w:rPr>
      <w:t>1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12"/>
        <w:sz w:val="24"/>
        <w:szCs w:val="24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3894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position w:val="1"/>
        <w:sz w:val="24"/>
        <w:szCs w:val="24"/>
      </w:rPr>
      <w:t>-</w:t>
    </w:r>
    <w:r>
      <w:rPr>
        <w:rFonts w:ascii="Arial" w:hAnsi="Arial" w:eastAsia="Arial" w:cs="Arial"/>
        <w:spacing w:val="2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9"/>
        <w:position w:val="1"/>
        <w:sz w:val="24"/>
        <w:szCs w:val="24"/>
      </w:rPr>
      <w:t>10</w:t>
    </w:r>
    <w:r>
      <w:rPr>
        <w:rFonts w:ascii="Arial" w:hAnsi="Arial" w:eastAsia="Arial" w:cs="Arial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9"/>
        <w:position w:val="1"/>
        <w:sz w:val="24"/>
        <w:szCs w:val="24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3952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sz w:val="24"/>
        <w:szCs w:val="24"/>
      </w:rPr>
      <w:t>-</w:t>
    </w:r>
    <w:r>
      <w:rPr>
        <w:rFonts w:ascii="Arial" w:hAnsi="Arial" w:eastAsia="Arial" w:cs="Arial"/>
        <w:spacing w:val="27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11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3920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sz w:val="24"/>
        <w:szCs w:val="24"/>
      </w:rPr>
      <w:t>-</w:t>
    </w:r>
    <w:r>
      <w:rPr>
        <w:rFonts w:ascii="Arial" w:hAnsi="Arial" w:eastAsia="Arial" w:cs="Arial"/>
        <w:spacing w:val="27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12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position w:val="1"/>
        <w:sz w:val="24"/>
        <w:szCs w:val="24"/>
      </w:rPr>
      <w:t>-</w:t>
    </w:r>
    <w:r>
      <w:rPr>
        <w:rFonts w:ascii="Arial" w:hAnsi="Arial" w:eastAsia="Arial" w:cs="Arial"/>
        <w:spacing w:val="2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9"/>
        <w:position w:val="1"/>
        <w:sz w:val="24"/>
        <w:szCs w:val="24"/>
      </w:rPr>
      <w:t>13</w:t>
    </w:r>
    <w:r>
      <w:rPr>
        <w:rFonts w:ascii="Arial" w:hAnsi="Arial" w:eastAsia="Arial" w:cs="Arial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9"/>
        <w:position w:val="1"/>
        <w:sz w:val="24"/>
        <w:szCs w:val="24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sz w:val="24"/>
        <w:szCs w:val="24"/>
      </w:rPr>
      <w:t>-</w:t>
    </w:r>
    <w:r>
      <w:rPr>
        <w:rFonts w:ascii="Arial" w:hAnsi="Arial" w:eastAsia="Arial" w:cs="Arial"/>
        <w:spacing w:val="27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14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position w:val="1"/>
        <w:sz w:val="24"/>
        <w:szCs w:val="24"/>
      </w:rPr>
      <w:t>-</w:t>
    </w:r>
    <w:r>
      <w:rPr>
        <w:rFonts w:ascii="Arial" w:hAnsi="Arial" w:eastAsia="Arial" w:cs="Arial"/>
        <w:spacing w:val="2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9"/>
        <w:position w:val="1"/>
        <w:sz w:val="24"/>
        <w:szCs w:val="24"/>
      </w:rPr>
      <w:t>15</w:t>
    </w:r>
    <w:r>
      <w:rPr>
        <w:rFonts w:ascii="Arial" w:hAnsi="Arial" w:eastAsia="Arial" w:cs="Arial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9"/>
        <w:position w:val="1"/>
        <w:sz w:val="24"/>
        <w:szCs w:val="24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position w:val="1"/>
        <w:sz w:val="24"/>
        <w:szCs w:val="24"/>
      </w:rPr>
      <w:t>-</w:t>
    </w:r>
    <w:r>
      <w:rPr>
        <w:rFonts w:ascii="Arial" w:hAnsi="Arial" w:eastAsia="Arial" w:cs="Arial"/>
        <w:spacing w:val="2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9"/>
        <w:position w:val="1"/>
        <w:sz w:val="24"/>
        <w:szCs w:val="24"/>
      </w:rPr>
      <w:t>16</w:t>
    </w:r>
    <w:r>
      <w:rPr>
        <w:rFonts w:ascii="Arial" w:hAnsi="Arial" w:eastAsia="Arial" w:cs="Arial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9"/>
        <w:position w:val="1"/>
        <w:sz w:val="24"/>
        <w:szCs w:val="24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sz w:val="24"/>
        <w:szCs w:val="24"/>
      </w:rPr>
      <w:t>-</w:t>
    </w:r>
    <w:r>
      <w:rPr>
        <w:rFonts w:ascii="Arial" w:hAnsi="Arial" w:eastAsia="Arial" w:cs="Arial"/>
        <w:spacing w:val="27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17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position w:val="1"/>
        <w:sz w:val="24"/>
        <w:szCs w:val="24"/>
      </w:rPr>
      <w:t>-</w:t>
    </w:r>
    <w:r>
      <w:rPr>
        <w:rFonts w:ascii="Arial" w:hAnsi="Arial" w:eastAsia="Arial" w:cs="Arial"/>
        <w:spacing w:val="2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9"/>
        <w:position w:val="1"/>
        <w:sz w:val="24"/>
        <w:szCs w:val="24"/>
      </w:rPr>
      <w:t>18</w:t>
    </w:r>
    <w:r>
      <w:rPr>
        <w:rFonts w:ascii="Arial" w:hAnsi="Arial" w:eastAsia="Arial" w:cs="Arial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9"/>
        <w:position w:val="1"/>
        <w:sz w:val="24"/>
        <w:szCs w:val="24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position w:val="1"/>
        <w:sz w:val="24"/>
        <w:szCs w:val="24"/>
      </w:rPr>
      <w:t>-</w:t>
    </w:r>
    <w:r>
      <w:rPr>
        <w:rFonts w:ascii="Arial" w:hAnsi="Arial" w:eastAsia="Arial" w:cs="Arial"/>
        <w:spacing w:val="2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9"/>
        <w:position w:val="1"/>
        <w:sz w:val="24"/>
        <w:szCs w:val="24"/>
      </w:rPr>
      <w:t>19</w:t>
    </w:r>
    <w:r>
      <w:rPr>
        <w:rFonts w:ascii="Arial" w:hAnsi="Arial" w:eastAsia="Arial" w:cs="Arial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9"/>
        <w:position w:val="1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3988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5"/>
        <w:sz w:val="24"/>
        <w:szCs w:val="24"/>
      </w:rPr>
      <w:t>-</w:t>
    </w:r>
    <w:r>
      <w:rPr>
        <w:rFonts w:ascii="Arial" w:hAnsi="Arial" w:eastAsia="Arial" w:cs="Arial"/>
        <w:spacing w:val="7"/>
        <w:sz w:val="24"/>
        <w:szCs w:val="24"/>
      </w:rPr>
      <w:t xml:space="preserve"> </w:t>
    </w:r>
    <w:r>
      <w:rPr>
        <w:rFonts w:ascii="Arial" w:hAnsi="Arial" w:eastAsia="Arial" w:cs="Arial"/>
        <w:spacing w:val="-5"/>
        <w:sz w:val="24"/>
        <w:szCs w:val="24"/>
      </w:rPr>
      <w:t>2</w:t>
    </w:r>
    <w:r>
      <w:rPr>
        <w:rFonts w:ascii="Arial" w:hAnsi="Arial" w:eastAsia="Arial" w:cs="Arial"/>
        <w:spacing w:val="7"/>
        <w:sz w:val="24"/>
        <w:szCs w:val="24"/>
      </w:rPr>
      <w:t xml:space="preserve"> </w:t>
    </w:r>
    <w:r>
      <w:rPr>
        <w:rFonts w:ascii="Arial" w:hAnsi="Arial" w:eastAsia="Arial" w:cs="Arial"/>
        <w:spacing w:val="-5"/>
        <w:sz w:val="24"/>
        <w:szCs w:val="24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4"/>
        <w:position w:val="1"/>
        <w:sz w:val="24"/>
        <w:szCs w:val="24"/>
      </w:rPr>
      <w:t>-</w:t>
    </w:r>
    <w:r>
      <w:rPr>
        <w:rFonts w:ascii="Arial" w:hAnsi="Arial" w:eastAsia="Arial" w:cs="Arial"/>
        <w:spacing w:val="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4"/>
        <w:position w:val="1"/>
        <w:sz w:val="24"/>
        <w:szCs w:val="24"/>
      </w:rPr>
      <w:t>20</w:t>
    </w:r>
    <w:r>
      <w:rPr>
        <w:rFonts w:ascii="Arial" w:hAnsi="Arial" w:eastAsia="Arial" w:cs="Arial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4"/>
        <w:position w:val="1"/>
        <w:sz w:val="24"/>
        <w:szCs w:val="24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4"/>
        <w:sz w:val="24"/>
        <w:szCs w:val="24"/>
      </w:rPr>
      <w:t>-</w:t>
    </w:r>
    <w:r>
      <w:rPr>
        <w:rFonts w:ascii="Arial" w:hAnsi="Arial" w:eastAsia="Arial" w:cs="Arial"/>
        <w:spacing w:val="7"/>
        <w:sz w:val="24"/>
        <w:szCs w:val="24"/>
      </w:rPr>
      <w:t xml:space="preserve"> </w:t>
    </w:r>
    <w:r>
      <w:rPr>
        <w:rFonts w:ascii="Arial" w:hAnsi="Arial" w:eastAsia="Arial" w:cs="Arial"/>
        <w:spacing w:val="-4"/>
        <w:sz w:val="24"/>
        <w:szCs w:val="24"/>
      </w:rPr>
      <w:t>21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4"/>
        <w:sz w:val="24"/>
        <w:szCs w:val="24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4"/>
        <w:sz w:val="24"/>
        <w:szCs w:val="24"/>
      </w:rPr>
      <w:t>-</w:t>
    </w:r>
    <w:r>
      <w:rPr>
        <w:rFonts w:ascii="Arial" w:hAnsi="Arial" w:eastAsia="Arial" w:cs="Arial"/>
        <w:spacing w:val="7"/>
        <w:sz w:val="24"/>
        <w:szCs w:val="24"/>
      </w:rPr>
      <w:t xml:space="preserve"> </w:t>
    </w:r>
    <w:r>
      <w:rPr>
        <w:rFonts w:ascii="Arial" w:hAnsi="Arial" w:eastAsia="Arial" w:cs="Arial"/>
        <w:spacing w:val="-4"/>
        <w:sz w:val="24"/>
        <w:szCs w:val="24"/>
      </w:rPr>
      <w:t>22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4"/>
        <w:sz w:val="24"/>
        <w:szCs w:val="24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4"/>
        <w:position w:val="1"/>
        <w:sz w:val="24"/>
        <w:szCs w:val="24"/>
      </w:rPr>
      <w:t>-</w:t>
    </w:r>
    <w:r>
      <w:rPr>
        <w:rFonts w:ascii="Arial" w:hAnsi="Arial" w:eastAsia="Arial" w:cs="Arial"/>
        <w:spacing w:val="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4"/>
        <w:position w:val="1"/>
        <w:sz w:val="24"/>
        <w:szCs w:val="24"/>
      </w:rPr>
      <w:t>23</w:t>
    </w:r>
    <w:r>
      <w:rPr>
        <w:rFonts w:ascii="Arial" w:hAnsi="Arial" w:eastAsia="Arial" w:cs="Arial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4"/>
        <w:position w:val="1"/>
        <w:sz w:val="24"/>
        <w:szCs w:val="24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4"/>
        <w:sz w:val="24"/>
        <w:szCs w:val="24"/>
      </w:rPr>
      <w:t>-</w:t>
    </w:r>
    <w:r>
      <w:rPr>
        <w:rFonts w:ascii="Arial" w:hAnsi="Arial" w:eastAsia="Arial" w:cs="Arial"/>
        <w:spacing w:val="7"/>
        <w:sz w:val="24"/>
        <w:szCs w:val="24"/>
      </w:rPr>
      <w:t xml:space="preserve"> </w:t>
    </w:r>
    <w:r>
      <w:rPr>
        <w:rFonts w:ascii="Arial" w:hAnsi="Arial" w:eastAsia="Arial" w:cs="Arial"/>
        <w:spacing w:val="-4"/>
        <w:sz w:val="24"/>
        <w:szCs w:val="24"/>
      </w:rPr>
      <w:t>24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4"/>
        <w:sz w:val="24"/>
        <w:szCs w:val="24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4"/>
        <w:position w:val="1"/>
        <w:sz w:val="24"/>
        <w:szCs w:val="24"/>
      </w:rPr>
      <w:t>-</w:t>
    </w:r>
    <w:r>
      <w:rPr>
        <w:rFonts w:ascii="Arial" w:hAnsi="Arial" w:eastAsia="Arial" w:cs="Arial"/>
        <w:spacing w:val="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4"/>
        <w:position w:val="1"/>
        <w:sz w:val="24"/>
        <w:szCs w:val="24"/>
      </w:rPr>
      <w:t>25</w:t>
    </w:r>
    <w:r>
      <w:rPr>
        <w:rFonts w:ascii="Arial" w:hAnsi="Arial" w:eastAsia="Arial" w:cs="Arial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4"/>
        <w:position w:val="1"/>
        <w:sz w:val="24"/>
        <w:szCs w:val="24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4"/>
        <w:position w:val="1"/>
        <w:sz w:val="24"/>
        <w:szCs w:val="24"/>
      </w:rPr>
      <w:t>-</w:t>
    </w:r>
    <w:r>
      <w:rPr>
        <w:rFonts w:ascii="Arial" w:hAnsi="Arial" w:eastAsia="Arial" w:cs="Arial"/>
        <w:spacing w:val="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4"/>
        <w:position w:val="1"/>
        <w:sz w:val="24"/>
        <w:szCs w:val="24"/>
      </w:rPr>
      <w:t>26</w:t>
    </w:r>
    <w:r>
      <w:rPr>
        <w:rFonts w:ascii="Arial" w:hAnsi="Arial" w:eastAsia="Arial" w:cs="Arial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4"/>
        <w:position w:val="1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3993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6"/>
        <w:position w:val="1"/>
        <w:sz w:val="24"/>
        <w:szCs w:val="24"/>
      </w:rPr>
      <w:t>-</w:t>
    </w:r>
    <w:r>
      <w:rPr>
        <w:rFonts w:ascii="Arial" w:hAnsi="Arial" w:eastAsia="Arial" w:cs="Arial"/>
        <w:spacing w:val="10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6"/>
        <w:position w:val="1"/>
        <w:sz w:val="24"/>
        <w:szCs w:val="24"/>
      </w:rPr>
      <w:t>3</w:t>
    </w:r>
    <w:r>
      <w:rPr>
        <w:rFonts w:ascii="Arial" w:hAnsi="Arial" w:eastAsia="Arial" w:cs="Arial"/>
        <w:spacing w:val="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6"/>
        <w:position w:val="1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988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4"/>
        <w:sz w:val="24"/>
        <w:szCs w:val="24"/>
      </w:rPr>
      <w:t>-</w:t>
    </w:r>
    <w:r>
      <w:rPr>
        <w:rFonts w:ascii="Arial" w:hAnsi="Arial" w:eastAsia="Arial" w:cs="Arial"/>
        <w:spacing w:val="3"/>
        <w:sz w:val="24"/>
        <w:szCs w:val="24"/>
      </w:rPr>
      <w:t xml:space="preserve"> </w:t>
    </w:r>
    <w:r>
      <w:rPr>
        <w:rFonts w:ascii="Arial" w:hAnsi="Arial" w:eastAsia="Arial" w:cs="Arial"/>
        <w:spacing w:val="-4"/>
        <w:sz w:val="24"/>
        <w:szCs w:val="24"/>
      </w:rPr>
      <w:t>4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4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3990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6"/>
        <w:position w:val="1"/>
        <w:sz w:val="24"/>
        <w:szCs w:val="24"/>
      </w:rPr>
      <w:t>-</w:t>
    </w:r>
    <w:r>
      <w:rPr>
        <w:rFonts w:ascii="Arial" w:hAnsi="Arial" w:eastAsia="Arial" w:cs="Arial"/>
        <w:spacing w:val="10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6"/>
        <w:position w:val="1"/>
        <w:sz w:val="24"/>
        <w:szCs w:val="24"/>
      </w:rPr>
      <w:t>5</w:t>
    </w:r>
    <w:r>
      <w:rPr>
        <w:rFonts w:ascii="Arial" w:hAnsi="Arial" w:eastAsia="Arial" w:cs="Arial"/>
        <w:spacing w:val="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6"/>
        <w:position w:val="1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3988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6"/>
        <w:position w:val="1"/>
        <w:sz w:val="24"/>
        <w:szCs w:val="24"/>
      </w:rPr>
      <w:t>-</w:t>
    </w:r>
    <w:r>
      <w:rPr>
        <w:rFonts w:ascii="Arial" w:hAnsi="Arial" w:eastAsia="Arial" w:cs="Arial"/>
        <w:spacing w:val="9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6"/>
        <w:position w:val="1"/>
        <w:sz w:val="24"/>
        <w:szCs w:val="24"/>
      </w:rPr>
      <w:t>6</w:t>
    </w:r>
    <w:r>
      <w:rPr>
        <w:rFonts w:ascii="Arial" w:hAnsi="Arial" w:eastAsia="Arial" w:cs="Arial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6"/>
        <w:position w:val="1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90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7"/>
        <w:sz w:val="24"/>
        <w:szCs w:val="24"/>
      </w:rPr>
      <w:t>-</w:t>
    </w:r>
    <w:r>
      <w:rPr>
        <w:rFonts w:ascii="Arial" w:hAnsi="Arial" w:eastAsia="Arial" w:cs="Arial"/>
        <w:spacing w:val="12"/>
        <w:sz w:val="24"/>
        <w:szCs w:val="24"/>
      </w:rPr>
      <w:t xml:space="preserve"> </w:t>
    </w:r>
    <w:r>
      <w:rPr>
        <w:rFonts w:ascii="Arial" w:hAnsi="Arial" w:eastAsia="Arial" w:cs="Arial"/>
        <w:spacing w:val="-7"/>
        <w:sz w:val="24"/>
        <w:szCs w:val="24"/>
      </w:rPr>
      <w:t>7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7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3988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6"/>
        <w:position w:val="1"/>
        <w:sz w:val="24"/>
        <w:szCs w:val="24"/>
      </w:rPr>
      <w:t>-</w:t>
    </w:r>
    <w:r>
      <w:rPr>
        <w:rFonts w:ascii="Arial" w:hAnsi="Arial" w:eastAsia="Arial" w:cs="Arial"/>
        <w:spacing w:val="9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6"/>
        <w:position w:val="1"/>
        <w:sz w:val="24"/>
        <w:szCs w:val="24"/>
      </w:rPr>
      <w:t>8</w:t>
    </w:r>
    <w:r>
      <w:rPr>
        <w:rFonts w:ascii="Arial" w:hAnsi="Arial" w:eastAsia="Arial" w:cs="Arial"/>
        <w:spacing w:val="8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6"/>
        <w:position w:val="1"/>
        <w:sz w:val="24"/>
        <w:szCs w:val="24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9" w:lineRule="exact"/>
      <w:ind w:left="4027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6"/>
        <w:position w:val="1"/>
        <w:sz w:val="24"/>
        <w:szCs w:val="24"/>
      </w:rPr>
      <w:t>-</w:t>
    </w:r>
    <w:r>
      <w:rPr>
        <w:rFonts w:ascii="Arial" w:hAnsi="Arial" w:eastAsia="Arial" w:cs="Arial"/>
        <w:spacing w:val="10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6"/>
        <w:position w:val="1"/>
        <w:sz w:val="24"/>
        <w:szCs w:val="24"/>
      </w:rPr>
      <w:t>9</w:t>
    </w:r>
    <w:r>
      <w:rPr>
        <w:rFonts w:ascii="Arial" w:hAnsi="Arial" w:eastAsia="Arial" w:cs="Arial"/>
        <w:spacing w:val="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6"/>
        <w:position w:val="1"/>
        <w:sz w:val="24"/>
        <w:szCs w:val="24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4" w:line="219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预算公开02表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4" w:line="219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预算公开10表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4" w:line="219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预算公开11表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4" w:line="219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预算公开12表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4" w:line="219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预算公开03表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4" w:line="219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预算公开04表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4" w:line="219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预算公开05表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4" w:line="219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预算公开06表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4" w:line="219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预算公开07表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4" w:line="219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预算公开08表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4" w:line="219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预算公开09表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6DAA6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theme" Target="theme/theme1.xml"/><Relationship Id="rId41" Type="http://schemas.openxmlformats.org/officeDocument/2006/relationships/footer" Target="footer26.xml"/><Relationship Id="rId40" Type="http://schemas.openxmlformats.org/officeDocument/2006/relationships/header" Target="header13.xml"/><Relationship Id="rId4" Type="http://schemas.openxmlformats.org/officeDocument/2006/relationships/footer" Target="footer2.xml"/><Relationship Id="rId39" Type="http://schemas.openxmlformats.org/officeDocument/2006/relationships/footer" Target="footer25.xml"/><Relationship Id="rId38" Type="http://schemas.openxmlformats.org/officeDocument/2006/relationships/header" Target="header12.xml"/><Relationship Id="rId37" Type="http://schemas.openxmlformats.org/officeDocument/2006/relationships/footer" Target="footer24.xml"/><Relationship Id="rId36" Type="http://schemas.openxmlformats.org/officeDocument/2006/relationships/header" Target="header11.xml"/><Relationship Id="rId35" Type="http://schemas.openxmlformats.org/officeDocument/2006/relationships/footer" Target="footer23.xml"/><Relationship Id="rId34" Type="http://schemas.openxmlformats.org/officeDocument/2006/relationships/header" Target="header10.xml"/><Relationship Id="rId33" Type="http://schemas.openxmlformats.org/officeDocument/2006/relationships/footer" Target="footer22.xml"/><Relationship Id="rId32" Type="http://schemas.openxmlformats.org/officeDocument/2006/relationships/header" Target="header9.xml"/><Relationship Id="rId31" Type="http://schemas.openxmlformats.org/officeDocument/2006/relationships/footer" Target="footer21.xml"/><Relationship Id="rId30" Type="http://schemas.openxmlformats.org/officeDocument/2006/relationships/header" Target="header8.xml"/><Relationship Id="rId3" Type="http://schemas.openxmlformats.org/officeDocument/2006/relationships/footer" Target="footer1.xml"/><Relationship Id="rId29" Type="http://schemas.openxmlformats.org/officeDocument/2006/relationships/footer" Target="footer20.xml"/><Relationship Id="rId28" Type="http://schemas.openxmlformats.org/officeDocument/2006/relationships/header" Target="header7.xml"/><Relationship Id="rId27" Type="http://schemas.openxmlformats.org/officeDocument/2006/relationships/footer" Target="footer19.xml"/><Relationship Id="rId26" Type="http://schemas.openxmlformats.org/officeDocument/2006/relationships/header" Target="header6.xml"/><Relationship Id="rId25" Type="http://schemas.openxmlformats.org/officeDocument/2006/relationships/footer" Target="footer18.xml"/><Relationship Id="rId24" Type="http://schemas.openxmlformats.org/officeDocument/2006/relationships/header" Target="header5.xml"/><Relationship Id="rId23" Type="http://schemas.openxmlformats.org/officeDocument/2006/relationships/footer" Target="footer17.xml"/><Relationship Id="rId22" Type="http://schemas.openxmlformats.org/officeDocument/2006/relationships/header" Target="header4.xml"/><Relationship Id="rId21" Type="http://schemas.openxmlformats.org/officeDocument/2006/relationships/footer" Target="footer16.xml"/><Relationship Id="rId20" Type="http://schemas.openxmlformats.org/officeDocument/2006/relationships/header" Target="header3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header" Target="header2.xml"/><Relationship Id="rId17" Type="http://schemas.openxmlformats.org/officeDocument/2006/relationships/footer" Target="footer14.xml"/><Relationship Id="rId16" Type="http://schemas.openxmlformats.org/officeDocument/2006/relationships/header" Target="header1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2026-04-15T01:09:23Z</dcterms:created>
  <dc:creator>admin</dc:creator>
  <cp:lastModifiedBy>admin</cp:lastModifiedBy>
  <dcterms:modified xsi:type="dcterms:W3CDTF">2026-04-15T01:09:34Z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2026-04-07T15:57:12Z</vt:filetime>
  </property>
  <property fmtid="{D5CDD505-2E9C-101B-9397-08002B2CF9AE}" pid="4" name="KSOProductBuildVer">
    <vt:lpwstr>2052-11.8.2.8361</vt:lpwstr>
  </property>
</Properties>
</file>