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eastAsia="仿宋_GB2312"/>
          <w:b/>
          <w:bCs/>
          <w:color w:val="000000"/>
          <w:sz w:val="32"/>
          <w:szCs w:val="32"/>
        </w:rPr>
      </w:pPr>
    </w:p>
    <w:p>
      <w:pPr>
        <w:spacing w:line="560" w:lineRule="exact"/>
        <w:jc w:val="center"/>
        <w:rPr>
          <w:rFonts w:eastAsia="方正小标宋简体"/>
          <w:sz w:val="44"/>
          <w:szCs w:val="44"/>
        </w:rPr>
      </w:pPr>
      <w:r>
        <w:rPr>
          <w:rFonts w:eastAsia="方正小标宋简体"/>
          <w:sz w:val="44"/>
          <w:szCs w:val="44"/>
        </w:rPr>
        <w:t>106002柳州市党员教育中心</w:t>
      </w:r>
    </w:p>
    <w:p>
      <w:pPr>
        <w:spacing w:line="560" w:lineRule="exact"/>
        <w:jc w:val="center"/>
        <w:rPr>
          <w:rFonts w:eastAsia="方正小标宋简体"/>
          <w:sz w:val="44"/>
          <w:szCs w:val="44"/>
        </w:rPr>
      </w:pPr>
      <w:bookmarkStart w:id="0" w:name="_GoBack"/>
      <w:bookmarkEnd w:id="0"/>
      <w:r>
        <w:rPr>
          <w:rFonts w:eastAsia="方正小标宋简体"/>
          <w:sz w:val="44"/>
          <w:szCs w:val="44"/>
        </w:rPr>
        <w:t>2022年预算公开说明</w:t>
      </w:r>
    </w:p>
    <w:p>
      <w:pPr>
        <w:spacing w:line="560" w:lineRule="exact"/>
        <w:rPr>
          <w:rFonts w:eastAsia="方正小标宋简体"/>
          <w:sz w:val="44"/>
          <w:szCs w:val="44"/>
        </w:rPr>
      </w:pPr>
    </w:p>
    <w:p>
      <w:pPr>
        <w:spacing w:line="560" w:lineRule="exact"/>
        <w:jc w:val="center"/>
        <w:rPr>
          <w:rStyle w:val="8"/>
          <w:rFonts w:eastAsia="方正小标宋简体"/>
          <w:bCs w:val="0"/>
          <w:sz w:val="44"/>
          <w:szCs w:val="44"/>
        </w:rPr>
      </w:pPr>
      <w:r>
        <w:rPr>
          <w:rStyle w:val="8"/>
          <w:rFonts w:eastAsia="方正小标宋简体"/>
          <w:bCs w:val="0"/>
          <w:sz w:val="44"/>
          <w:szCs w:val="44"/>
        </w:rPr>
        <w:t>目 录</w:t>
      </w:r>
    </w:p>
    <w:p>
      <w:pPr>
        <w:pStyle w:val="5"/>
        <w:spacing w:before="0" w:beforeAutospacing="0" w:after="0" w:afterAutospacing="0" w:line="560" w:lineRule="exact"/>
        <w:jc w:val="center"/>
        <w:rPr>
          <w:rStyle w:val="8"/>
          <w:rFonts w:ascii="Times New Roman" w:hAnsi="Times New Roman" w:eastAsia="方正小标宋简体" w:cs="Times New Roman"/>
          <w:bCs w:val="0"/>
          <w:sz w:val="44"/>
          <w:szCs w:val="44"/>
        </w:rPr>
      </w:pPr>
      <w:r>
        <w:rPr>
          <w:rFonts w:ascii="Times New Roman" w:hAnsi="Times New Roman" w:eastAsia="仿宋_GB2312" w:cs="Times New Roman"/>
          <w:sz w:val="32"/>
          <w:szCs w:val="32"/>
        </w:rPr>
        <w:t xml:space="preserve"> </w:t>
      </w:r>
    </w:p>
    <w:p>
      <w:pPr>
        <w:pStyle w:val="5"/>
        <w:spacing w:before="0" w:beforeAutospacing="0" w:after="0" w:afterAutospacing="0" w:line="560"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第一部分：柳州市党员教育中心概况</w:t>
      </w:r>
    </w:p>
    <w:p>
      <w:pPr>
        <w:pStyle w:val="5"/>
        <w:spacing w:before="0" w:beforeAutospacing="0" w:after="0" w:afterAutospacing="0" w:line="56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一、主要职责</w:t>
      </w:r>
    </w:p>
    <w:p>
      <w:pPr>
        <w:pStyle w:val="5"/>
        <w:spacing w:before="0" w:beforeAutospacing="0" w:after="0" w:afterAutospacing="0" w:line="56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二、机构设置情况</w:t>
      </w:r>
    </w:p>
    <w:p>
      <w:pPr>
        <w:pStyle w:val="5"/>
        <w:spacing w:before="0" w:beforeAutospacing="0" w:after="0" w:afterAutospacing="0" w:line="560"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第二部分：柳州市党员教育中心2022年预算报表</w:t>
      </w:r>
    </w:p>
    <w:p>
      <w:pPr>
        <w:pStyle w:val="5"/>
        <w:spacing w:before="0" w:beforeAutospacing="0" w:after="0" w:afterAutospacing="0" w:line="56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一、单位收支总体情况表（预算公开01表）</w:t>
      </w:r>
    </w:p>
    <w:p>
      <w:pPr>
        <w:pStyle w:val="5"/>
        <w:spacing w:before="0" w:beforeAutospacing="0" w:after="0" w:afterAutospacing="0" w:line="56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二、单位收入总体情况表（预算公开02表）</w:t>
      </w:r>
    </w:p>
    <w:p>
      <w:pPr>
        <w:pStyle w:val="5"/>
        <w:spacing w:before="0" w:beforeAutospacing="0" w:after="0" w:afterAutospacing="0" w:line="56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三、单位支出总体情况表（预算公开03表）</w:t>
      </w:r>
    </w:p>
    <w:p>
      <w:pPr>
        <w:pStyle w:val="5"/>
        <w:spacing w:before="0" w:beforeAutospacing="0" w:after="0" w:afterAutospacing="0" w:line="56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四、财政拨款收支总体情况表（预算公开04表）</w:t>
      </w:r>
    </w:p>
    <w:p>
      <w:pPr>
        <w:pStyle w:val="5"/>
        <w:spacing w:before="0" w:beforeAutospacing="0" w:after="0" w:afterAutospacing="0" w:line="56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五、一般公共预算支出情况表（预算公开05表）</w:t>
      </w:r>
    </w:p>
    <w:p>
      <w:pPr>
        <w:pStyle w:val="5"/>
        <w:spacing w:before="0" w:beforeAutospacing="0" w:after="0" w:afterAutospacing="0" w:line="56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六、一般公共预算基本支出情况表（预算公开06表）</w:t>
      </w:r>
    </w:p>
    <w:p>
      <w:pPr>
        <w:pStyle w:val="5"/>
        <w:spacing w:before="0" w:beforeAutospacing="0" w:after="0" w:afterAutospacing="0" w:line="56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七、一般公共预算“三公”经费支出情况表（预算公开07表）</w:t>
      </w:r>
    </w:p>
    <w:p>
      <w:pPr>
        <w:pStyle w:val="5"/>
        <w:spacing w:before="0" w:beforeAutospacing="0" w:after="0" w:afterAutospacing="0" w:line="56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八、政府性基金预算支出情况表（预算公开08表）</w:t>
      </w:r>
    </w:p>
    <w:p>
      <w:pPr>
        <w:pStyle w:val="5"/>
        <w:spacing w:before="0" w:beforeAutospacing="0" w:after="0" w:afterAutospacing="0" w:line="56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九、政府采购预算表（预算公开09表）</w:t>
      </w:r>
    </w:p>
    <w:p>
      <w:pPr>
        <w:pStyle w:val="5"/>
        <w:spacing w:before="0" w:beforeAutospacing="0" w:after="0" w:afterAutospacing="0" w:line="56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十、政府购买服务表（预算公开10表）</w:t>
      </w:r>
    </w:p>
    <w:p>
      <w:pPr>
        <w:pStyle w:val="5"/>
        <w:spacing w:before="0" w:beforeAutospacing="0" w:after="0" w:afterAutospacing="0" w:line="560"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第三部分：柳州市党员教育中心2022年预算情况说明</w:t>
      </w:r>
    </w:p>
    <w:p>
      <w:pPr>
        <w:pStyle w:val="5"/>
        <w:spacing w:before="0" w:beforeAutospacing="0" w:after="0" w:afterAutospacing="0" w:line="560"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第四部分：名词解释</w:t>
      </w:r>
    </w:p>
    <w:p>
      <w:pPr>
        <w:adjustRightInd w:val="0"/>
        <w:snapToGrid w:val="0"/>
        <w:spacing w:line="560" w:lineRule="exact"/>
        <w:ind w:right="-218" w:rightChars="-104"/>
        <w:jc w:val="center"/>
        <w:rPr>
          <w:rStyle w:val="8"/>
          <w:rFonts w:eastAsia="仿宋_GB2312"/>
          <w:color w:val="000000"/>
          <w:sz w:val="32"/>
          <w:szCs w:val="32"/>
        </w:rPr>
      </w:pPr>
    </w:p>
    <w:p>
      <w:pPr>
        <w:adjustRightInd w:val="0"/>
        <w:snapToGrid w:val="0"/>
        <w:spacing w:line="560" w:lineRule="exact"/>
        <w:ind w:right="-218" w:rightChars="-104"/>
        <w:jc w:val="center"/>
        <w:rPr>
          <w:rStyle w:val="8"/>
          <w:rFonts w:eastAsia="仿宋_GB2312"/>
          <w:color w:val="000000"/>
          <w:sz w:val="32"/>
          <w:szCs w:val="32"/>
        </w:rPr>
      </w:pPr>
    </w:p>
    <w:p>
      <w:pPr>
        <w:adjustRightInd w:val="0"/>
        <w:snapToGrid w:val="0"/>
        <w:spacing w:line="560" w:lineRule="exact"/>
        <w:ind w:right="-218" w:rightChars="-104"/>
        <w:jc w:val="center"/>
        <w:rPr>
          <w:rStyle w:val="8"/>
          <w:rFonts w:eastAsia="仿宋_GB2312"/>
          <w:color w:val="000000"/>
          <w:sz w:val="32"/>
          <w:szCs w:val="32"/>
        </w:rPr>
      </w:pPr>
      <w:r>
        <w:rPr>
          <w:rStyle w:val="8"/>
          <w:rFonts w:eastAsia="仿宋_GB2312"/>
          <w:color w:val="000000"/>
          <w:sz w:val="32"/>
          <w:szCs w:val="32"/>
        </w:rPr>
        <w:t>第一部分：</w:t>
      </w:r>
      <w:r>
        <w:rPr>
          <w:rFonts w:eastAsia="仿宋_GB2312"/>
          <w:b/>
          <w:bCs/>
          <w:color w:val="000000"/>
          <w:sz w:val="32"/>
          <w:szCs w:val="32"/>
        </w:rPr>
        <w:t>柳州市党员教育中心</w:t>
      </w:r>
      <w:r>
        <w:rPr>
          <w:rStyle w:val="8"/>
          <w:rFonts w:eastAsia="仿宋_GB2312"/>
          <w:color w:val="000000"/>
          <w:sz w:val="32"/>
          <w:szCs w:val="32"/>
        </w:rPr>
        <w:t>概况</w:t>
      </w:r>
    </w:p>
    <w:p>
      <w:pPr>
        <w:pStyle w:val="5"/>
        <w:spacing w:before="0" w:beforeAutospacing="0" w:after="0" w:afterAutospacing="0" w:line="560" w:lineRule="exact"/>
        <w:ind w:firstLine="643" w:firstLineChars="200"/>
        <w:jc w:val="both"/>
        <w:rPr>
          <w:rFonts w:ascii="Times New Roman" w:hAnsi="Times New Roman" w:eastAsia="黑体" w:cs="Times New Roman"/>
          <w:b/>
          <w:bCs/>
          <w:color w:val="000000"/>
          <w:sz w:val="32"/>
          <w:szCs w:val="32"/>
        </w:rPr>
      </w:pPr>
      <w:r>
        <w:rPr>
          <w:rFonts w:ascii="Times New Roman" w:hAnsi="Times New Roman" w:eastAsia="黑体" w:cs="Times New Roman"/>
          <w:b/>
          <w:bCs/>
          <w:color w:val="000000"/>
          <w:sz w:val="32"/>
          <w:szCs w:val="32"/>
        </w:rPr>
        <w:t>一、主要职责</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（一）协助做好全市党员教育的规划、指导、督查、管理工作，承担全市党员教育的管理指导、组织协调、统筹规划、检查评估、调查研究，以及党建宣传等具体任务。</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（二）负责指导全市党员教育培训工作，全面落实政治理论教育、政治教育和政治训练、党章党规党纪教育、党的宗旨教育、革命传统教育、形势政策教育、知识技能教育等7项基本任务。</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三）负责编制党员教育教学资源开发计划，制订教学总体方案，整合教学资源，组织制作全市通用教材，指导各县（区）制作“乡土教材”，负责教学资源的安全审查、质量把关、传输安排、效果评估、交流协作等工作。</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（四）协助指导全市党的农村基层组织建设、农村党员的教育管理工作，参与全市乡镇党委和农村基层党组织换届选举工作。</w:t>
      </w:r>
    </w:p>
    <w:p>
      <w:pPr>
        <w:pStyle w:val="5"/>
        <w:spacing w:before="0" w:beforeAutospacing="0" w:after="0" w:afterAutospacing="0" w:line="560" w:lineRule="exact"/>
        <w:ind w:firstLine="640" w:firstLineChars="200"/>
        <w:jc w:val="both"/>
        <w:rPr>
          <w:rFonts w:ascii="Times New Roman" w:hAnsi="Times New Roman" w:eastAsia="黑体" w:cs="Times New Roman"/>
          <w:b/>
          <w:bCs/>
          <w:color w:val="000000"/>
          <w:sz w:val="32"/>
          <w:szCs w:val="32"/>
        </w:rPr>
      </w:pPr>
      <w:r>
        <w:rPr>
          <w:rFonts w:ascii="Times New Roman" w:hAnsi="Times New Roman" w:eastAsia="仿宋_GB2312" w:cs="Times New Roman"/>
          <w:kern w:val="2"/>
          <w:sz w:val="32"/>
          <w:szCs w:val="32"/>
        </w:rPr>
        <w:t>（五）完成主管部门交办的其他任务。</w:t>
      </w:r>
    </w:p>
    <w:p>
      <w:pPr>
        <w:pStyle w:val="5"/>
        <w:spacing w:before="0" w:beforeAutospacing="0" w:after="0" w:afterAutospacing="0" w:line="560" w:lineRule="exact"/>
        <w:ind w:firstLine="643" w:firstLineChars="200"/>
        <w:jc w:val="both"/>
        <w:rPr>
          <w:rFonts w:ascii="Times New Roman" w:hAnsi="Times New Roman" w:eastAsia="黑体" w:cs="Times New Roman"/>
          <w:b/>
          <w:bCs/>
          <w:color w:val="000000"/>
          <w:sz w:val="32"/>
          <w:szCs w:val="32"/>
        </w:rPr>
      </w:pPr>
      <w:r>
        <w:rPr>
          <w:rFonts w:ascii="Times New Roman" w:hAnsi="Times New Roman" w:eastAsia="黑体" w:cs="Times New Roman"/>
          <w:b/>
          <w:bCs/>
          <w:color w:val="000000"/>
          <w:sz w:val="32"/>
          <w:szCs w:val="32"/>
        </w:rPr>
        <w:t>二、机构设置情况</w:t>
      </w:r>
    </w:p>
    <w:p>
      <w:pPr>
        <w:pStyle w:val="5"/>
        <w:spacing w:before="0" w:beforeAutospacing="0" w:after="0" w:afterAutospacing="0" w:line="560" w:lineRule="exact"/>
        <w:ind w:firstLine="640" w:firstLineChars="200"/>
        <w:jc w:val="both"/>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根据三定方案，柳州市党员教育中心为组织部管理的副处级公益一类全额拨款事业单位。</w:t>
      </w:r>
    </w:p>
    <w:p>
      <w:pPr>
        <w:pStyle w:val="5"/>
        <w:spacing w:before="0" w:beforeAutospacing="0" w:after="0" w:afterAutospacing="0" w:line="540" w:lineRule="exact"/>
        <w:jc w:val="both"/>
        <w:rPr>
          <w:rFonts w:ascii="Times New Roman" w:hAnsi="Times New Roman" w:eastAsia="仿宋_GB2312" w:cs="Times New Roman"/>
          <w:color w:val="000000"/>
          <w:sz w:val="32"/>
          <w:szCs w:val="32"/>
        </w:rPr>
      </w:pPr>
    </w:p>
    <w:p>
      <w:pPr>
        <w:pStyle w:val="5"/>
        <w:spacing w:before="0" w:beforeAutospacing="0" w:after="0" w:afterAutospacing="0" w:line="560" w:lineRule="exact"/>
        <w:jc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第二部分：柳州市党员教育中心2022年预算报表</w:t>
      </w:r>
    </w:p>
    <w:p>
      <w:pPr>
        <w:pStyle w:val="5"/>
        <w:spacing w:before="0" w:beforeAutospacing="0" w:after="0" w:afterAutospacing="0" w:line="560" w:lineRule="exact"/>
        <w:ind w:firstLine="640" w:firstLineChars="200"/>
        <w:jc w:val="both"/>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一、单位收支总体情况表（预算公开01表）</w:t>
      </w:r>
    </w:p>
    <w:p>
      <w:pPr>
        <w:pStyle w:val="5"/>
        <w:spacing w:before="0" w:beforeAutospacing="0" w:after="0" w:afterAutospacing="0" w:line="560" w:lineRule="exact"/>
        <w:ind w:firstLine="640" w:firstLineChars="200"/>
        <w:jc w:val="both"/>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二、单位收入总体情况表（预算公开02表）</w:t>
      </w:r>
    </w:p>
    <w:p>
      <w:pPr>
        <w:pStyle w:val="5"/>
        <w:spacing w:before="0" w:beforeAutospacing="0" w:after="0" w:afterAutospacing="0" w:line="560" w:lineRule="exact"/>
        <w:ind w:firstLine="640" w:firstLineChars="200"/>
        <w:jc w:val="both"/>
        <w:rPr>
          <w:rFonts w:ascii="Times New Roman" w:hAnsi="Times New Roman" w:eastAsia="仿宋_GB2312" w:cs="Times New Roman"/>
          <w:b/>
          <w:bCs/>
          <w:color w:val="000000"/>
          <w:sz w:val="32"/>
          <w:szCs w:val="32"/>
        </w:rPr>
      </w:pPr>
      <w:r>
        <w:rPr>
          <w:rFonts w:ascii="Times New Roman" w:hAnsi="Times New Roman" w:eastAsia="仿宋_GB2312" w:cs="Times New Roman"/>
          <w:bCs/>
          <w:color w:val="000000"/>
          <w:sz w:val="32"/>
          <w:szCs w:val="32"/>
        </w:rPr>
        <w:t>三、单位支出总体情况表（预算公开03表）</w:t>
      </w:r>
    </w:p>
    <w:p>
      <w:pPr>
        <w:pStyle w:val="5"/>
        <w:spacing w:before="0" w:beforeAutospacing="0" w:after="0" w:afterAutospacing="0" w:line="560" w:lineRule="exact"/>
        <w:ind w:firstLine="640" w:firstLineChars="200"/>
        <w:jc w:val="both"/>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四、财政拨款收支总体情况表（预算公开04表）</w:t>
      </w:r>
    </w:p>
    <w:p>
      <w:pPr>
        <w:pStyle w:val="5"/>
        <w:spacing w:before="0" w:beforeAutospacing="0" w:after="0" w:afterAutospacing="0" w:line="560" w:lineRule="exact"/>
        <w:ind w:firstLine="640" w:firstLineChars="200"/>
        <w:jc w:val="both"/>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五、一般公共预算支出情况表（预算公开05表）</w:t>
      </w:r>
    </w:p>
    <w:p>
      <w:pPr>
        <w:pStyle w:val="5"/>
        <w:spacing w:before="0" w:beforeAutospacing="0" w:after="0" w:afterAutospacing="0" w:line="560" w:lineRule="exact"/>
        <w:ind w:firstLine="640" w:firstLineChars="200"/>
        <w:jc w:val="both"/>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六、一般公共预算基本支出情况表（预算公开06表）</w:t>
      </w:r>
    </w:p>
    <w:p>
      <w:pPr>
        <w:pStyle w:val="5"/>
        <w:spacing w:before="0" w:beforeAutospacing="0" w:after="0" w:afterAutospacing="0" w:line="560" w:lineRule="exact"/>
        <w:ind w:firstLine="640" w:firstLineChars="200"/>
        <w:jc w:val="both"/>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七、一般公共预算“三公”经费支出情况表（预算公开07表）</w:t>
      </w:r>
    </w:p>
    <w:p>
      <w:pPr>
        <w:pStyle w:val="5"/>
        <w:spacing w:before="0" w:beforeAutospacing="0" w:after="0" w:afterAutospacing="0" w:line="560" w:lineRule="exact"/>
        <w:ind w:firstLine="640" w:firstLineChars="200"/>
        <w:jc w:val="both"/>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八、政府性基金预算支出情况表（预算公开08表）</w:t>
      </w:r>
    </w:p>
    <w:p>
      <w:pPr>
        <w:pStyle w:val="5"/>
        <w:spacing w:before="0" w:beforeAutospacing="0" w:after="0" w:afterAutospacing="0" w:line="560" w:lineRule="exact"/>
        <w:ind w:firstLine="640" w:firstLineChars="200"/>
        <w:jc w:val="both"/>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九、政府采购预算表（预算公开09表）</w:t>
      </w:r>
    </w:p>
    <w:p>
      <w:pPr>
        <w:pStyle w:val="5"/>
        <w:spacing w:before="0" w:beforeAutospacing="0" w:after="0" w:afterAutospacing="0" w:line="560" w:lineRule="exact"/>
        <w:ind w:firstLine="640" w:firstLineChars="200"/>
        <w:jc w:val="both"/>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十、政府购买服务表（预算公开10表）</w:t>
      </w:r>
    </w:p>
    <w:p>
      <w:pPr>
        <w:pStyle w:val="5"/>
        <w:spacing w:before="0" w:beforeAutospacing="0" w:after="0" w:afterAutospacing="0" w:line="560" w:lineRule="exact"/>
        <w:ind w:firstLine="643" w:firstLineChars="200"/>
        <w:jc w:val="both"/>
        <w:rPr>
          <w:rFonts w:ascii="Times New Roman" w:hAnsi="Times New Roman" w:eastAsia="仿宋_GB2312" w:cs="Times New Roman"/>
          <w:sz w:val="32"/>
          <w:szCs w:val="32"/>
          <w:highlight w:val="cyan"/>
        </w:rPr>
      </w:pPr>
      <w:r>
        <w:rPr>
          <w:rFonts w:ascii="Times New Roman" w:hAnsi="Times New Roman" w:eastAsia="仿宋_GB2312" w:cs="Times New Roman"/>
          <w:b/>
          <w:bCs/>
          <w:sz w:val="32"/>
          <w:szCs w:val="32"/>
        </w:rPr>
        <w:t>上述报表详见附件。</w:t>
      </w:r>
    </w:p>
    <w:p>
      <w:pPr>
        <w:pStyle w:val="5"/>
        <w:spacing w:before="0" w:beforeAutospacing="0" w:after="0" w:afterAutospacing="0" w:line="560" w:lineRule="exact"/>
        <w:jc w:val="both"/>
        <w:rPr>
          <w:rFonts w:ascii="Times New Roman" w:hAnsi="Times New Roman" w:eastAsia="仿宋_GB2312" w:cs="Times New Roman"/>
          <w:b/>
          <w:bCs/>
          <w:color w:val="000000"/>
          <w:sz w:val="32"/>
          <w:szCs w:val="32"/>
        </w:rPr>
      </w:pPr>
    </w:p>
    <w:p>
      <w:pPr>
        <w:pStyle w:val="5"/>
        <w:spacing w:before="0" w:beforeAutospacing="0" w:after="0" w:afterAutospacing="0" w:line="560" w:lineRule="exact"/>
        <w:jc w:val="center"/>
        <w:rPr>
          <w:rFonts w:ascii="Times New Roman" w:hAnsi="Times New Roman" w:eastAsia="仿宋_GB2312" w:cs="Times New Roman"/>
          <w:b/>
          <w:bCs/>
          <w:color w:val="000000"/>
          <w:kern w:val="2"/>
          <w:sz w:val="32"/>
          <w:szCs w:val="32"/>
        </w:rPr>
      </w:pPr>
      <w:r>
        <w:rPr>
          <w:rFonts w:ascii="Times New Roman" w:hAnsi="Times New Roman" w:eastAsia="仿宋_GB2312" w:cs="Times New Roman"/>
          <w:b/>
          <w:bCs/>
          <w:color w:val="000000"/>
          <w:kern w:val="2"/>
          <w:sz w:val="32"/>
          <w:szCs w:val="32"/>
        </w:rPr>
        <w:t>第三部分：</w:t>
      </w:r>
      <w:r>
        <w:rPr>
          <w:rFonts w:ascii="Times New Roman" w:hAnsi="Times New Roman" w:eastAsia="仿宋_GB2312" w:cs="Times New Roman"/>
          <w:b/>
          <w:bCs/>
          <w:color w:val="000000"/>
          <w:sz w:val="32"/>
          <w:szCs w:val="32"/>
        </w:rPr>
        <w:t>柳州市党员教育中心</w:t>
      </w:r>
      <w:r>
        <w:rPr>
          <w:rFonts w:ascii="Times New Roman" w:hAnsi="Times New Roman" w:eastAsia="仿宋_GB2312" w:cs="Times New Roman"/>
          <w:b/>
          <w:bCs/>
          <w:color w:val="000000"/>
          <w:kern w:val="2"/>
          <w:sz w:val="32"/>
          <w:szCs w:val="32"/>
        </w:rPr>
        <w:t>2022年预算情况说明</w:t>
      </w:r>
    </w:p>
    <w:p>
      <w:pPr>
        <w:tabs>
          <w:tab w:val="center" w:pos="4475"/>
        </w:tabs>
        <w:spacing w:line="560" w:lineRule="exact"/>
        <w:ind w:firstLine="645"/>
        <w:rPr>
          <w:rFonts w:eastAsia="黑体"/>
          <w:b/>
          <w:bCs/>
          <w:color w:val="000000"/>
          <w:kern w:val="0"/>
          <w:sz w:val="32"/>
          <w:szCs w:val="32"/>
        </w:rPr>
      </w:pPr>
      <w:r>
        <w:rPr>
          <w:rFonts w:eastAsia="黑体"/>
          <w:b/>
          <w:bCs/>
          <w:color w:val="000000"/>
          <w:kern w:val="0"/>
          <w:sz w:val="32"/>
          <w:szCs w:val="32"/>
        </w:rPr>
        <w:t>一、单位收支预算情况说明</w:t>
      </w:r>
    </w:p>
    <w:p>
      <w:pPr>
        <w:pStyle w:val="5"/>
        <w:spacing w:before="0" w:beforeAutospacing="0" w:after="0" w:afterAutospacing="0" w:line="560" w:lineRule="exact"/>
        <w:ind w:firstLine="640" w:firstLineChars="200"/>
        <w:jc w:val="both"/>
        <w:rPr>
          <w:rFonts w:ascii="Times New Roman" w:hAnsi="Times New Roman" w:eastAsia="仿宋_GB2312" w:cs="Times New Roman"/>
          <w:strike/>
          <w:kern w:val="2"/>
          <w:sz w:val="32"/>
          <w:szCs w:val="32"/>
        </w:rPr>
      </w:pPr>
      <w:r>
        <w:rPr>
          <w:rFonts w:ascii="Times New Roman" w:hAnsi="Times New Roman" w:eastAsia="仿宋_GB2312" w:cs="Times New Roman"/>
          <w:kern w:val="2"/>
          <w:sz w:val="32"/>
          <w:szCs w:val="32"/>
        </w:rPr>
        <w:t>2022年单位收支总预算240.02万元，同比减少4.39万元，同比下降1.8%，收入包括：</w:t>
      </w:r>
      <w:r>
        <w:rPr>
          <w:rFonts w:ascii="Times New Roman" w:hAnsi="Times New Roman" w:eastAsia="仿宋_GB2312" w:cs="Times New Roman"/>
          <w:color w:val="000000"/>
          <w:sz w:val="32"/>
          <w:szCs w:val="32"/>
        </w:rPr>
        <w:t>一般公共财政预算拨款</w:t>
      </w:r>
      <w:r>
        <w:rPr>
          <w:rFonts w:ascii="Times New Roman" w:hAnsi="Times New Roman" w:eastAsia="仿宋_GB2312" w:cs="Times New Roman"/>
          <w:kern w:val="2"/>
          <w:sz w:val="32"/>
          <w:szCs w:val="32"/>
        </w:rPr>
        <w:t>；支出包括：</w:t>
      </w:r>
      <w:r>
        <w:rPr>
          <w:rFonts w:ascii="Times New Roman" w:hAnsi="Times New Roman" w:eastAsia="仿宋_GB2312" w:cs="Times New Roman"/>
          <w:color w:val="000000"/>
          <w:sz w:val="32"/>
          <w:szCs w:val="32"/>
        </w:rPr>
        <w:t>一般公共服务支出、社会保障和就业支出、卫生健康支出、住房保障支出。</w:t>
      </w:r>
    </w:p>
    <w:p>
      <w:pPr>
        <w:tabs>
          <w:tab w:val="center" w:pos="4475"/>
        </w:tabs>
        <w:spacing w:line="560" w:lineRule="exact"/>
        <w:ind w:firstLine="645"/>
        <w:rPr>
          <w:rFonts w:eastAsia="黑体"/>
          <w:b/>
          <w:bCs/>
          <w:color w:val="000000"/>
          <w:kern w:val="0"/>
          <w:sz w:val="32"/>
          <w:szCs w:val="32"/>
        </w:rPr>
      </w:pPr>
      <w:r>
        <w:rPr>
          <w:rFonts w:eastAsia="黑体"/>
          <w:b/>
          <w:bCs/>
          <w:color w:val="000000"/>
          <w:kern w:val="0"/>
          <w:sz w:val="32"/>
          <w:szCs w:val="32"/>
        </w:rPr>
        <w:t>二、单位收入预算情况说明</w:t>
      </w:r>
    </w:p>
    <w:p>
      <w:pPr>
        <w:spacing w:line="560" w:lineRule="exact"/>
        <w:ind w:firstLine="640" w:firstLineChars="200"/>
        <w:rPr>
          <w:rFonts w:eastAsia="仿宋_GB2312"/>
          <w:sz w:val="32"/>
          <w:szCs w:val="32"/>
        </w:rPr>
      </w:pPr>
      <w:r>
        <w:rPr>
          <w:rFonts w:eastAsia="仿宋_GB2312"/>
          <w:color w:val="000000"/>
          <w:sz w:val="32"/>
          <w:szCs w:val="32"/>
        </w:rPr>
        <w:t>2022年单位收入总预算240.02万元，</w:t>
      </w:r>
      <w:r>
        <w:rPr>
          <w:rFonts w:eastAsia="仿宋_GB2312"/>
          <w:sz w:val="32"/>
          <w:szCs w:val="32"/>
        </w:rPr>
        <w:t>同比减少4.39万元，同比下降1.8%。其中：</w:t>
      </w:r>
    </w:p>
    <w:p>
      <w:pPr>
        <w:spacing w:line="560" w:lineRule="exact"/>
        <w:ind w:firstLine="640" w:firstLineChars="200"/>
        <w:rPr>
          <w:rFonts w:eastAsia="仿宋_GB2312"/>
          <w:sz w:val="32"/>
          <w:szCs w:val="32"/>
        </w:rPr>
      </w:pPr>
      <w:r>
        <w:rPr>
          <w:rFonts w:eastAsia="仿宋_GB2312"/>
          <w:color w:val="000000"/>
          <w:sz w:val="32"/>
          <w:szCs w:val="32"/>
        </w:rPr>
        <w:t>一般公共财政预算拨款240.02万元，</w:t>
      </w:r>
      <w:r>
        <w:rPr>
          <w:rFonts w:eastAsia="仿宋_GB2312"/>
          <w:sz w:val="32"/>
          <w:szCs w:val="32"/>
        </w:rPr>
        <w:t>占收入总预算100%，同比减少4.39万元，同比下降1.8%。</w:t>
      </w:r>
    </w:p>
    <w:p>
      <w:pPr>
        <w:spacing w:line="560" w:lineRule="exact"/>
        <w:ind w:firstLine="640" w:firstLineChars="200"/>
        <w:rPr>
          <w:rFonts w:eastAsia="仿宋_GB2312"/>
          <w:sz w:val="32"/>
          <w:szCs w:val="32"/>
        </w:rPr>
      </w:pPr>
      <w:r>
        <w:rPr>
          <w:rFonts w:eastAsia="仿宋_GB2312"/>
          <w:sz w:val="32"/>
          <w:szCs w:val="32"/>
        </w:rPr>
        <w:t>2022年收入预算总体减少主要是</w:t>
      </w:r>
      <w:r>
        <w:rPr>
          <w:rFonts w:eastAsia="仿宋_GB2312"/>
          <w:color w:val="000000"/>
          <w:sz w:val="32"/>
          <w:szCs w:val="32"/>
        </w:rPr>
        <w:t>一般公共财政预算拨款</w:t>
      </w:r>
      <w:r>
        <w:rPr>
          <w:rFonts w:eastAsia="仿宋_GB2312"/>
          <w:sz w:val="32"/>
          <w:szCs w:val="32"/>
        </w:rPr>
        <w:t>减少，减少的主要原因：在编人员工资预算收入减少。</w:t>
      </w:r>
    </w:p>
    <w:p>
      <w:pPr>
        <w:tabs>
          <w:tab w:val="center" w:pos="4475"/>
        </w:tabs>
        <w:spacing w:line="560" w:lineRule="exact"/>
        <w:ind w:firstLine="645"/>
        <w:rPr>
          <w:rFonts w:eastAsia="黑体"/>
          <w:b/>
          <w:bCs/>
          <w:color w:val="000000"/>
          <w:kern w:val="0"/>
          <w:sz w:val="32"/>
          <w:szCs w:val="32"/>
        </w:rPr>
      </w:pPr>
      <w:r>
        <w:rPr>
          <w:rFonts w:eastAsia="黑体"/>
          <w:b/>
          <w:bCs/>
          <w:color w:val="000000"/>
          <w:kern w:val="0"/>
          <w:sz w:val="32"/>
          <w:szCs w:val="32"/>
        </w:rPr>
        <w:t>三、单位支出预算情况说明</w:t>
      </w:r>
    </w:p>
    <w:p>
      <w:pPr>
        <w:spacing w:line="560" w:lineRule="exact"/>
        <w:ind w:firstLine="640" w:firstLineChars="200"/>
        <w:rPr>
          <w:rFonts w:eastAsia="仿宋_GB2312"/>
          <w:strike/>
          <w:sz w:val="32"/>
          <w:szCs w:val="32"/>
        </w:rPr>
      </w:pPr>
      <w:r>
        <w:rPr>
          <w:rFonts w:eastAsia="仿宋_GB2312"/>
          <w:color w:val="000000"/>
          <w:sz w:val="32"/>
          <w:szCs w:val="32"/>
        </w:rPr>
        <w:t>2022年单位支出总预算240.02万元，基本支出预算213.8万元，占支出总预算的89.08%,</w:t>
      </w:r>
      <w:r>
        <w:rPr>
          <w:rFonts w:eastAsia="仿宋_GB2312"/>
          <w:sz w:val="32"/>
          <w:szCs w:val="32"/>
        </w:rPr>
        <w:t>同比减少4.39万元，同比下降2.01%。项目支出预算26.22万元，占支出总预算的10.92%，同比与上年持平。</w:t>
      </w:r>
    </w:p>
    <w:p>
      <w:pPr>
        <w:pStyle w:val="5"/>
        <w:spacing w:before="0" w:beforeAutospacing="0" w:after="0" w:afterAutospacing="0" w:line="560" w:lineRule="exact"/>
        <w:ind w:firstLine="480" w:firstLineChars="15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 xml:space="preserve">（一）按支出功能分类科目划分，共分为4类，其中： </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1.</w:t>
      </w:r>
      <w:r>
        <w:rPr>
          <w:rFonts w:ascii="Times New Roman" w:hAnsi="Times New Roman" w:eastAsia="仿宋_GB2312" w:cs="Times New Roman"/>
          <w:color w:val="000000"/>
          <w:sz w:val="32"/>
          <w:szCs w:val="32"/>
        </w:rPr>
        <w:t>一般公共服务支出</w:t>
      </w:r>
      <w:r>
        <w:rPr>
          <w:rFonts w:ascii="Times New Roman" w:hAnsi="Times New Roman" w:eastAsia="仿宋_GB2312" w:cs="Times New Roman"/>
          <w:kern w:val="2"/>
          <w:sz w:val="32"/>
          <w:szCs w:val="32"/>
        </w:rPr>
        <w:t>158.51万元</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占支出总预算66.04%，同比减少20.32万元，同比下降11.36%。减少的主要原因是</w:t>
      </w:r>
      <w:r>
        <w:rPr>
          <w:rFonts w:ascii="Times New Roman" w:hAnsi="Times New Roman" w:eastAsia="仿宋_GB2312" w:cs="Times New Roman"/>
          <w:sz w:val="32"/>
          <w:szCs w:val="32"/>
        </w:rPr>
        <w:t>在编人员工资预算支出减少。</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2.</w:t>
      </w:r>
      <w:r>
        <w:rPr>
          <w:rFonts w:ascii="Times New Roman" w:hAnsi="Times New Roman" w:eastAsia="仿宋_GB2312" w:cs="Times New Roman"/>
          <w:color w:val="000000"/>
          <w:sz w:val="32"/>
          <w:szCs w:val="32"/>
        </w:rPr>
        <w:t>社会保障和就业支出</w:t>
      </w:r>
      <w:r>
        <w:rPr>
          <w:rFonts w:ascii="Times New Roman" w:hAnsi="Times New Roman" w:eastAsia="仿宋_GB2312" w:cs="Times New Roman"/>
          <w:kern w:val="2"/>
          <w:sz w:val="32"/>
          <w:szCs w:val="32"/>
        </w:rPr>
        <w:t>39.57万元，占支出总预算16.49%，同比增加5.43万元，同比增长15.91%。增加的主要原因是社保增人增资费用增加。</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3.</w:t>
      </w:r>
      <w:r>
        <w:rPr>
          <w:rFonts w:ascii="Times New Roman" w:hAnsi="Times New Roman" w:eastAsia="仿宋_GB2312" w:cs="Times New Roman"/>
          <w:color w:val="000000"/>
          <w:sz w:val="32"/>
          <w:szCs w:val="32"/>
        </w:rPr>
        <w:t>卫生健康支出</w:t>
      </w:r>
      <w:r>
        <w:rPr>
          <w:rFonts w:ascii="Times New Roman" w:hAnsi="Times New Roman" w:eastAsia="仿宋_GB2312" w:cs="Times New Roman"/>
          <w:kern w:val="2"/>
          <w:sz w:val="32"/>
          <w:szCs w:val="32"/>
        </w:rPr>
        <w:t>22.15万元，占支出总预算9.23%，同比增加7.77万元，同比增长54.03%。增加的主要原因是医疗保险缴费增人增资费用增加。</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4.</w:t>
      </w:r>
      <w:r>
        <w:rPr>
          <w:rFonts w:ascii="Times New Roman" w:hAnsi="Times New Roman" w:eastAsia="仿宋_GB2312" w:cs="Times New Roman"/>
          <w:color w:val="000000"/>
          <w:sz w:val="32"/>
          <w:szCs w:val="32"/>
        </w:rPr>
        <w:t>住房保障支出</w:t>
      </w:r>
      <w:r>
        <w:rPr>
          <w:rFonts w:ascii="Times New Roman" w:hAnsi="Times New Roman" w:eastAsia="仿宋_GB2312" w:cs="Times New Roman"/>
          <w:kern w:val="2"/>
          <w:sz w:val="32"/>
          <w:szCs w:val="32"/>
        </w:rPr>
        <w:t>19.79万元，占支出总预算8.25%，同比增加2.72万元，同比增长15.93%。增加的主要原因是公积金增人增资费用增加。</w:t>
      </w:r>
    </w:p>
    <w:p>
      <w:pPr>
        <w:pStyle w:val="5"/>
        <w:spacing w:before="0" w:beforeAutospacing="0" w:after="0" w:afterAutospacing="0" w:line="560" w:lineRule="exact"/>
        <w:ind w:firstLine="480" w:firstLineChars="15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（二）按支出结构分类划分，分为基本支出预算和项目支出预算。</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1.基本支出预算213.8万元，占一般公共预算拨款支出预算89.08%，同比减少4.39万元，同比下降2.01%。</w:t>
      </w:r>
    </w:p>
    <w:p>
      <w:pPr>
        <w:pStyle w:val="5"/>
        <w:tabs>
          <w:tab w:val="center" w:pos="4475"/>
        </w:tabs>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2.项目支出预算26.22万元，占支出总预算10.92%，</w:t>
      </w:r>
      <w:r>
        <w:rPr>
          <w:rFonts w:ascii="Times New Roman" w:hAnsi="Times New Roman" w:eastAsia="仿宋_GB2312" w:cs="Times New Roman"/>
          <w:sz w:val="32"/>
          <w:szCs w:val="32"/>
        </w:rPr>
        <w:t>同比与上年持平。</w:t>
      </w:r>
    </w:p>
    <w:p>
      <w:pPr>
        <w:spacing w:line="560" w:lineRule="exact"/>
        <w:ind w:firstLine="640" w:firstLineChars="200"/>
        <w:rPr>
          <w:rFonts w:eastAsia="仿宋_GB2312"/>
          <w:sz w:val="32"/>
          <w:szCs w:val="32"/>
          <w:highlight w:val="cyan"/>
        </w:rPr>
      </w:pPr>
      <w:r>
        <w:rPr>
          <w:rFonts w:eastAsia="仿宋_GB2312"/>
          <w:sz w:val="32"/>
          <w:szCs w:val="32"/>
        </w:rPr>
        <w:t>2022年支出预算总体减少主要是基本支出预算减少，减少的主要原因：在编人员工资预算支出减少。</w:t>
      </w:r>
    </w:p>
    <w:p>
      <w:pPr>
        <w:tabs>
          <w:tab w:val="center" w:pos="4475"/>
        </w:tabs>
        <w:spacing w:line="560" w:lineRule="exact"/>
        <w:ind w:firstLine="645"/>
        <w:rPr>
          <w:rFonts w:eastAsia="黑体"/>
          <w:b/>
          <w:bCs/>
          <w:color w:val="000000"/>
          <w:kern w:val="0"/>
          <w:sz w:val="32"/>
          <w:szCs w:val="32"/>
        </w:rPr>
      </w:pPr>
      <w:r>
        <w:rPr>
          <w:rFonts w:eastAsia="黑体"/>
          <w:b/>
          <w:bCs/>
          <w:color w:val="000000"/>
          <w:kern w:val="0"/>
          <w:sz w:val="32"/>
          <w:szCs w:val="32"/>
        </w:rPr>
        <w:t>四、财政拨款收支预算情况说明</w:t>
      </w:r>
    </w:p>
    <w:p>
      <w:pPr>
        <w:pStyle w:val="5"/>
        <w:spacing w:before="0" w:beforeAutospacing="0" w:after="0" w:afterAutospacing="0" w:line="560" w:lineRule="exact"/>
        <w:ind w:firstLine="640" w:firstLineChars="200"/>
        <w:jc w:val="both"/>
        <w:rPr>
          <w:rFonts w:ascii="Times New Roman" w:hAnsi="Times New Roman" w:eastAsia="仿宋_GB2312" w:cs="Times New Roman"/>
          <w:strike/>
          <w:kern w:val="2"/>
          <w:sz w:val="32"/>
          <w:szCs w:val="32"/>
        </w:rPr>
      </w:pPr>
      <w:r>
        <w:rPr>
          <w:rFonts w:ascii="Times New Roman" w:hAnsi="Times New Roman" w:eastAsia="仿宋_GB2312" w:cs="Times New Roman"/>
          <w:kern w:val="2"/>
          <w:sz w:val="32"/>
          <w:szCs w:val="32"/>
        </w:rPr>
        <w:t>2022年单位财政拨款收支总预算240.02万元，收入包括：一般公共预算拨款240.02万元;支出包括：一般公共服务支出158.51万元，社会保障和就业支出39.57万元，卫生健康支出22.15万元，住房保障支出19.79万元。</w:t>
      </w:r>
    </w:p>
    <w:p>
      <w:pPr>
        <w:pStyle w:val="5"/>
        <w:spacing w:before="0" w:beforeAutospacing="0" w:after="0" w:afterAutospacing="0" w:line="560" w:lineRule="exact"/>
        <w:ind w:firstLine="643" w:firstLineChars="200"/>
        <w:jc w:val="both"/>
        <w:rPr>
          <w:rFonts w:ascii="Times New Roman" w:hAnsi="Times New Roman" w:eastAsia="黑体" w:cs="Times New Roman"/>
          <w:b/>
          <w:bCs/>
          <w:color w:val="000000"/>
          <w:sz w:val="32"/>
          <w:szCs w:val="32"/>
        </w:rPr>
      </w:pPr>
      <w:r>
        <w:rPr>
          <w:rFonts w:ascii="Times New Roman" w:hAnsi="Times New Roman" w:eastAsia="黑体" w:cs="Times New Roman"/>
          <w:b/>
          <w:bCs/>
          <w:color w:val="000000"/>
          <w:sz w:val="32"/>
          <w:szCs w:val="32"/>
        </w:rPr>
        <w:t>五、一般公共预算支出情况说明</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2022年单位一般公共预算拨款支出240.02万元，其中：基本支出213.8万元，项目支出26.22万元，具体支出预算如下：</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（一）行政运行132.29万元，其中：基本支出预算132.29万元，全部为基本支出。主要用于</w:t>
      </w:r>
      <w:r>
        <w:rPr>
          <w:rFonts w:ascii="Times New Roman" w:hAnsi="Times New Roman" w:eastAsia="仿宋_GB2312" w:cs="Times New Roman"/>
          <w:sz w:val="32"/>
          <w:szCs w:val="32"/>
        </w:rPr>
        <w:t>在职人员工资福利、日常公用经费支出。</w:t>
      </w:r>
    </w:p>
    <w:p>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kern w:val="2"/>
          <w:sz w:val="32"/>
          <w:szCs w:val="32"/>
        </w:rPr>
        <w:t>（二）其他组织事务支出26.22万元，其中：项目支出预算26.22万元，全部为项目支出。主要用于</w:t>
      </w:r>
      <w:r>
        <w:rPr>
          <w:rFonts w:ascii="Times New Roman" w:hAnsi="Times New Roman" w:eastAsia="仿宋_GB2312" w:cs="Times New Roman"/>
          <w:sz w:val="32"/>
          <w:szCs w:val="32"/>
        </w:rPr>
        <w:t>科室日常业务经费</w:t>
      </w:r>
      <w:r>
        <w:rPr>
          <w:rFonts w:hint="eastAsia" w:ascii="Times New Roman" w:hAnsi="Times New Roman" w:eastAsia="仿宋_GB2312" w:cs="Times New Roman"/>
          <w:sz w:val="32"/>
          <w:szCs w:val="32"/>
        </w:rPr>
        <w:t>支出</w:t>
      </w:r>
      <w:r>
        <w:rPr>
          <w:rFonts w:ascii="Times New Roman" w:hAnsi="Times New Roman" w:eastAsia="仿宋_GB2312" w:cs="Times New Roman"/>
          <w:sz w:val="32"/>
          <w:szCs w:val="32"/>
        </w:rPr>
        <w:t>。</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（三）机关事业单位基本养老保险缴费支出26.38万元，其中：基本支出预算26.38万元，全部为基本支出。主要用于</w:t>
      </w:r>
      <w:r>
        <w:rPr>
          <w:rFonts w:ascii="Times New Roman" w:hAnsi="Times New Roman" w:eastAsia="仿宋_GB2312" w:cs="Times New Roman"/>
          <w:sz w:val="32"/>
          <w:szCs w:val="32"/>
        </w:rPr>
        <w:t>养老保险缴费支出。</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（四）机关事业单位职业年金缴费支出13.19万元，其中：基本支出预算13.19万元，全部为基本支出。主要用于</w:t>
      </w:r>
      <w:r>
        <w:rPr>
          <w:rFonts w:ascii="Times New Roman" w:hAnsi="Times New Roman" w:eastAsia="仿宋_GB2312" w:cs="Times New Roman"/>
          <w:sz w:val="32"/>
          <w:szCs w:val="32"/>
        </w:rPr>
        <w:t>职业年金缴费支出。</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（五）行政单位医疗12.86万元，其中：基本支出预算12.86万元，全部为基本支出。主要用于</w:t>
      </w:r>
      <w:r>
        <w:rPr>
          <w:rFonts w:ascii="Times New Roman" w:hAnsi="Times New Roman" w:eastAsia="仿宋_GB2312" w:cs="Times New Roman"/>
          <w:sz w:val="32"/>
          <w:szCs w:val="32"/>
        </w:rPr>
        <w:t>医疗保险缴费支出。</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（六）公务员医疗补助9.29万元，其中：基本支出预算9.29万元，全部为基本支出。主要用于</w:t>
      </w:r>
      <w:r>
        <w:rPr>
          <w:rFonts w:ascii="Times New Roman" w:hAnsi="Times New Roman" w:eastAsia="仿宋_GB2312" w:cs="Times New Roman"/>
          <w:sz w:val="32"/>
          <w:szCs w:val="32"/>
        </w:rPr>
        <w:t>公务员医疗补助缴费支出。</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（七）住房公积金19.79万元，其中：基本支出预算19.79万元，全部为基本支出。主要用于</w:t>
      </w:r>
      <w:r>
        <w:rPr>
          <w:rFonts w:ascii="Times New Roman" w:hAnsi="Times New Roman" w:eastAsia="仿宋_GB2312" w:cs="Times New Roman"/>
          <w:sz w:val="32"/>
          <w:szCs w:val="32"/>
        </w:rPr>
        <w:t>公积金缴费支出。</w:t>
      </w:r>
    </w:p>
    <w:p>
      <w:pPr>
        <w:tabs>
          <w:tab w:val="center" w:pos="4475"/>
        </w:tabs>
        <w:spacing w:line="560" w:lineRule="exact"/>
        <w:ind w:firstLine="645"/>
        <w:rPr>
          <w:rFonts w:eastAsia="黑体"/>
          <w:b/>
          <w:bCs/>
          <w:color w:val="000000"/>
          <w:kern w:val="0"/>
          <w:sz w:val="32"/>
          <w:szCs w:val="32"/>
        </w:rPr>
      </w:pPr>
      <w:r>
        <w:rPr>
          <w:rFonts w:eastAsia="黑体"/>
          <w:b/>
          <w:bCs/>
          <w:color w:val="000000"/>
          <w:kern w:val="0"/>
          <w:sz w:val="32"/>
          <w:szCs w:val="32"/>
        </w:rPr>
        <w:t>六、一般公共预算基本支出情况说明</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2022年单位一般公共预算基本支出213.8万元，其中：</w:t>
      </w:r>
    </w:p>
    <w:p>
      <w:pPr>
        <w:pStyle w:val="5"/>
        <w:spacing w:before="0" w:beforeAutospacing="0" w:after="0" w:afterAutospacing="0" w:line="560" w:lineRule="exact"/>
        <w:ind w:firstLine="640" w:firstLineChars="200"/>
        <w:jc w:val="both"/>
        <w:rPr>
          <w:rFonts w:ascii="Times New Roman" w:hAnsi="Times New Roman" w:eastAsia="仿宋_GB2312" w:cs="Times New Roman"/>
          <w:bCs/>
          <w:strike/>
          <w:sz w:val="32"/>
          <w:szCs w:val="32"/>
        </w:rPr>
      </w:pPr>
      <w:r>
        <w:rPr>
          <w:rFonts w:ascii="Times New Roman" w:hAnsi="Times New Roman" w:eastAsia="仿宋_GB2312" w:cs="Times New Roman"/>
          <w:kern w:val="2"/>
          <w:sz w:val="32"/>
          <w:szCs w:val="32"/>
        </w:rPr>
        <w:t>（一）人员经费182.92万元，主要包括：基本工资、津贴补贴、奖金、机关事业单位基本养老保险缴费、职业年金缴费、职工基本医疗保险缴费、公务员医疗补助缴费、其他社会保障缴费、住房公积金、其他对个人和家庭的补助。</w:t>
      </w:r>
    </w:p>
    <w:p>
      <w:pPr>
        <w:adjustRightInd w:val="0"/>
        <w:snapToGrid w:val="0"/>
        <w:spacing w:line="560" w:lineRule="exact"/>
        <w:ind w:right="-218" w:rightChars="-104" w:firstLine="640" w:firstLineChars="200"/>
        <w:rPr>
          <w:rFonts w:eastAsia="仿宋_GB2312"/>
          <w:strike/>
          <w:sz w:val="32"/>
          <w:szCs w:val="32"/>
          <w:highlight w:val="cyan"/>
        </w:rPr>
      </w:pPr>
      <w:r>
        <w:rPr>
          <w:rFonts w:eastAsia="仿宋_GB2312"/>
          <w:sz w:val="32"/>
          <w:szCs w:val="32"/>
        </w:rPr>
        <w:t>（二）公用经费30.88万元，主要包括：办公费、印刷费、水费、电费、邮电费、物业管理费、差旅费、维修(护)费、会议费、培训费、公务接待费、工会经费、福利费、其他交通费用、其他商品和服务支出。</w:t>
      </w:r>
    </w:p>
    <w:p>
      <w:pPr>
        <w:tabs>
          <w:tab w:val="center" w:pos="4475"/>
        </w:tabs>
        <w:adjustRightInd w:val="0"/>
        <w:snapToGrid w:val="0"/>
        <w:spacing w:line="560" w:lineRule="exact"/>
        <w:ind w:right="-218" w:rightChars="-104" w:firstLine="643" w:firstLineChars="200"/>
        <w:rPr>
          <w:rFonts w:eastAsia="黑体"/>
          <w:b/>
          <w:bCs/>
          <w:color w:val="000000"/>
          <w:kern w:val="0"/>
          <w:sz w:val="32"/>
          <w:szCs w:val="32"/>
        </w:rPr>
      </w:pPr>
      <w:r>
        <w:rPr>
          <w:rFonts w:eastAsia="黑体"/>
          <w:b/>
          <w:bCs/>
          <w:color w:val="000000"/>
          <w:kern w:val="0"/>
          <w:sz w:val="32"/>
          <w:szCs w:val="32"/>
        </w:rPr>
        <w:t>七、一般公共预算“三公”经费情况说明</w:t>
      </w:r>
    </w:p>
    <w:p>
      <w:pPr>
        <w:pStyle w:val="5"/>
        <w:spacing w:before="0" w:beforeAutospacing="0" w:after="0" w:afterAutospacing="0" w:line="560" w:lineRule="exact"/>
        <w:ind w:firstLine="640" w:firstLineChars="200"/>
        <w:jc w:val="both"/>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2022年一般公共预算安排的“三公”经费支出预算1.37万元，比2021年预算1.45万元，同比减少0.08万元，同比下降5.52%。其中：</w:t>
      </w:r>
    </w:p>
    <w:p>
      <w:pPr>
        <w:pStyle w:val="5"/>
        <w:spacing w:before="0" w:beforeAutospacing="0" w:after="0" w:afterAutospacing="0" w:line="560" w:lineRule="exact"/>
        <w:ind w:firstLine="640" w:firstLineChars="200"/>
        <w:jc w:val="both"/>
        <w:rPr>
          <w:rFonts w:ascii="Times New Roman" w:hAnsi="Times New Roman" w:eastAsia="仿宋_GB2312" w:cs="Times New Roman"/>
          <w:bCs/>
          <w:color w:val="000000"/>
          <w:sz w:val="32"/>
          <w:szCs w:val="32"/>
        </w:rPr>
      </w:pPr>
      <w:r>
        <w:rPr>
          <w:rFonts w:ascii="Times New Roman" w:hAnsi="Times New Roman" w:eastAsia="仿宋_GB2312" w:cs="Times New Roman"/>
          <w:kern w:val="2"/>
          <w:sz w:val="32"/>
          <w:szCs w:val="32"/>
        </w:rPr>
        <w:t>（一）</w:t>
      </w:r>
      <w:r>
        <w:rPr>
          <w:rFonts w:ascii="Times New Roman" w:hAnsi="Times New Roman" w:eastAsia="仿宋_GB2312" w:cs="Times New Roman"/>
          <w:bCs/>
          <w:color w:val="000000"/>
          <w:sz w:val="32"/>
          <w:szCs w:val="32"/>
        </w:rPr>
        <w:t>因公出国（境）经费2022年预算0万元，</w:t>
      </w:r>
      <w:r>
        <w:rPr>
          <w:rFonts w:ascii="Times New Roman" w:hAnsi="Times New Roman" w:eastAsia="仿宋_GB2312" w:cs="Times New Roman"/>
          <w:kern w:val="2"/>
          <w:sz w:val="32"/>
          <w:szCs w:val="32"/>
        </w:rPr>
        <w:t>同比上年持平</w:t>
      </w:r>
      <w:r>
        <w:rPr>
          <w:rFonts w:ascii="Times New Roman" w:hAnsi="Times New Roman" w:eastAsia="仿宋_GB2312" w:cs="Times New Roman"/>
          <w:bCs/>
          <w:color w:val="000000"/>
          <w:sz w:val="32"/>
          <w:szCs w:val="32"/>
        </w:rPr>
        <w:t>。</w:t>
      </w:r>
    </w:p>
    <w:p>
      <w:pPr>
        <w:pStyle w:val="5"/>
        <w:spacing w:before="0" w:beforeAutospacing="0" w:after="0" w:afterAutospacing="0" w:line="560" w:lineRule="exact"/>
        <w:ind w:firstLine="640" w:firstLineChars="200"/>
        <w:jc w:val="both"/>
        <w:rPr>
          <w:rFonts w:ascii="Times New Roman" w:hAnsi="Times New Roman" w:eastAsia="仿宋_GB2312" w:cs="Times New Roman"/>
          <w:bCs/>
          <w:color w:val="000000"/>
          <w:sz w:val="32"/>
          <w:szCs w:val="32"/>
        </w:rPr>
      </w:pPr>
      <w:r>
        <w:rPr>
          <w:rFonts w:ascii="Times New Roman" w:hAnsi="Times New Roman" w:eastAsia="仿宋_GB2312" w:cs="Times New Roman"/>
          <w:kern w:val="2"/>
          <w:sz w:val="32"/>
          <w:szCs w:val="32"/>
        </w:rPr>
        <w:t>（二）</w:t>
      </w:r>
      <w:r>
        <w:rPr>
          <w:rFonts w:ascii="Times New Roman" w:hAnsi="Times New Roman" w:eastAsia="仿宋_GB2312" w:cs="Times New Roman"/>
          <w:bCs/>
          <w:color w:val="000000"/>
          <w:sz w:val="32"/>
          <w:szCs w:val="32"/>
        </w:rPr>
        <w:t>公务接待费2022年预算1.37万元，同比减少0.08万元，同比下降5.52%，减少原因：</w:t>
      </w:r>
      <w:r>
        <w:rPr>
          <w:rFonts w:hint="eastAsia" w:ascii="Times New Roman" w:hAnsi="Times New Roman" w:eastAsia="仿宋_GB2312" w:cs="Times New Roman"/>
          <w:bCs/>
          <w:color w:val="000000"/>
          <w:sz w:val="32"/>
          <w:szCs w:val="32"/>
          <w:lang w:eastAsia="zh-CN"/>
        </w:rPr>
        <w:t>厉行节约</w:t>
      </w:r>
      <w:r>
        <w:rPr>
          <w:rFonts w:ascii="Times New Roman" w:hAnsi="Times New Roman" w:eastAsia="仿宋_GB2312" w:cs="Times New Roman"/>
          <w:bCs/>
          <w:color w:val="000000"/>
          <w:sz w:val="32"/>
          <w:szCs w:val="32"/>
        </w:rPr>
        <w:t xml:space="preserve">，严控“三公”经费增长。主要用于支付外来单位接待费用。                                           </w:t>
      </w:r>
    </w:p>
    <w:p>
      <w:pPr>
        <w:pStyle w:val="5"/>
        <w:spacing w:before="0" w:beforeAutospacing="0" w:after="0" w:afterAutospacing="0" w:line="560" w:lineRule="exact"/>
        <w:ind w:firstLine="640" w:firstLineChars="200"/>
        <w:jc w:val="both"/>
        <w:rPr>
          <w:rFonts w:ascii="Times New Roman" w:hAnsi="Times New Roman" w:eastAsia="仿宋_GB2312" w:cs="Times New Roman"/>
          <w:bCs/>
          <w:color w:val="000000"/>
          <w:sz w:val="32"/>
          <w:szCs w:val="32"/>
        </w:rPr>
      </w:pPr>
      <w:r>
        <w:rPr>
          <w:rFonts w:ascii="Times New Roman" w:hAnsi="Times New Roman" w:eastAsia="仿宋_GB2312" w:cs="Times New Roman"/>
          <w:bCs/>
          <w:sz w:val="32"/>
          <w:szCs w:val="32"/>
        </w:rPr>
        <w:t>（三）</w:t>
      </w:r>
      <w:r>
        <w:rPr>
          <w:rFonts w:ascii="Times New Roman" w:hAnsi="Times New Roman" w:eastAsia="仿宋_GB2312" w:cs="Times New Roman"/>
          <w:bCs/>
          <w:color w:val="000000"/>
          <w:sz w:val="32"/>
          <w:szCs w:val="32"/>
        </w:rPr>
        <w:t>公务用车购置及运行费2022年预算0万元，</w:t>
      </w:r>
      <w:r>
        <w:rPr>
          <w:rFonts w:ascii="Times New Roman" w:hAnsi="Times New Roman" w:eastAsia="仿宋_GB2312" w:cs="Times New Roman"/>
          <w:kern w:val="2"/>
          <w:sz w:val="32"/>
          <w:szCs w:val="32"/>
        </w:rPr>
        <w:t>同比上年持平</w:t>
      </w:r>
      <w:r>
        <w:rPr>
          <w:rFonts w:hint="eastAsia" w:ascii="Times New Roman" w:hAnsi="Times New Roman" w:eastAsia="仿宋_GB2312" w:cs="Times New Roman"/>
          <w:bCs/>
          <w:color w:val="000000"/>
          <w:sz w:val="32"/>
          <w:szCs w:val="32"/>
        </w:rPr>
        <w:t>，</w:t>
      </w:r>
      <w:r>
        <w:rPr>
          <w:rFonts w:ascii="Times New Roman" w:hAnsi="Times New Roman" w:eastAsia="仿宋_GB2312" w:cs="Times New Roman"/>
          <w:bCs/>
          <w:color w:val="000000"/>
          <w:sz w:val="32"/>
          <w:szCs w:val="32"/>
        </w:rPr>
        <w:t>其中：</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bCs/>
          <w:color w:val="000000"/>
          <w:sz w:val="32"/>
          <w:szCs w:val="32"/>
        </w:rPr>
        <w:t>1.公务用车购置费2021年预算0万元，</w:t>
      </w:r>
      <w:r>
        <w:rPr>
          <w:rFonts w:ascii="Times New Roman" w:hAnsi="Times New Roman" w:eastAsia="仿宋_GB2312" w:cs="Times New Roman"/>
          <w:kern w:val="2"/>
          <w:sz w:val="32"/>
          <w:szCs w:val="32"/>
        </w:rPr>
        <w:t>同比2022年预算持平。</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bCs/>
          <w:color w:val="000000"/>
          <w:sz w:val="32"/>
          <w:szCs w:val="32"/>
        </w:rPr>
        <w:t>2.公务用车运行维护费2021年预算0万元，</w:t>
      </w:r>
      <w:r>
        <w:rPr>
          <w:rFonts w:ascii="Times New Roman" w:hAnsi="Times New Roman" w:eastAsia="仿宋_GB2312" w:cs="Times New Roman"/>
          <w:kern w:val="2"/>
          <w:sz w:val="32"/>
          <w:szCs w:val="32"/>
        </w:rPr>
        <w:t>同比2022年预算持平。</w:t>
      </w:r>
    </w:p>
    <w:p>
      <w:pPr>
        <w:pStyle w:val="5"/>
        <w:spacing w:before="0" w:beforeAutospacing="0" w:after="0" w:afterAutospacing="0" w:line="560" w:lineRule="exact"/>
        <w:ind w:firstLine="643" w:firstLineChars="200"/>
        <w:jc w:val="both"/>
        <w:rPr>
          <w:rFonts w:ascii="Times New Roman" w:hAnsi="Times New Roman" w:eastAsia="黑体" w:cs="Times New Roman"/>
          <w:b/>
          <w:bCs/>
          <w:color w:val="000000"/>
          <w:sz w:val="32"/>
          <w:szCs w:val="32"/>
        </w:rPr>
      </w:pPr>
      <w:r>
        <w:rPr>
          <w:rFonts w:ascii="Times New Roman" w:hAnsi="Times New Roman" w:eastAsia="黑体" w:cs="Times New Roman"/>
          <w:b/>
          <w:bCs/>
          <w:color w:val="000000"/>
          <w:sz w:val="32"/>
          <w:szCs w:val="32"/>
        </w:rPr>
        <w:t>八、政府性基金预算情况说明</w:t>
      </w:r>
    </w:p>
    <w:p>
      <w:pPr>
        <w:tabs>
          <w:tab w:val="center" w:pos="4475"/>
        </w:tabs>
        <w:spacing w:line="560" w:lineRule="exact"/>
        <w:ind w:firstLine="640" w:firstLineChars="200"/>
        <w:rPr>
          <w:rFonts w:eastAsia="仿宋_GB2312"/>
          <w:sz w:val="32"/>
          <w:szCs w:val="32"/>
        </w:rPr>
      </w:pPr>
      <w:r>
        <w:rPr>
          <w:rFonts w:eastAsia="仿宋_GB2312"/>
          <w:sz w:val="32"/>
          <w:szCs w:val="32"/>
        </w:rPr>
        <w:t>2022年本单位无政府性基金预算支出安排。</w:t>
      </w:r>
    </w:p>
    <w:p>
      <w:pPr>
        <w:tabs>
          <w:tab w:val="center" w:pos="4475"/>
        </w:tabs>
        <w:spacing w:line="560" w:lineRule="exact"/>
        <w:ind w:firstLine="643" w:firstLineChars="200"/>
        <w:rPr>
          <w:rFonts w:eastAsia="黑体"/>
          <w:b/>
          <w:bCs/>
          <w:color w:val="000000"/>
          <w:kern w:val="0"/>
          <w:sz w:val="32"/>
          <w:szCs w:val="32"/>
        </w:rPr>
      </w:pPr>
      <w:r>
        <w:rPr>
          <w:rFonts w:eastAsia="黑体"/>
          <w:b/>
          <w:bCs/>
          <w:color w:val="000000"/>
          <w:kern w:val="0"/>
          <w:sz w:val="32"/>
          <w:szCs w:val="32"/>
        </w:rPr>
        <w:t>九、国有资本经营预算情况说明</w:t>
      </w:r>
    </w:p>
    <w:p>
      <w:pPr>
        <w:tabs>
          <w:tab w:val="center" w:pos="4475"/>
        </w:tabs>
        <w:spacing w:line="560" w:lineRule="exact"/>
        <w:ind w:firstLine="640" w:firstLineChars="200"/>
        <w:rPr>
          <w:rFonts w:eastAsia="仿宋_GB2312"/>
          <w:sz w:val="32"/>
          <w:szCs w:val="32"/>
        </w:rPr>
      </w:pPr>
      <w:r>
        <w:rPr>
          <w:rFonts w:eastAsia="仿宋_GB2312"/>
          <w:sz w:val="32"/>
          <w:szCs w:val="32"/>
        </w:rPr>
        <w:t>2022年本单位无国有资本经营预算支出安排。</w:t>
      </w:r>
    </w:p>
    <w:p>
      <w:pPr>
        <w:tabs>
          <w:tab w:val="center" w:pos="4475"/>
        </w:tabs>
        <w:spacing w:line="560" w:lineRule="exact"/>
        <w:ind w:firstLine="643" w:firstLineChars="200"/>
        <w:rPr>
          <w:rFonts w:eastAsia="黑体"/>
          <w:b/>
          <w:bCs/>
          <w:color w:val="000000"/>
          <w:kern w:val="0"/>
          <w:sz w:val="32"/>
          <w:szCs w:val="32"/>
        </w:rPr>
      </w:pPr>
      <w:r>
        <w:rPr>
          <w:rFonts w:eastAsia="黑体"/>
          <w:b/>
          <w:bCs/>
          <w:color w:val="000000"/>
          <w:kern w:val="0"/>
          <w:sz w:val="32"/>
          <w:szCs w:val="32"/>
        </w:rPr>
        <w:t>十、政府采购预算情况说明</w:t>
      </w:r>
    </w:p>
    <w:p>
      <w:pPr>
        <w:spacing w:line="560" w:lineRule="exact"/>
        <w:ind w:firstLine="640" w:firstLineChars="200"/>
        <w:rPr>
          <w:rFonts w:eastAsia="仿宋_GB2312"/>
          <w:bCs/>
          <w:color w:val="000000"/>
          <w:kern w:val="0"/>
          <w:sz w:val="32"/>
          <w:szCs w:val="32"/>
        </w:rPr>
      </w:pPr>
      <w:r>
        <w:rPr>
          <w:rFonts w:eastAsia="仿宋_GB2312"/>
          <w:bCs/>
          <w:color w:val="000000"/>
          <w:kern w:val="0"/>
          <w:sz w:val="32"/>
          <w:szCs w:val="32"/>
        </w:rPr>
        <w:t>2022年政府采购预算0万元，同比减少2.66万元，下降100%。</w:t>
      </w:r>
    </w:p>
    <w:p>
      <w:pPr>
        <w:spacing w:line="560" w:lineRule="exact"/>
        <w:ind w:firstLine="640" w:firstLineChars="200"/>
        <w:rPr>
          <w:rFonts w:eastAsia="仿宋_GB2312"/>
          <w:bCs/>
          <w:color w:val="000000"/>
          <w:kern w:val="0"/>
          <w:sz w:val="32"/>
          <w:szCs w:val="32"/>
        </w:rPr>
      </w:pPr>
      <w:r>
        <w:rPr>
          <w:rFonts w:eastAsia="仿宋_GB2312"/>
          <w:bCs/>
          <w:color w:val="000000"/>
          <w:kern w:val="0"/>
          <w:sz w:val="32"/>
          <w:szCs w:val="32"/>
        </w:rPr>
        <w:t>（一）按政府采购项目类型划分</w:t>
      </w:r>
    </w:p>
    <w:p>
      <w:pPr>
        <w:spacing w:line="560" w:lineRule="exact"/>
        <w:ind w:firstLine="640" w:firstLineChars="200"/>
        <w:rPr>
          <w:rFonts w:eastAsia="仿宋_GB2312"/>
          <w:bCs/>
          <w:color w:val="000000"/>
          <w:kern w:val="0"/>
          <w:sz w:val="32"/>
          <w:szCs w:val="32"/>
        </w:rPr>
      </w:pPr>
      <w:r>
        <w:rPr>
          <w:rFonts w:eastAsia="仿宋_GB2312"/>
          <w:bCs/>
          <w:color w:val="000000"/>
          <w:kern w:val="0"/>
          <w:sz w:val="32"/>
          <w:szCs w:val="32"/>
        </w:rPr>
        <w:t>政府集中采购预算0万元</w:t>
      </w:r>
      <w:r>
        <w:rPr>
          <w:rFonts w:hint="eastAsia" w:eastAsia="仿宋_GB2312"/>
          <w:bCs/>
          <w:color w:val="000000"/>
          <w:kern w:val="0"/>
          <w:sz w:val="32"/>
          <w:szCs w:val="32"/>
        </w:rPr>
        <w:t>，</w:t>
      </w:r>
      <w:r>
        <w:rPr>
          <w:rFonts w:eastAsia="仿宋_GB2312"/>
          <w:bCs/>
          <w:color w:val="000000"/>
          <w:kern w:val="0"/>
          <w:sz w:val="32"/>
          <w:szCs w:val="32"/>
        </w:rPr>
        <w:t>同比上年持平。</w:t>
      </w:r>
    </w:p>
    <w:p>
      <w:pPr>
        <w:spacing w:line="560" w:lineRule="exact"/>
        <w:ind w:firstLine="640" w:firstLineChars="200"/>
        <w:rPr>
          <w:rFonts w:eastAsia="仿宋_GB2312"/>
          <w:bCs/>
          <w:color w:val="000000"/>
          <w:kern w:val="0"/>
          <w:sz w:val="32"/>
          <w:szCs w:val="32"/>
        </w:rPr>
      </w:pPr>
      <w:r>
        <w:rPr>
          <w:rFonts w:eastAsia="仿宋_GB2312"/>
          <w:bCs/>
          <w:color w:val="000000"/>
          <w:kern w:val="0"/>
          <w:sz w:val="32"/>
          <w:szCs w:val="32"/>
        </w:rPr>
        <w:t>分散采购预算0万元，同比减少2.66万元，下降100%。</w:t>
      </w:r>
    </w:p>
    <w:p>
      <w:pPr>
        <w:spacing w:line="560" w:lineRule="exact"/>
        <w:ind w:firstLine="640" w:firstLineChars="200"/>
        <w:rPr>
          <w:rFonts w:eastAsia="仿宋_GB2312"/>
          <w:bCs/>
          <w:color w:val="000000"/>
          <w:kern w:val="0"/>
          <w:sz w:val="32"/>
          <w:szCs w:val="32"/>
        </w:rPr>
      </w:pPr>
      <w:r>
        <w:rPr>
          <w:rFonts w:eastAsia="仿宋_GB2312"/>
          <w:bCs/>
          <w:color w:val="000000"/>
          <w:kern w:val="0"/>
          <w:sz w:val="32"/>
          <w:szCs w:val="32"/>
        </w:rPr>
        <w:t>按政府采购项目类型分为货物类采购、工程类采购和服务类采购三种类型。货物类采购预算0万元，工程类采购预算0万元，服务类采购0万元。</w:t>
      </w:r>
    </w:p>
    <w:p>
      <w:pPr>
        <w:spacing w:line="560" w:lineRule="exact"/>
        <w:ind w:firstLine="640" w:firstLineChars="200"/>
        <w:rPr>
          <w:rFonts w:eastAsia="仿宋_GB2312"/>
          <w:sz w:val="32"/>
          <w:szCs w:val="32"/>
        </w:rPr>
      </w:pPr>
      <w:r>
        <w:rPr>
          <w:rFonts w:eastAsia="仿宋_GB2312"/>
          <w:bCs/>
          <w:color w:val="000000"/>
          <w:kern w:val="0"/>
          <w:sz w:val="32"/>
          <w:szCs w:val="32"/>
        </w:rPr>
        <w:t>（二）</w:t>
      </w:r>
      <w:r>
        <w:rPr>
          <w:rFonts w:eastAsia="仿宋_GB2312"/>
          <w:sz w:val="32"/>
          <w:szCs w:val="32"/>
        </w:rPr>
        <w:t>按政府采购资金来源划分</w:t>
      </w:r>
    </w:p>
    <w:p>
      <w:pPr>
        <w:tabs>
          <w:tab w:val="center" w:pos="4475"/>
        </w:tabs>
        <w:spacing w:line="560" w:lineRule="exact"/>
        <w:ind w:firstLine="640" w:firstLineChars="200"/>
        <w:rPr>
          <w:rFonts w:eastAsia="仿宋_GB2312"/>
          <w:sz w:val="32"/>
          <w:szCs w:val="32"/>
        </w:rPr>
      </w:pPr>
      <w:r>
        <w:rPr>
          <w:rFonts w:eastAsia="仿宋_GB2312"/>
          <w:sz w:val="32"/>
          <w:szCs w:val="32"/>
        </w:rPr>
        <w:t>2022年本单位无政府采购预算。</w:t>
      </w:r>
    </w:p>
    <w:p>
      <w:pPr>
        <w:tabs>
          <w:tab w:val="center" w:pos="4475"/>
        </w:tabs>
        <w:spacing w:line="560" w:lineRule="exact"/>
        <w:ind w:firstLine="643" w:firstLineChars="200"/>
        <w:rPr>
          <w:rFonts w:eastAsia="黑体"/>
          <w:b/>
          <w:bCs/>
          <w:color w:val="000000"/>
          <w:kern w:val="0"/>
          <w:sz w:val="32"/>
          <w:szCs w:val="32"/>
        </w:rPr>
      </w:pPr>
      <w:r>
        <w:rPr>
          <w:rFonts w:eastAsia="黑体"/>
          <w:b/>
          <w:bCs/>
          <w:color w:val="000000"/>
          <w:kern w:val="0"/>
          <w:sz w:val="32"/>
          <w:szCs w:val="32"/>
        </w:rPr>
        <w:t>十一、政府购买服务预算情况说明</w:t>
      </w:r>
    </w:p>
    <w:p>
      <w:pPr>
        <w:pStyle w:val="5"/>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2022年本单位无政府购买服务预算。</w:t>
      </w:r>
    </w:p>
    <w:p>
      <w:pPr>
        <w:pStyle w:val="5"/>
        <w:spacing w:before="0" w:beforeAutospacing="0" w:after="0" w:afterAutospacing="0" w:line="560" w:lineRule="exact"/>
        <w:ind w:firstLine="643" w:firstLineChars="200"/>
        <w:jc w:val="both"/>
        <w:rPr>
          <w:rFonts w:ascii="Times New Roman" w:hAnsi="Times New Roman" w:eastAsia="黑体" w:cs="Times New Roman"/>
          <w:b/>
          <w:bCs/>
          <w:color w:val="000000"/>
          <w:sz w:val="32"/>
          <w:szCs w:val="32"/>
        </w:rPr>
      </w:pPr>
      <w:r>
        <w:rPr>
          <w:rFonts w:ascii="Times New Roman" w:hAnsi="Times New Roman" w:eastAsia="黑体" w:cs="Times New Roman"/>
          <w:b/>
          <w:bCs/>
          <w:color w:val="000000"/>
          <w:sz w:val="32"/>
          <w:szCs w:val="32"/>
        </w:rPr>
        <w:t>十二、2022年单位预算其他</w:t>
      </w:r>
      <w:r>
        <w:rPr>
          <w:rFonts w:ascii="Times New Roman" w:hAnsi="Times New Roman" w:eastAsia="黑体" w:cs="Times New Roman"/>
          <w:b/>
          <w:bCs/>
          <w:strike/>
          <w:color w:val="000000"/>
          <w:sz w:val="32"/>
          <w:szCs w:val="32"/>
        </w:rPr>
        <w:t>重要</w:t>
      </w:r>
      <w:r>
        <w:rPr>
          <w:rFonts w:ascii="Times New Roman" w:hAnsi="Times New Roman" w:eastAsia="黑体" w:cs="Times New Roman"/>
          <w:b/>
          <w:bCs/>
          <w:color w:val="000000"/>
          <w:sz w:val="32"/>
          <w:szCs w:val="32"/>
        </w:rPr>
        <w:t>事项情况说明</w:t>
      </w:r>
    </w:p>
    <w:p>
      <w:pPr>
        <w:tabs>
          <w:tab w:val="center" w:pos="4475"/>
        </w:tabs>
        <w:spacing w:line="560" w:lineRule="exact"/>
        <w:ind w:firstLine="645"/>
        <w:rPr>
          <w:rFonts w:eastAsia="仿宋_GB2312"/>
          <w:sz w:val="32"/>
          <w:szCs w:val="32"/>
          <w:highlight w:val="cyan"/>
        </w:rPr>
      </w:pPr>
      <w:r>
        <w:rPr>
          <w:rFonts w:eastAsia="楷体_GB2312"/>
          <w:b/>
          <w:color w:val="000000"/>
          <w:sz w:val="32"/>
          <w:szCs w:val="32"/>
        </w:rPr>
        <w:t>（一）机关运行经费安排情况说明</w:t>
      </w:r>
    </w:p>
    <w:p>
      <w:pPr>
        <w:spacing w:line="560" w:lineRule="exact"/>
        <w:ind w:firstLine="640" w:firstLineChars="200"/>
        <w:rPr>
          <w:rFonts w:eastAsia="仿宋_GB2312"/>
          <w:bCs/>
          <w:color w:val="000000"/>
          <w:kern w:val="0"/>
          <w:sz w:val="32"/>
          <w:szCs w:val="32"/>
        </w:rPr>
      </w:pPr>
      <w:r>
        <w:rPr>
          <w:rFonts w:eastAsia="仿宋_GB2312"/>
          <w:bCs/>
          <w:color w:val="000000"/>
          <w:kern w:val="0"/>
          <w:sz w:val="32"/>
          <w:szCs w:val="32"/>
        </w:rPr>
        <w:t>2022年行政运行预算17.24万元，同比减少3.53万元，同比下降17%，主要用于保障单位运行购买货物和服务。行政运行经费减少的原因</w:t>
      </w:r>
      <w:r>
        <w:rPr>
          <w:rFonts w:hint="eastAsia" w:eastAsia="仿宋_GB2312"/>
          <w:bCs/>
          <w:color w:val="000000"/>
          <w:kern w:val="0"/>
          <w:sz w:val="32"/>
          <w:szCs w:val="32"/>
        </w:rPr>
        <w:t>：</w:t>
      </w:r>
      <w:r>
        <w:rPr>
          <w:rFonts w:eastAsia="仿宋_GB2312"/>
          <w:bCs/>
          <w:color w:val="000000"/>
          <w:kern w:val="0"/>
          <w:sz w:val="32"/>
          <w:szCs w:val="32"/>
        </w:rPr>
        <w:t>由于在编人员减少，日常公用经费减少。</w:t>
      </w:r>
    </w:p>
    <w:p>
      <w:pPr>
        <w:pStyle w:val="5"/>
        <w:spacing w:before="0" w:beforeAutospacing="0" w:after="0" w:afterAutospacing="0" w:line="560" w:lineRule="exact"/>
        <w:ind w:firstLine="643" w:firstLineChars="200"/>
        <w:jc w:val="both"/>
        <w:rPr>
          <w:rFonts w:ascii="Times New Roman" w:hAnsi="Times New Roman" w:eastAsia="楷体_GB2312" w:cs="Times New Roman"/>
          <w:b/>
          <w:color w:val="000000"/>
          <w:sz w:val="32"/>
          <w:szCs w:val="32"/>
        </w:rPr>
      </w:pPr>
      <w:r>
        <w:rPr>
          <w:rFonts w:ascii="Times New Roman" w:hAnsi="Times New Roman" w:eastAsia="楷体_GB2312" w:cs="Times New Roman"/>
          <w:b/>
          <w:color w:val="000000"/>
          <w:sz w:val="32"/>
          <w:szCs w:val="32"/>
        </w:rPr>
        <w:t>（二）国有资产占用情况说明</w:t>
      </w:r>
    </w:p>
    <w:p>
      <w:pPr>
        <w:tabs>
          <w:tab w:val="center" w:pos="4475"/>
        </w:tabs>
        <w:spacing w:line="560" w:lineRule="exact"/>
        <w:ind w:firstLine="645"/>
        <w:rPr>
          <w:rFonts w:eastAsia="仿宋_GB2312"/>
          <w:sz w:val="32"/>
          <w:szCs w:val="32"/>
        </w:rPr>
      </w:pPr>
      <w:r>
        <w:rPr>
          <w:rFonts w:eastAsia="仿宋_GB2312"/>
          <w:sz w:val="32"/>
          <w:szCs w:val="32"/>
        </w:rPr>
        <w:t>2022年本单位无国有资产占用情况。</w:t>
      </w:r>
    </w:p>
    <w:p>
      <w:pPr>
        <w:tabs>
          <w:tab w:val="center" w:pos="4475"/>
        </w:tabs>
        <w:spacing w:line="560" w:lineRule="exact"/>
        <w:ind w:firstLine="645"/>
        <w:rPr>
          <w:rFonts w:eastAsia="楷体_GB2312"/>
          <w:b/>
          <w:color w:val="000000"/>
          <w:sz w:val="32"/>
          <w:szCs w:val="32"/>
        </w:rPr>
      </w:pPr>
      <w:r>
        <w:rPr>
          <w:rFonts w:eastAsia="楷体_GB2312"/>
          <w:b/>
          <w:color w:val="000000"/>
          <w:sz w:val="32"/>
          <w:szCs w:val="32"/>
        </w:rPr>
        <w:t>（三）200万元以上项目预算绩效情况说明</w:t>
      </w:r>
    </w:p>
    <w:p>
      <w:pPr>
        <w:spacing w:line="560" w:lineRule="exact"/>
        <w:ind w:firstLine="640" w:firstLineChars="200"/>
        <w:rPr>
          <w:rFonts w:eastAsia="仿宋_GB2312"/>
          <w:sz w:val="32"/>
          <w:szCs w:val="32"/>
        </w:rPr>
      </w:pPr>
      <w:r>
        <w:rPr>
          <w:rFonts w:eastAsia="仿宋_GB2312"/>
          <w:sz w:val="32"/>
          <w:szCs w:val="32"/>
        </w:rPr>
        <w:t>2022年本单位无200万元以上项目预算情况。</w:t>
      </w:r>
    </w:p>
    <w:p>
      <w:pPr>
        <w:pStyle w:val="5"/>
        <w:spacing w:before="0" w:beforeAutospacing="0" w:after="0" w:afterAutospacing="0" w:line="560" w:lineRule="exact"/>
        <w:jc w:val="both"/>
        <w:rPr>
          <w:rFonts w:ascii="Times New Roman" w:hAnsi="Times New Roman" w:eastAsia="仿宋_GB2312" w:cs="Times New Roman"/>
          <w:b/>
          <w:bCs/>
          <w:color w:val="000000"/>
          <w:sz w:val="32"/>
          <w:szCs w:val="32"/>
        </w:rPr>
      </w:pPr>
    </w:p>
    <w:p>
      <w:pPr>
        <w:adjustRightInd w:val="0"/>
        <w:snapToGrid w:val="0"/>
        <w:spacing w:line="560" w:lineRule="exact"/>
        <w:ind w:right="-218" w:rightChars="-104"/>
        <w:jc w:val="center"/>
        <w:rPr>
          <w:rStyle w:val="8"/>
          <w:rFonts w:eastAsia="仿宋_GB2312"/>
          <w:color w:val="000000"/>
          <w:sz w:val="32"/>
          <w:szCs w:val="32"/>
        </w:rPr>
      </w:pPr>
      <w:r>
        <w:rPr>
          <w:rStyle w:val="8"/>
          <w:rFonts w:eastAsia="仿宋_GB2312"/>
          <w:color w:val="000000"/>
          <w:sz w:val="32"/>
          <w:szCs w:val="32"/>
        </w:rPr>
        <w:t>第四部分：名词解释</w:t>
      </w:r>
    </w:p>
    <w:p>
      <w:pPr>
        <w:spacing w:line="560" w:lineRule="exact"/>
        <w:ind w:firstLine="643" w:firstLineChars="200"/>
        <w:rPr>
          <w:rFonts w:eastAsia="仿宋_GB2312"/>
          <w:bCs/>
          <w:color w:val="000000"/>
          <w:kern w:val="0"/>
          <w:sz w:val="32"/>
          <w:szCs w:val="32"/>
        </w:rPr>
      </w:pPr>
      <w:r>
        <w:rPr>
          <w:rFonts w:eastAsia="黑体"/>
          <w:b/>
          <w:bCs/>
          <w:color w:val="000000"/>
          <w:kern w:val="0"/>
          <w:sz w:val="32"/>
          <w:szCs w:val="32"/>
        </w:rPr>
        <w:t>一、财政拨款收入</w:t>
      </w:r>
      <w:r>
        <w:rPr>
          <w:rFonts w:eastAsia="仿宋_GB2312"/>
          <w:bCs/>
          <w:color w:val="000000"/>
          <w:kern w:val="0"/>
          <w:sz w:val="32"/>
          <w:szCs w:val="32"/>
        </w:rPr>
        <w:t xml:space="preserve">：指市本级财政部门当年拨付的资金。 </w:t>
      </w:r>
    </w:p>
    <w:p>
      <w:pPr>
        <w:spacing w:line="560" w:lineRule="exact"/>
        <w:ind w:firstLine="643" w:firstLineChars="200"/>
        <w:rPr>
          <w:rFonts w:eastAsia="仿宋_GB2312"/>
          <w:bCs/>
          <w:color w:val="000000"/>
          <w:kern w:val="0"/>
          <w:sz w:val="32"/>
          <w:szCs w:val="32"/>
        </w:rPr>
      </w:pPr>
      <w:r>
        <w:rPr>
          <w:rFonts w:eastAsia="黑体"/>
          <w:b/>
          <w:bCs/>
          <w:color w:val="000000"/>
          <w:kern w:val="0"/>
          <w:sz w:val="32"/>
          <w:szCs w:val="32"/>
        </w:rPr>
        <w:t>二、基本支出</w:t>
      </w:r>
      <w:r>
        <w:rPr>
          <w:rFonts w:eastAsia="仿宋_GB2312"/>
          <w:bCs/>
          <w:color w:val="000000"/>
          <w:kern w:val="0"/>
          <w:sz w:val="32"/>
          <w:szCs w:val="32"/>
        </w:rPr>
        <w:t>：指为保障机构正常运转、完成日常工作任务而发生的人员支出和公用支出。</w:t>
      </w:r>
    </w:p>
    <w:p>
      <w:pPr>
        <w:spacing w:line="560" w:lineRule="exact"/>
        <w:ind w:firstLine="643" w:firstLineChars="200"/>
        <w:rPr>
          <w:rFonts w:eastAsia="仿宋_GB2312"/>
          <w:bCs/>
          <w:color w:val="000000"/>
          <w:kern w:val="0"/>
          <w:sz w:val="32"/>
          <w:szCs w:val="32"/>
        </w:rPr>
      </w:pPr>
      <w:r>
        <w:rPr>
          <w:rFonts w:eastAsia="黑体"/>
          <w:b/>
          <w:bCs/>
          <w:color w:val="000000"/>
          <w:kern w:val="0"/>
          <w:sz w:val="32"/>
          <w:szCs w:val="32"/>
        </w:rPr>
        <w:t>三、项目支出</w:t>
      </w:r>
      <w:r>
        <w:rPr>
          <w:rFonts w:eastAsia="仿宋_GB2312"/>
          <w:bCs/>
          <w:color w:val="000000"/>
          <w:kern w:val="0"/>
          <w:sz w:val="32"/>
          <w:szCs w:val="32"/>
        </w:rPr>
        <w:t xml:space="preserve">：指在基本支出之外为完成特定行政任务和事业发展目标所发生的支出。  </w:t>
      </w:r>
    </w:p>
    <w:p>
      <w:pPr>
        <w:spacing w:line="560" w:lineRule="exact"/>
        <w:ind w:firstLine="643" w:firstLineChars="200"/>
        <w:rPr>
          <w:rFonts w:eastAsia="仿宋_GB2312"/>
          <w:bCs/>
          <w:color w:val="000000"/>
          <w:kern w:val="0"/>
          <w:sz w:val="32"/>
          <w:szCs w:val="32"/>
        </w:rPr>
      </w:pPr>
      <w:r>
        <w:rPr>
          <w:rFonts w:eastAsia="黑体"/>
          <w:b/>
          <w:bCs/>
          <w:color w:val="000000"/>
          <w:kern w:val="0"/>
          <w:sz w:val="32"/>
          <w:szCs w:val="32"/>
        </w:rPr>
        <w:t>四、“三公”经费</w:t>
      </w:r>
      <w:r>
        <w:rPr>
          <w:rFonts w:eastAsia="仿宋_GB2312"/>
          <w:bCs/>
          <w:color w:val="000000"/>
          <w:kern w:val="0"/>
          <w:sz w:val="32"/>
          <w:szCs w:val="32"/>
        </w:rPr>
        <w:t>：纳入市财政预决算管理的“三公”经费，是指市</w:t>
      </w:r>
      <w:r>
        <w:rPr>
          <w:rFonts w:eastAsia="仿宋_GB2312"/>
          <w:sz w:val="32"/>
          <w:szCs w:val="32"/>
        </w:rPr>
        <w:t>本级各部门用财政拨款安排的因公出国（境）费、公务用车购置及运行费和公务接待费。</w:t>
      </w:r>
      <w:r>
        <w:rPr>
          <w:rFonts w:eastAsia="仿宋_GB2312"/>
          <w:bCs/>
          <w:color w:val="000000"/>
          <w:kern w:val="0"/>
          <w:sz w:val="32"/>
          <w:szCs w:val="32"/>
        </w:rPr>
        <w:t>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643" w:firstLineChars="200"/>
        <w:rPr>
          <w:rFonts w:eastAsia="仿宋_GB2312"/>
          <w:color w:val="FF0000"/>
          <w:sz w:val="32"/>
          <w:szCs w:val="32"/>
        </w:rPr>
      </w:pPr>
      <w:r>
        <w:rPr>
          <w:rFonts w:eastAsia="黑体"/>
          <w:b/>
          <w:bCs/>
          <w:color w:val="000000"/>
          <w:kern w:val="0"/>
          <w:sz w:val="32"/>
          <w:szCs w:val="32"/>
        </w:rPr>
        <w:t>五、机关运行经费</w:t>
      </w:r>
      <w:r>
        <w:rPr>
          <w:rFonts w:eastAsia="仿宋_GB2312"/>
          <w:bCs/>
          <w:color w:val="000000"/>
          <w:kern w:val="0"/>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640" w:firstLineChars="200"/>
        <w:rPr>
          <w:rFonts w:eastAsia="仿宋_GB2312"/>
          <w:color w:val="FF0000"/>
          <w:sz w:val="32"/>
          <w:szCs w:val="32"/>
        </w:rPr>
      </w:pP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4</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IzNWNhYzUwOTIyNDg3NzlkMWVjMGY4YWE5OGZhZDMifQ=="/>
  </w:docVars>
  <w:rsids>
    <w:rsidRoot w:val="60BA7E18"/>
    <w:rsid w:val="00006CDD"/>
    <w:rsid w:val="00014A7C"/>
    <w:rsid w:val="000A095E"/>
    <w:rsid w:val="000C00C0"/>
    <w:rsid w:val="000D78DB"/>
    <w:rsid w:val="00167A19"/>
    <w:rsid w:val="00194257"/>
    <w:rsid w:val="002609FF"/>
    <w:rsid w:val="002660FF"/>
    <w:rsid w:val="003067CC"/>
    <w:rsid w:val="00311E59"/>
    <w:rsid w:val="00396D5B"/>
    <w:rsid w:val="00436938"/>
    <w:rsid w:val="005549CC"/>
    <w:rsid w:val="005B525E"/>
    <w:rsid w:val="006310CE"/>
    <w:rsid w:val="00661B9D"/>
    <w:rsid w:val="00797B9C"/>
    <w:rsid w:val="007A5415"/>
    <w:rsid w:val="007B4BFF"/>
    <w:rsid w:val="007B50D9"/>
    <w:rsid w:val="007C093C"/>
    <w:rsid w:val="007D675D"/>
    <w:rsid w:val="00904A0B"/>
    <w:rsid w:val="00922246"/>
    <w:rsid w:val="00936079"/>
    <w:rsid w:val="00A0196F"/>
    <w:rsid w:val="00A545DB"/>
    <w:rsid w:val="00A867D4"/>
    <w:rsid w:val="00A91475"/>
    <w:rsid w:val="00A976E6"/>
    <w:rsid w:val="00BC514A"/>
    <w:rsid w:val="00C109E8"/>
    <w:rsid w:val="00C728D7"/>
    <w:rsid w:val="00C73A76"/>
    <w:rsid w:val="00C97D63"/>
    <w:rsid w:val="00CE5464"/>
    <w:rsid w:val="00CF31F9"/>
    <w:rsid w:val="00DD08A6"/>
    <w:rsid w:val="00E120ED"/>
    <w:rsid w:val="00EA76A4"/>
    <w:rsid w:val="00EC0739"/>
    <w:rsid w:val="00F0736F"/>
    <w:rsid w:val="00F80558"/>
    <w:rsid w:val="00F83A61"/>
    <w:rsid w:val="00FB5BCE"/>
    <w:rsid w:val="1A4D5C69"/>
    <w:rsid w:val="1B09184B"/>
    <w:rsid w:val="292E6828"/>
    <w:rsid w:val="51A111EE"/>
    <w:rsid w:val="59C36591"/>
    <w:rsid w:val="5A87246F"/>
    <w:rsid w:val="60BA7E18"/>
    <w:rsid w:val="70E72DC5"/>
    <w:rsid w:val="78D30A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b/>
      <w:bCs/>
    </w:rPr>
  </w:style>
  <w:style w:type="character" w:styleId="9">
    <w:name w:val="page number"/>
    <w:basedOn w:val="7"/>
    <w:qFormat/>
    <w:uiPriority w:val="0"/>
  </w:style>
  <w:style w:type="character" w:customStyle="1" w:styleId="10">
    <w:name w:val="批注框文本 Char"/>
    <w:basedOn w:val="7"/>
    <w:link w:val="2"/>
    <w:uiPriority w:val="0"/>
    <w:rPr>
      <w:kern w:val="2"/>
      <w:sz w:val="18"/>
      <w:szCs w:val="18"/>
    </w:rPr>
  </w:style>
  <w:style w:type="character" w:customStyle="1" w:styleId="11">
    <w:name w:val="页眉 Char"/>
    <w:basedOn w:val="7"/>
    <w:link w:val="4"/>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3549</Words>
  <Characters>3992</Characters>
  <Lines>29</Lines>
  <Paragraphs>8</Paragraphs>
  <TotalTime>120</TotalTime>
  <ScaleCrop>false</ScaleCrop>
  <LinksUpToDate>false</LinksUpToDate>
  <CharactersWithSpaces>4041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2022-09-02T07:11:00Z</dcterms:created>
  <dc:creator>黄柳淋</dc:creator>
  <cp:lastModifiedBy>ちひろ</cp:lastModifiedBy>
  <dcterms:modified xsi:type="dcterms:W3CDTF">2023-05-06T06:56:11Z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8315D2772799409E903E31CA84718B92_12</vt:lpwstr>
  </property>
</Properties>
</file>