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华文仿宋" w:eastAsia="方正小标宋简体"/>
          <w:sz w:val="44"/>
          <w:szCs w:val="44"/>
          <w:lang w:val="en-US" w:eastAsia="zh-CN"/>
        </w:rPr>
      </w:pPr>
      <w:r>
        <w:rPr>
          <w:rFonts w:hint="eastAsia" w:ascii="方正小标宋简体" w:hAnsi="华文仿宋" w:eastAsia="方正小标宋简体"/>
          <w:sz w:val="44"/>
          <w:szCs w:val="44"/>
          <w:lang w:val="en-US" w:eastAsia="zh-CN"/>
        </w:rPr>
        <w:t xml:space="preserve">117003 柳州市鱼峰区人民法院 </w:t>
      </w:r>
    </w:p>
    <w:p>
      <w:pPr>
        <w:keepNext w:val="0"/>
        <w:keepLines w:val="0"/>
        <w:pageBreakBefore w:val="0"/>
        <w:kinsoku/>
        <w:wordWrap/>
        <w:overflowPunct/>
        <w:topLinePunct w:val="0"/>
        <w:autoSpaceDE/>
        <w:autoSpaceDN/>
        <w:bidi w:val="0"/>
        <w:spacing w:line="560" w:lineRule="exact"/>
        <w:jc w:val="center"/>
        <w:textAlignment w:val="auto"/>
        <w:rPr>
          <w:rFonts w:hint="eastAsia" w:ascii="方正小标宋简体" w:hAnsi="华文仿宋" w:eastAsia="方正小标宋简体"/>
          <w:sz w:val="44"/>
          <w:szCs w:val="44"/>
          <w:lang w:eastAsia="zh-CN"/>
        </w:rPr>
      </w:pPr>
      <w:r>
        <w:rPr>
          <w:rFonts w:hint="eastAsia" w:ascii="方正小标宋简体" w:hAnsi="华文仿宋" w:eastAsia="方正小标宋简体"/>
          <w:sz w:val="44"/>
          <w:szCs w:val="44"/>
          <w:lang w:val="en-US" w:eastAsia="zh-CN"/>
        </w:rPr>
        <w:t>2022年</w:t>
      </w:r>
      <w:r>
        <w:rPr>
          <w:rFonts w:hint="eastAsia" w:ascii="方正小标宋简体" w:hAnsi="华文仿宋" w:eastAsia="方正小标宋简体"/>
          <w:sz w:val="44"/>
          <w:szCs w:val="44"/>
        </w:rPr>
        <w:t>预算</w:t>
      </w:r>
      <w:r>
        <w:rPr>
          <w:rFonts w:hint="eastAsia" w:ascii="方正小标宋简体" w:hAnsi="华文仿宋" w:eastAsia="方正小标宋简体"/>
          <w:sz w:val="44"/>
          <w:szCs w:val="44"/>
          <w:lang w:eastAsia="zh-CN"/>
        </w:rPr>
        <w:t>公开说明</w:t>
      </w:r>
    </w:p>
    <w:p>
      <w:pPr>
        <w:keepNext w:val="0"/>
        <w:keepLines w:val="0"/>
        <w:pageBreakBefore w:val="0"/>
        <w:kinsoku/>
        <w:wordWrap/>
        <w:overflowPunct/>
        <w:topLinePunct w:val="0"/>
        <w:autoSpaceDE/>
        <w:autoSpaceDN/>
        <w:bidi w:val="0"/>
        <w:spacing w:line="560" w:lineRule="exact"/>
        <w:jc w:val="both"/>
        <w:textAlignment w:val="auto"/>
        <w:rPr>
          <w:rFonts w:hint="eastAsia" w:ascii="方正小标宋简体" w:hAnsi="华文仿宋" w:eastAsia="方正小标宋简体"/>
          <w:sz w:val="44"/>
          <w:szCs w:val="44"/>
        </w:rPr>
      </w:pPr>
      <w:bookmarkStart w:id="0" w:name="_GoBack"/>
      <w:bookmarkEnd w:id="0"/>
    </w:p>
    <w:p>
      <w:pPr>
        <w:keepNext w:val="0"/>
        <w:keepLines w:val="0"/>
        <w:pageBreakBefore w:val="0"/>
        <w:kinsoku/>
        <w:wordWrap/>
        <w:overflowPunct/>
        <w:topLinePunct w:val="0"/>
        <w:autoSpaceDE/>
        <w:autoSpaceDN/>
        <w:bidi w:val="0"/>
        <w:spacing w:line="560" w:lineRule="exact"/>
        <w:jc w:val="center"/>
        <w:textAlignment w:val="auto"/>
        <w:rPr>
          <w:rStyle w:val="6"/>
          <w:rFonts w:hint="eastAsia" w:ascii="方正小标宋简体" w:hAnsi="华文仿宋" w:eastAsia="方正小标宋简体"/>
          <w:bCs w:val="0"/>
          <w:sz w:val="44"/>
          <w:szCs w:val="44"/>
        </w:rPr>
      </w:pPr>
      <w:r>
        <w:rPr>
          <w:rStyle w:val="6"/>
          <w:rFonts w:hint="eastAsia" w:ascii="方正小标宋简体" w:hAnsi="华文仿宋" w:eastAsia="方正小标宋简体"/>
          <w:bCs w:val="0"/>
          <w:sz w:val="44"/>
          <w:szCs w:val="44"/>
        </w:rPr>
        <w:t>目 录</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第一部分：</w:t>
      </w:r>
      <w:r>
        <w:rPr>
          <w:rFonts w:hint="eastAsia" w:ascii="仿宋_GB2312" w:hAnsi="华文仿宋" w:eastAsia="仿宋_GB2312"/>
          <w:b/>
          <w:bCs/>
          <w:color w:val="000000"/>
          <w:sz w:val="32"/>
          <w:szCs w:val="32"/>
          <w:lang w:val="en-US" w:eastAsia="zh-CN"/>
        </w:rPr>
        <w:t>柳州市鱼峰区人民法院单位</w:t>
      </w:r>
      <w:r>
        <w:rPr>
          <w:rFonts w:hint="eastAsia" w:ascii="仿宋_GB2312" w:hAnsi="华文仿宋" w:eastAsia="仿宋_GB2312"/>
          <w:b/>
          <w:bCs/>
          <w:color w:val="000000"/>
          <w:sz w:val="32"/>
          <w:szCs w:val="32"/>
        </w:rPr>
        <w:t>概况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一、主要职责</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二、机构设置情况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第二部分：</w:t>
      </w:r>
      <w:r>
        <w:rPr>
          <w:rFonts w:hint="eastAsia" w:ascii="仿宋_GB2312" w:hAnsi="华文仿宋" w:eastAsia="仿宋_GB2312"/>
          <w:b/>
          <w:bCs/>
          <w:color w:val="000000"/>
          <w:sz w:val="32"/>
          <w:szCs w:val="32"/>
          <w:lang w:val="en-US" w:eastAsia="zh-CN"/>
        </w:rPr>
        <w:t>柳州市鱼峰区人民法院</w:t>
      </w:r>
      <w:r>
        <w:rPr>
          <w:rFonts w:hint="eastAsia" w:ascii="仿宋_GB2312" w:hAnsi="华文仿宋" w:eastAsia="仿宋_GB2312"/>
          <w:b/>
          <w:bCs/>
          <w:color w:val="000000"/>
          <w:sz w:val="32"/>
          <w:szCs w:val="32"/>
          <w:lang w:eastAsia="zh-CN"/>
        </w:rPr>
        <w:t>2022</w:t>
      </w:r>
      <w:r>
        <w:rPr>
          <w:rFonts w:hint="eastAsia" w:ascii="仿宋_GB2312" w:hAnsi="华文仿宋" w:eastAsia="仿宋_GB2312"/>
          <w:b/>
          <w:bCs/>
          <w:color w:val="000000"/>
          <w:sz w:val="32"/>
          <w:szCs w:val="32"/>
        </w:rPr>
        <w:t>年预算</w:t>
      </w:r>
      <w:r>
        <w:rPr>
          <w:rFonts w:hint="eastAsia" w:ascii="仿宋_GB2312" w:hAnsi="华文仿宋" w:eastAsia="仿宋_GB2312"/>
          <w:b/>
          <w:bCs/>
          <w:color w:val="000000"/>
          <w:sz w:val="32"/>
          <w:szCs w:val="32"/>
          <w:lang w:eastAsia="zh-CN"/>
        </w:rPr>
        <w:t>报</w:t>
      </w:r>
      <w:r>
        <w:rPr>
          <w:rFonts w:hint="eastAsia" w:ascii="仿宋_GB2312" w:hAnsi="华文仿宋" w:eastAsia="仿宋_GB2312"/>
          <w:b/>
          <w:bCs/>
          <w:color w:val="000000"/>
          <w:sz w:val="32"/>
          <w:szCs w:val="32"/>
        </w:rPr>
        <w:t>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九、政府采购预算表（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十、政府购买服务表（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第三部分：</w:t>
      </w:r>
      <w:r>
        <w:rPr>
          <w:rFonts w:hint="eastAsia" w:ascii="仿宋_GB2312" w:hAnsi="华文仿宋" w:eastAsia="仿宋_GB2312"/>
          <w:b/>
          <w:bCs/>
          <w:color w:val="000000"/>
          <w:sz w:val="32"/>
          <w:szCs w:val="32"/>
          <w:lang w:val="en-US" w:eastAsia="zh-CN"/>
        </w:rPr>
        <w:t>柳州市鱼峰区人民法院2022年</w:t>
      </w:r>
      <w:r>
        <w:rPr>
          <w:rFonts w:hint="eastAsia" w:ascii="仿宋_GB2312" w:hAnsi="华文仿宋" w:eastAsia="仿宋_GB2312"/>
          <w:b/>
          <w:bCs/>
          <w:color w:val="000000"/>
          <w:sz w:val="32"/>
          <w:szCs w:val="32"/>
        </w:rPr>
        <w:t>预算</w:t>
      </w:r>
      <w:r>
        <w:rPr>
          <w:rFonts w:hint="eastAsia" w:ascii="仿宋_GB2312" w:hAnsi="华文仿宋" w:eastAsia="仿宋_GB2312"/>
          <w:b/>
          <w:bCs/>
          <w:color w:val="000000"/>
          <w:sz w:val="32"/>
          <w:szCs w:val="32"/>
          <w:lang w:eastAsia="zh-CN"/>
        </w:rPr>
        <w:t>情况</w:t>
      </w:r>
      <w:r>
        <w:rPr>
          <w:rFonts w:hint="eastAsia" w:ascii="仿宋_GB2312" w:hAnsi="华文仿宋" w:eastAsia="仿宋_GB2312"/>
          <w:b/>
          <w:bCs/>
          <w:color w:val="000000"/>
          <w:sz w:val="32"/>
          <w:szCs w:val="32"/>
        </w:rPr>
        <w:t>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第四部分：名词解释</w:t>
      </w: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Style w:val="6"/>
          <w:rFonts w:hint="eastAsia" w:ascii="仿宋_GB2312" w:hAnsi="华文仿宋" w:eastAsia="仿宋_GB2312"/>
          <w:color w:val="000000"/>
          <w:sz w:val="32"/>
          <w:szCs w:val="32"/>
          <w:highlight w:val="yellow"/>
        </w:rPr>
      </w:pP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Fonts w:hint="eastAsia" w:ascii="仿宋_GB2312" w:hAnsi="华文仿宋" w:eastAsia="仿宋_GB2312"/>
          <w:b/>
          <w:bCs/>
          <w:color w:val="000000"/>
          <w:sz w:val="32"/>
          <w:szCs w:val="32"/>
          <w:lang w:val="en-US" w:eastAsia="zh-CN"/>
        </w:rPr>
      </w:pPr>
    </w:p>
    <w:p>
      <w:pPr>
        <w:keepNext w:val="0"/>
        <w:keepLines w:val="0"/>
        <w:pageBreakBefore w:val="0"/>
        <w:kinsoku/>
        <w:wordWrap/>
        <w:overflowPunct/>
        <w:topLinePunct w:val="0"/>
        <w:autoSpaceDE/>
        <w:autoSpaceDN/>
        <w:bidi w:val="0"/>
        <w:adjustRightInd w:val="0"/>
        <w:snapToGrid w:val="0"/>
        <w:spacing w:line="560" w:lineRule="exact"/>
        <w:ind w:right="-218" w:rightChars="-104"/>
        <w:jc w:val="center"/>
        <w:textAlignment w:val="auto"/>
        <w:rPr>
          <w:rFonts w:hint="eastAsia" w:ascii="仿宋_GB2312" w:hAnsi="华文仿宋" w:eastAsia="仿宋_GB2312"/>
          <w:b/>
          <w:bCs/>
          <w:color w:val="000000"/>
          <w:sz w:val="32"/>
          <w:szCs w:val="32"/>
          <w:lang w:val="en-US" w:eastAsia="zh-CN"/>
        </w:rPr>
      </w:pPr>
      <w:r>
        <w:rPr>
          <w:rFonts w:hint="eastAsia" w:ascii="仿宋_GB2312" w:hAnsi="华文仿宋" w:eastAsia="仿宋_GB2312"/>
          <w:b/>
          <w:bCs/>
          <w:color w:val="000000"/>
          <w:sz w:val="32"/>
          <w:szCs w:val="32"/>
          <w:lang w:val="en-US" w:eastAsia="zh-CN"/>
        </w:rPr>
        <w:t>第一部分：柳州市鱼峰区人民法院单位概况</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一、主要职责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3" w:lineRule="atLeast"/>
        <w:ind w:right="0" w:firstLine="620" w:firstLineChars="200"/>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lang w:eastAsia="zh-CN"/>
        </w:rPr>
        <w:t>柳州市鱼峰区人民法院</w:t>
      </w:r>
      <w:r>
        <w:rPr>
          <w:rFonts w:hint="eastAsia" w:ascii="仿宋_GB2312" w:hAnsi="微软雅黑" w:eastAsia="仿宋_GB2312" w:cs="仿宋_GB2312"/>
          <w:b w:val="0"/>
          <w:i w:val="0"/>
          <w:caps w:val="0"/>
          <w:color w:val="000000"/>
          <w:spacing w:val="0"/>
          <w:sz w:val="31"/>
          <w:szCs w:val="31"/>
          <w:shd w:val="clear" w:color="auto" w:fill="auto"/>
        </w:rPr>
        <w:t>是国家审判机关，依法独立行使审判权</w:t>
      </w:r>
      <w:r>
        <w:rPr>
          <w:rFonts w:hint="eastAsia" w:ascii="仿宋_GB2312" w:hAnsi="微软雅黑" w:eastAsia="仿宋_GB2312" w:cs="仿宋_GB2312"/>
          <w:b w:val="0"/>
          <w:i w:val="0"/>
          <w:caps w:val="0"/>
          <w:color w:val="000000"/>
          <w:spacing w:val="0"/>
          <w:sz w:val="31"/>
          <w:szCs w:val="31"/>
          <w:shd w:val="clear" w:color="auto" w:fill="auto"/>
          <w:lang w:eastAsia="zh-CN"/>
        </w:rPr>
        <w:t>。</w:t>
      </w:r>
      <w:r>
        <w:rPr>
          <w:rFonts w:hint="eastAsia" w:ascii="仿宋_GB2312" w:hAnsi="微软雅黑" w:eastAsia="仿宋_GB2312" w:cs="仿宋_GB2312"/>
          <w:b w:val="0"/>
          <w:i w:val="0"/>
          <w:caps w:val="0"/>
          <w:color w:val="000000"/>
          <w:spacing w:val="0"/>
          <w:sz w:val="31"/>
          <w:szCs w:val="31"/>
          <w:shd w:val="clear" w:color="auto" w:fill="auto"/>
        </w:rPr>
        <w:t>202</w:t>
      </w:r>
      <w:r>
        <w:rPr>
          <w:rFonts w:hint="eastAsia" w:ascii="仿宋_GB2312" w:hAnsi="微软雅黑" w:eastAsia="仿宋_GB2312" w:cs="仿宋_GB2312"/>
          <w:b w:val="0"/>
          <w:i w:val="0"/>
          <w:caps w:val="0"/>
          <w:color w:val="000000"/>
          <w:spacing w:val="0"/>
          <w:sz w:val="31"/>
          <w:szCs w:val="31"/>
          <w:shd w:val="clear" w:color="auto" w:fill="auto"/>
          <w:lang w:val="en-US" w:eastAsia="zh-CN"/>
        </w:rPr>
        <w:t>2</w:t>
      </w:r>
      <w:r>
        <w:rPr>
          <w:rFonts w:hint="eastAsia" w:ascii="仿宋_GB2312" w:hAnsi="微软雅黑" w:eastAsia="仿宋_GB2312" w:cs="仿宋_GB2312"/>
          <w:b w:val="0"/>
          <w:i w:val="0"/>
          <w:caps w:val="0"/>
          <w:color w:val="000000"/>
          <w:spacing w:val="0"/>
          <w:sz w:val="31"/>
          <w:szCs w:val="31"/>
          <w:shd w:val="clear" w:color="auto" w:fill="auto"/>
        </w:rPr>
        <w:t>年柳州市</w:t>
      </w:r>
      <w:r>
        <w:rPr>
          <w:rFonts w:hint="eastAsia" w:ascii="仿宋_GB2312" w:hAnsi="微软雅黑" w:eastAsia="仿宋_GB2312" w:cs="仿宋_GB2312"/>
          <w:b w:val="0"/>
          <w:i w:val="0"/>
          <w:caps w:val="0"/>
          <w:color w:val="000000"/>
          <w:spacing w:val="0"/>
          <w:sz w:val="31"/>
          <w:szCs w:val="31"/>
          <w:shd w:val="clear" w:color="auto" w:fill="auto"/>
          <w:lang w:eastAsia="zh-CN"/>
        </w:rPr>
        <w:t>鱼峰区人民</w:t>
      </w:r>
      <w:r>
        <w:rPr>
          <w:rFonts w:hint="eastAsia" w:ascii="仿宋_GB2312" w:hAnsi="微软雅黑" w:eastAsia="仿宋_GB2312" w:cs="仿宋_GB2312"/>
          <w:b w:val="0"/>
          <w:i w:val="0"/>
          <w:caps w:val="0"/>
          <w:color w:val="000000"/>
          <w:spacing w:val="0"/>
          <w:sz w:val="31"/>
          <w:szCs w:val="31"/>
          <w:shd w:val="clear" w:color="auto" w:fill="auto"/>
        </w:rPr>
        <w:t>法院的主要工作目标是：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（一）始终坚持学习贯彻习近平法治思想，坚持党对法院工作的绝对领导。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（二）始终坚持聚焦审判执行中心工作，在执法办案中服务经济社会高质量发展大局。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（三）始终坚持以人民为中心，努力满足新时代人民群众对公正司法的新需求。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（四）始终坚持改革创新，努力推进审判体系和审判能力现代化。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（五）始终坚持全面从严治党，着力培养高素质法官队伍。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（六）始终坚持主动接受监督，加强和改进法院工作。</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rPr>
        <w:t>二、机构设置情况</w:t>
      </w:r>
    </w:p>
    <w:p>
      <w:pPr>
        <w:adjustRightInd w:val="0"/>
        <w:snapToGrid w:val="0"/>
        <w:spacing w:line="560" w:lineRule="exact"/>
        <w:ind w:right="-218" w:rightChars="-104" w:firstLine="640" w:firstLineChars="200"/>
        <w:rPr>
          <w:rFonts w:hint="eastAsia" w:ascii="仿宋_GB2312" w:hAnsi="微软雅黑" w:eastAsia="仿宋_GB2312" w:cs="仿宋_GB2312"/>
          <w:b w:val="0"/>
          <w:i w:val="0"/>
          <w:caps w:val="0"/>
          <w:color w:val="000000"/>
          <w:spacing w:val="0"/>
          <w:sz w:val="31"/>
          <w:szCs w:val="31"/>
          <w:shd w:val="clear" w:color="auto" w:fill="auto"/>
        </w:rPr>
      </w:pPr>
      <w:r>
        <w:rPr>
          <w:rFonts w:hint="eastAsia" w:ascii="仿宋_GB2312" w:hAnsi="仿宋_GB2312" w:eastAsia="仿宋_GB2312"/>
          <w:sz w:val="32"/>
          <w:szCs w:val="22"/>
          <w:lang w:eastAsia="zh-CN"/>
        </w:rPr>
        <w:t>我院为广西法院检察院财物统一管理改革试点单位，从</w:t>
      </w:r>
      <w:r>
        <w:rPr>
          <w:rFonts w:hint="eastAsia" w:ascii="仿宋_GB2312" w:hAnsi="仿宋_GB2312" w:eastAsia="仿宋_GB2312"/>
          <w:sz w:val="32"/>
          <w:szCs w:val="22"/>
          <w:lang w:val="en-US" w:eastAsia="zh-CN"/>
        </w:rPr>
        <w:t>2020年起我</w:t>
      </w:r>
      <w:r>
        <w:rPr>
          <w:rFonts w:hint="eastAsia" w:ascii="仿宋_GB2312" w:hAnsi="仿宋_GB2312" w:eastAsia="仿宋_GB2312"/>
          <w:sz w:val="32"/>
          <w:szCs w:val="22"/>
        </w:rPr>
        <w:t>院作为市</w:t>
      </w:r>
      <w:r>
        <w:rPr>
          <w:rFonts w:hint="eastAsia" w:ascii="仿宋_GB2312" w:hAnsi="仿宋_GB2312" w:eastAsia="仿宋_GB2312"/>
          <w:sz w:val="32"/>
          <w:szCs w:val="22"/>
          <w:lang w:eastAsia="zh-CN"/>
        </w:rPr>
        <w:t>中级人民法院</w:t>
      </w:r>
      <w:r>
        <w:rPr>
          <w:rFonts w:hint="eastAsia" w:ascii="仿宋_GB2312" w:hAnsi="仿宋_GB2312" w:eastAsia="仿宋_GB2312"/>
          <w:sz w:val="32"/>
          <w:szCs w:val="22"/>
        </w:rPr>
        <w:t>二级预算单位</w:t>
      </w:r>
      <w:r>
        <w:rPr>
          <w:rFonts w:hint="eastAsia" w:ascii="仿宋_GB2312" w:hAnsi="仿宋_GB2312" w:eastAsia="仿宋_GB2312"/>
          <w:sz w:val="32"/>
          <w:szCs w:val="22"/>
          <w:lang w:eastAsia="zh-CN"/>
        </w:rPr>
        <w:t>进行管理，为全额拨款行政单位。</w:t>
      </w:r>
      <w:r>
        <w:rPr>
          <w:rFonts w:hint="eastAsia" w:ascii="仿宋_GB2312" w:hAnsi="微软雅黑" w:eastAsia="仿宋_GB2312" w:cs="仿宋_GB2312"/>
          <w:b w:val="0"/>
          <w:i w:val="0"/>
          <w:caps w:val="0"/>
          <w:color w:val="000000"/>
          <w:spacing w:val="0"/>
          <w:sz w:val="31"/>
          <w:szCs w:val="31"/>
          <w:shd w:val="clear" w:color="auto" w:fill="auto"/>
        </w:rPr>
        <w:t>共有</w:t>
      </w:r>
      <w:r>
        <w:rPr>
          <w:rFonts w:hint="eastAsia" w:ascii="仿宋_GB2312" w:hAnsi="微软雅黑" w:eastAsia="仿宋_GB2312" w:cs="仿宋_GB2312"/>
          <w:b w:val="0"/>
          <w:i w:val="0"/>
          <w:caps w:val="0"/>
          <w:color w:val="000000"/>
          <w:spacing w:val="0"/>
          <w:sz w:val="31"/>
          <w:szCs w:val="31"/>
          <w:shd w:val="clear" w:color="auto" w:fill="auto"/>
          <w:lang w:eastAsia="zh-CN"/>
        </w:rPr>
        <w:t>立案庭、刑事审判庭、民事审判第一庭、民事审判第二庭、行政审判庭、执行庭、审判监督庭、雒容人民法庭、阳和开发区人民法庭、办公室、政工科、监察室、法警大队等共计13个部门。</w:t>
      </w:r>
    </w:p>
    <w:p>
      <w:pPr>
        <w:pStyle w:val="3"/>
        <w:keepNext w:val="0"/>
        <w:keepLines w:val="0"/>
        <w:pageBreakBefore w:val="0"/>
        <w:kinsoku/>
        <w:wordWrap/>
        <w:overflowPunct/>
        <w:topLinePunct w:val="0"/>
        <w:autoSpaceDE/>
        <w:autoSpaceDN/>
        <w:bidi w:val="0"/>
        <w:spacing w:before="0" w:beforeAutospacing="0" w:after="0" w:afterAutospacing="0" w:line="540" w:lineRule="exact"/>
        <w:ind w:firstLine="0" w:firstLineChars="0"/>
        <w:jc w:val="both"/>
        <w:textAlignment w:val="auto"/>
        <w:outlineLvl w:val="9"/>
        <w:rPr>
          <w:rFonts w:hint="eastAsia" w:ascii="仿宋_GB2312" w:hAnsi="华文仿宋" w:eastAsia="仿宋_GB2312"/>
          <w:color w:val="000000"/>
          <w:sz w:val="32"/>
          <w:szCs w:val="32"/>
          <w:lang w:val="en-US" w:eastAsia="zh-CN"/>
        </w:rPr>
      </w:pPr>
    </w:p>
    <w:p>
      <w:pPr>
        <w:pStyle w:val="3"/>
        <w:keepNext w:val="0"/>
        <w:keepLines w:val="0"/>
        <w:pageBreakBefore w:val="0"/>
        <w:kinsoku/>
        <w:wordWrap/>
        <w:overflowPunct/>
        <w:topLinePunct w:val="0"/>
        <w:autoSpaceDE/>
        <w:autoSpaceDN/>
        <w:bidi w:val="0"/>
        <w:spacing w:before="0" w:beforeAutospacing="0" w:after="0" w:afterAutospacing="0" w:line="540" w:lineRule="exact"/>
        <w:ind w:firstLine="0" w:firstLineChars="0"/>
        <w:jc w:val="both"/>
        <w:textAlignment w:val="auto"/>
        <w:outlineLvl w:val="9"/>
        <w:rPr>
          <w:rFonts w:hint="eastAsia" w:ascii="仿宋_GB2312" w:hAnsi="华文仿宋" w:eastAsia="仿宋_GB2312"/>
          <w:color w:val="000000"/>
          <w:sz w:val="32"/>
          <w:szCs w:val="32"/>
          <w:lang w:val="en-US" w:eastAsia="zh-CN"/>
        </w:rPr>
      </w:pPr>
    </w:p>
    <w:p>
      <w:pPr>
        <w:pStyle w:val="3"/>
        <w:keepNext w:val="0"/>
        <w:keepLines w:val="0"/>
        <w:pageBreakBefore w:val="0"/>
        <w:kinsoku/>
        <w:wordWrap/>
        <w:overflowPunct/>
        <w:topLinePunct w:val="0"/>
        <w:autoSpaceDE/>
        <w:autoSpaceDN/>
        <w:bidi w:val="0"/>
        <w:spacing w:before="0" w:beforeAutospacing="0" w:after="0" w:afterAutospacing="0" w:line="560" w:lineRule="exact"/>
        <w:ind w:firstLine="0" w:firstLineChars="0"/>
        <w:jc w:val="center"/>
        <w:textAlignment w:val="auto"/>
        <w:rPr>
          <w:rFonts w:hint="eastAsia" w:ascii="仿宋_GB2312" w:hAnsi="华文仿宋" w:eastAsia="仿宋_GB2312"/>
          <w:b/>
          <w:bCs/>
          <w:color w:val="000000"/>
          <w:sz w:val="32"/>
          <w:szCs w:val="32"/>
          <w:lang w:val="en-US" w:eastAsia="zh-CN"/>
        </w:rPr>
      </w:pPr>
      <w:r>
        <w:rPr>
          <w:rFonts w:hint="eastAsia" w:ascii="仿宋_GB2312" w:hAnsi="华文仿宋" w:eastAsia="仿宋_GB2312"/>
          <w:b/>
          <w:bCs/>
          <w:color w:val="000000"/>
          <w:sz w:val="32"/>
          <w:szCs w:val="32"/>
          <w:lang w:val="en-US" w:eastAsia="zh-CN"/>
        </w:rPr>
        <w:t>第二部分：柳州市鱼峰区人民法院2022年预算报表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九、政府采购预算表（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hAnsi="华文仿宋" w:eastAsia="仿宋_GB2312"/>
          <w:bCs/>
          <w:color w:val="000000"/>
          <w:sz w:val="32"/>
          <w:szCs w:val="32"/>
          <w:lang w:val="en-US" w:eastAsia="zh-CN"/>
        </w:rPr>
      </w:pPr>
      <w:r>
        <w:rPr>
          <w:rFonts w:hint="eastAsia" w:ascii="仿宋_GB2312" w:hAnsi="华文仿宋" w:eastAsia="仿宋_GB2312"/>
          <w:bCs/>
          <w:color w:val="000000"/>
          <w:sz w:val="32"/>
          <w:szCs w:val="32"/>
          <w:lang w:val="en-US" w:eastAsia="zh-CN"/>
        </w:rPr>
        <w:t>十、政府购买服务表（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left"/>
        <w:textAlignment w:val="auto"/>
        <w:rPr>
          <w:rFonts w:hint="eastAsia" w:ascii="仿宋_GB2312" w:hAnsi="华文仿宋" w:eastAsia="仿宋_GB2312"/>
          <w:sz w:val="32"/>
          <w:szCs w:val="32"/>
          <w:highlight w:val="cyan"/>
        </w:rPr>
      </w:pPr>
      <w:r>
        <w:rPr>
          <w:rFonts w:hint="eastAsia" w:ascii="仿宋_GB2312" w:hAnsi="华文仿宋" w:eastAsia="仿宋_GB2312"/>
          <w:b/>
          <w:bCs/>
          <w:sz w:val="32"/>
          <w:szCs w:val="32"/>
          <w:highlight w:val="none"/>
        </w:rPr>
        <w:t>上述报表详见附件。</w:t>
      </w:r>
    </w:p>
    <w:p>
      <w:pPr>
        <w:pStyle w:val="3"/>
        <w:keepNext w:val="0"/>
        <w:keepLines w:val="0"/>
        <w:pageBreakBefore w:val="0"/>
        <w:kinsoku/>
        <w:wordWrap/>
        <w:overflowPunct/>
        <w:topLinePunct w:val="0"/>
        <w:autoSpaceDE/>
        <w:autoSpaceDN/>
        <w:bidi w:val="0"/>
        <w:spacing w:before="0" w:beforeAutospacing="0" w:after="0" w:afterAutospacing="0" w:line="560" w:lineRule="exact"/>
        <w:jc w:val="both"/>
        <w:textAlignment w:val="auto"/>
        <w:outlineLvl w:val="9"/>
        <w:rPr>
          <w:rFonts w:hint="eastAsia" w:ascii="仿宋_GB2312" w:hAnsi="华文仿宋" w:eastAsia="仿宋_GB2312"/>
          <w:b/>
          <w:bCs/>
          <w:color w:val="000000"/>
          <w:sz w:val="32"/>
          <w:szCs w:val="32"/>
          <w:lang w:val="en-US" w:eastAsia="zh-CN"/>
        </w:rPr>
      </w:pPr>
      <w:r>
        <w:rPr>
          <w:rFonts w:hint="eastAsia" w:ascii="仿宋_GB2312" w:hAnsi="华文仿宋" w:eastAsia="仿宋_GB2312"/>
          <w:b/>
          <w:bCs/>
          <w:color w:val="000000"/>
          <w:sz w:val="32"/>
          <w:szCs w:val="32"/>
          <w:lang w:val="en-US" w:eastAsia="zh-CN"/>
        </w:rPr>
        <w:t xml:space="preserve"> </w:t>
      </w: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cs="Times New Roman"/>
          <w:b/>
          <w:bCs/>
          <w:color w:val="000000"/>
          <w:kern w:val="2"/>
          <w:sz w:val="32"/>
          <w:szCs w:val="32"/>
          <w:lang w:val="en-US" w:eastAsia="zh-CN" w:bidi="ar-SA"/>
        </w:rPr>
      </w:pPr>
      <w:r>
        <w:rPr>
          <w:rFonts w:hint="eastAsia" w:ascii="仿宋_GB2312" w:hAnsi="华文仿宋" w:eastAsia="仿宋_GB2312" w:cs="Times New Roman"/>
          <w:b/>
          <w:bCs/>
          <w:color w:val="000000"/>
          <w:kern w:val="2"/>
          <w:sz w:val="32"/>
          <w:szCs w:val="32"/>
          <w:lang w:val="en-US" w:eastAsia="zh-CN" w:bidi="ar-SA"/>
        </w:rPr>
        <w:t>第三部分：柳州市鱼峰区人民法院2022年预算情况说明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一、单位收支预算情况说明</w:t>
      </w:r>
    </w:p>
    <w:p>
      <w:pPr>
        <w:pStyle w:val="3"/>
        <w:keepNext w:val="0"/>
        <w:keepLines w:val="0"/>
        <w:pageBreakBefore w:val="0"/>
        <w:kinsoku/>
        <w:wordWrap/>
        <w:overflowPunct/>
        <w:topLinePunct w:val="0"/>
        <w:autoSpaceDE/>
        <w:autoSpaceDN/>
        <w:bidi w:val="0"/>
        <w:spacing w:before="0" w:beforeAutospacing="0" w:after="0" w:afterAutospacing="0" w:line="240" w:lineRule="auto"/>
        <w:ind w:firstLine="640" w:firstLineChars="200"/>
        <w:jc w:val="left"/>
        <w:textAlignment w:val="auto"/>
        <w:outlineLvl w:val="9"/>
        <w:rPr>
          <w:rFonts w:hint="eastAsia" w:ascii="仿宋_GB2312" w:hAnsi="华文仿宋" w:eastAsia="仿宋_GB2312" w:cs="Times New Roman"/>
          <w:b w:val="0"/>
          <w:bCs w:val="0"/>
          <w:strike/>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单位收支总预算3142.98万元，同比增加19.71万元，同比增长0.63%，收入包括：一般公共预算拨款3142.98万元;支出包括：公共安全支出2738.29万元、社会保障和就业支出197.03万元、卫生健康支出116.19万元、住房保障支出91.47万元。</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二、单位收入预算情况说明</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strike w:val="0"/>
          <w:sz w:val="32"/>
          <w:szCs w:val="32"/>
        </w:rPr>
      </w:pPr>
      <w:r>
        <w:rPr>
          <w:rFonts w:hint="eastAsia" w:ascii="仿宋_GB2312" w:hAnsi="华文仿宋" w:eastAsia="仿宋_GB2312"/>
          <w:color w:val="000000"/>
          <w:sz w:val="32"/>
          <w:szCs w:val="32"/>
          <w:lang w:eastAsia="zh-CN"/>
        </w:rPr>
        <w:t>2022</w:t>
      </w:r>
      <w:r>
        <w:rPr>
          <w:rFonts w:hint="eastAsia" w:ascii="仿宋_GB2312" w:hAnsi="华文仿宋" w:eastAsia="仿宋_GB2312"/>
          <w:color w:val="000000"/>
          <w:sz w:val="32"/>
          <w:szCs w:val="32"/>
        </w:rPr>
        <w:t>年</w:t>
      </w:r>
      <w:r>
        <w:rPr>
          <w:rFonts w:hint="eastAsia" w:ascii="仿宋_GB2312" w:hAnsi="华文仿宋" w:eastAsia="仿宋_GB2312"/>
          <w:color w:val="000000"/>
          <w:sz w:val="32"/>
          <w:szCs w:val="32"/>
          <w:lang w:eastAsia="zh-CN"/>
        </w:rPr>
        <w:t>单位</w:t>
      </w:r>
      <w:r>
        <w:rPr>
          <w:rFonts w:hint="eastAsia" w:ascii="仿宋_GB2312" w:hAnsi="华文仿宋" w:eastAsia="仿宋_GB2312"/>
          <w:color w:val="000000"/>
          <w:sz w:val="32"/>
          <w:szCs w:val="32"/>
        </w:rPr>
        <w:t>收入总预算</w:t>
      </w:r>
      <w:r>
        <w:rPr>
          <w:rFonts w:hint="eastAsia" w:ascii="仿宋_GB2312" w:hAnsi="华文仿宋" w:eastAsia="仿宋_GB2312" w:cs="Times New Roman"/>
          <w:b w:val="0"/>
          <w:bCs w:val="0"/>
          <w:color w:val="auto"/>
          <w:kern w:val="2"/>
          <w:sz w:val="32"/>
          <w:szCs w:val="32"/>
          <w:lang w:val="en-US" w:eastAsia="zh-CN" w:bidi="ar-SA"/>
        </w:rPr>
        <w:t>3142.98万元，同比增加19.71万元，同比增长0.63%</w:t>
      </w:r>
      <w:r>
        <w:rPr>
          <w:rFonts w:hint="eastAsia" w:ascii="仿宋_GB2312" w:hAnsi="华文仿宋" w:eastAsia="仿宋_GB2312"/>
          <w:sz w:val="32"/>
          <w:szCs w:val="32"/>
        </w:rPr>
        <w:t>。</w:t>
      </w:r>
      <w:r>
        <w:rPr>
          <w:rFonts w:hint="eastAsia" w:ascii="仿宋_GB2312" w:hAnsi="华文仿宋" w:eastAsia="仿宋_GB2312" w:cs="Times New Roman"/>
          <w:b w:val="0"/>
          <w:bCs w:val="0"/>
          <w:strike w:val="0"/>
          <w:color w:val="auto"/>
          <w:kern w:val="2"/>
          <w:sz w:val="32"/>
          <w:szCs w:val="32"/>
          <w:lang w:val="en-US" w:eastAsia="zh-CN" w:bidi="ar-SA"/>
        </w:rPr>
        <w:t>其中：</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宋体"/>
          <w:sz w:val="32"/>
          <w:szCs w:val="32"/>
        </w:rPr>
      </w:pPr>
      <w:r>
        <w:rPr>
          <w:rFonts w:hint="eastAsia" w:ascii="仿宋_GB2312" w:hAnsi="华文仿宋" w:eastAsia="仿宋_GB2312" w:cs="Times New Roman"/>
          <w:b w:val="0"/>
          <w:bCs w:val="0"/>
          <w:color w:val="auto"/>
          <w:kern w:val="2"/>
          <w:sz w:val="32"/>
          <w:szCs w:val="32"/>
          <w:lang w:val="en-US" w:eastAsia="zh-CN" w:bidi="ar-SA"/>
        </w:rPr>
        <w:t>（一）</w:t>
      </w:r>
      <w:r>
        <w:rPr>
          <w:rFonts w:hint="eastAsia" w:ascii="仿宋_GB2312" w:hAnsi="华文仿宋" w:eastAsia="仿宋_GB2312"/>
          <w:color w:val="000000"/>
          <w:sz w:val="32"/>
          <w:szCs w:val="32"/>
        </w:rPr>
        <w:t>一般公共</w:t>
      </w:r>
      <w:r>
        <w:rPr>
          <w:rFonts w:hint="eastAsia" w:ascii="仿宋_GB2312" w:hAnsi="华文仿宋" w:eastAsia="仿宋_GB2312"/>
          <w:strike w:val="0"/>
          <w:color w:val="000000"/>
          <w:sz w:val="32"/>
          <w:szCs w:val="32"/>
          <w:lang w:eastAsia="zh-CN"/>
        </w:rPr>
        <w:t>财政预算拨款</w:t>
      </w:r>
      <w:r>
        <w:rPr>
          <w:rFonts w:hint="eastAsia" w:ascii="仿宋_GB2312" w:hAnsi="华文仿宋" w:eastAsia="仿宋_GB2312" w:cs="Times New Roman"/>
          <w:b w:val="0"/>
          <w:bCs w:val="0"/>
          <w:color w:val="auto"/>
          <w:kern w:val="2"/>
          <w:sz w:val="32"/>
          <w:szCs w:val="32"/>
          <w:lang w:val="en-US" w:eastAsia="zh-CN" w:bidi="ar-SA"/>
        </w:rPr>
        <w:t>3142.98</w:t>
      </w:r>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w:t>
      </w:r>
      <w:r>
        <w:rPr>
          <w:rFonts w:hint="eastAsia" w:ascii="仿宋_GB2312" w:hAnsi="华文仿宋" w:eastAsia="仿宋_GB2312"/>
          <w:color w:val="auto"/>
          <w:sz w:val="32"/>
          <w:szCs w:val="32"/>
          <w:lang w:eastAsia="zh-CN"/>
        </w:rPr>
        <w:t>占收入总预算</w:t>
      </w:r>
      <w:r>
        <w:rPr>
          <w:rFonts w:hint="eastAsia" w:ascii="仿宋_GB2312" w:hAnsi="华文仿宋" w:eastAsia="仿宋_GB2312"/>
          <w:color w:val="auto"/>
          <w:sz w:val="32"/>
          <w:szCs w:val="32"/>
          <w:lang w:val="en-US" w:eastAsia="zh-CN"/>
        </w:rPr>
        <w:t>100%,</w:t>
      </w:r>
      <w:r>
        <w:rPr>
          <w:rFonts w:hint="eastAsia" w:ascii="仿宋_GB2312" w:hAnsi="华文仿宋" w:eastAsia="仿宋_GB2312" w:cs="Times New Roman"/>
          <w:b w:val="0"/>
          <w:bCs w:val="0"/>
          <w:color w:val="auto"/>
          <w:kern w:val="2"/>
          <w:sz w:val="32"/>
          <w:szCs w:val="32"/>
          <w:lang w:val="en-US" w:eastAsia="zh-CN" w:bidi="ar-SA"/>
        </w:rPr>
        <w:t>同比增加19.71万元，同比增长0.63%</w:t>
      </w:r>
      <w:r>
        <w:rPr>
          <w:rFonts w:hint="eastAsia" w:ascii="仿宋_GB2312" w:hAnsi="华文仿宋" w:eastAsia="仿宋_GB2312"/>
          <w:sz w:val="32"/>
          <w:szCs w:val="32"/>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仿宋_GB2312" w:hAnsi="华文仿宋" w:eastAsia="仿宋_GB2312"/>
          <w:sz w:val="32"/>
          <w:szCs w:val="32"/>
          <w:lang w:val="en-US" w:eastAsia="zh-CN"/>
        </w:rPr>
      </w:pPr>
      <w:r>
        <w:rPr>
          <w:rFonts w:hint="eastAsia" w:ascii="仿宋_GB2312" w:hAnsi="华文仿宋" w:eastAsia="仿宋_GB2312"/>
          <w:sz w:val="32"/>
          <w:szCs w:val="32"/>
          <w:lang w:val="en-US" w:eastAsia="zh-CN"/>
        </w:rPr>
        <w:t>2022年收入预算总体增加主要是</w:t>
      </w:r>
      <w:r>
        <w:rPr>
          <w:rFonts w:hint="eastAsia" w:ascii="仿宋_GB2312" w:hAnsi="华文仿宋" w:eastAsia="仿宋_GB2312"/>
          <w:color w:val="000000"/>
          <w:sz w:val="32"/>
          <w:szCs w:val="32"/>
        </w:rPr>
        <w:t>一般公共</w:t>
      </w:r>
      <w:r>
        <w:rPr>
          <w:rFonts w:hint="eastAsia" w:ascii="仿宋_GB2312" w:hAnsi="华文仿宋" w:eastAsia="仿宋_GB2312"/>
          <w:strike w:val="0"/>
          <w:color w:val="000000"/>
          <w:sz w:val="32"/>
          <w:szCs w:val="32"/>
          <w:lang w:eastAsia="zh-CN"/>
        </w:rPr>
        <w:t>财政预算拨款</w:t>
      </w:r>
      <w:r>
        <w:rPr>
          <w:rFonts w:hint="eastAsia" w:ascii="仿宋_GB2312" w:hAnsi="华文仿宋" w:eastAsia="仿宋_GB2312"/>
          <w:sz w:val="32"/>
          <w:szCs w:val="32"/>
          <w:lang w:val="en-US" w:eastAsia="zh-CN"/>
        </w:rPr>
        <w:t>的增加，增加的主要原因：一是案件数量的增长，相应的各项费用随之增加。</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三、单位支出预算情况说明</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宋体"/>
          <w:strike/>
          <w:sz w:val="32"/>
          <w:szCs w:val="32"/>
        </w:rPr>
      </w:pPr>
      <w:r>
        <w:rPr>
          <w:rFonts w:hint="eastAsia" w:ascii="仿宋_GB2312" w:hAnsi="华文仿宋" w:eastAsia="仿宋_GB2312"/>
          <w:color w:val="000000"/>
          <w:sz w:val="32"/>
          <w:szCs w:val="32"/>
          <w:lang w:eastAsia="zh-CN"/>
        </w:rPr>
        <w:t>2022</w:t>
      </w:r>
      <w:r>
        <w:rPr>
          <w:rFonts w:hint="eastAsia" w:ascii="仿宋_GB2312" w:hAnsi="华文仿宋" w:eastAsia="仿宋_GB2312"/>
          <w:color w:val="000000"/>
          <w:sz w:val="32"/>
          <w:szCs w:val="32"/>
        </w:rPr>
        <w:t>年</w:t>
      </w:r>
      <w:r>
        <w:rPr>
          <w:rFonts w:hint="eastAsia" w:ascii="仿宋_GB2312" w:hAnsi="华文仿宋" w:eastAsia="仿宋_GB2312"/>
          <w:color w:val="000000"/>
          <w:sz w:val="32"/>
          <w:szCs w:val="32"/>
          <w:lang w:eastAsia="zh-CN"/>
        </w:rPr>
        <w:t>单位</w:t>
      </w:r>
      <w:r>
        <w:rPr>
          <w:rFonts w:hint="eastAsia" w:ascii="仿宋_GB2312" w:hAnsi="华文仿宋" w:eastAsia="仿宋_GB2312"/>
          <w:color w:val="000000"/>
          <w:sz w:val="32"/>
          <w:szCs w:val="32"/>
        </w:rPr>
        <w:t>支出总预算</w:t>
      </w:r>
      <w:r>
        <w:rPr>
          <w:rFonts w:hint="eastAsia" w:ascii="仿宋_GB2312" w:hAnsi="华文仿宋" w:eastAsia="仿宋_GB2312" w:cs="Times New Roman"/>
          <w:b w:val="0"/>
          <w:bCs w:val="0"/>
          <w:color w:val="auto"/>
          <w:kern w:val="2"/>
          <w:sz w:val="32"/>
          <w:szCs w:val="32"/>
          <w:lang w:val="en-US" w:eastAsia="zh-CN" w:bidi="ar-SA"/>
        </w:rPr>
        <w:t>3142.98</w:t>
      </w:r>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基本支出预算</w:t>
      </w:r>
      <w:r>
        <w:rPr>
          <w:rFonts w:hint="eastAsia" w:ascii="仿宋_GB2312" w:hAnsi="华文仿宋" w:eastAsia="仿宋_GB2312"/>
          <w:color w:val="000000"/>
          <w:sz w:val="32"/>
          <w:szCs w:val="32"/>
          <w:lang w:val="en-US" w:eastAsia="zh-CN"/>
        </w:rPr>
        <w:t>1534.86万元，占支出总预算的48.83%,</w:t>
      </w:r>
      <w:r>
        <w:rPr>
          <w:rFonts w:hint="eastAsia" w:ascii="仿宋_GB2312" w:hAnsi="华文仿宋" w:eastAsia="仿宋_GB2312"/>
          <w:sz w:val="32"/>
          <w:szCs w:val="32"/>
        </w:rPr>
        <w:t>同比减少</w:t>
      </w:r>
      <w:r>
        <w:rPr>
          <w:rFonts w:hint="eastAsia" w:ascii="仿宋_GB2312" w:hAnsi="华文仿宋" w:eastAsia="仿宋_GB2312"/>
          <w:sz w:val="32"/>
          <w:szCs w:val="32"/>
          <w:lang w:val="en-US" w:eastAsia="zh-CN"/>
        </w:rPr>
        <w:t>311.4</w:t>
      </w:r>
      <w:r>
        <w:rPr>
          <w:rFonts w:hint="eastAsia" w:ascii="仿宋_GB2312" w:hAnsi="华文仿宋" w:eastAsia="仿宋_GB2312"/>
          <w:sz w:val="32"/>
          <w:szCs w:val="32"/>
        </w:rPr>
        <w:t>万元，同比下降</w:t>
      </w:r>
      <w:r>
        <w:rPr>
          <w:rFonts w:hint="eastAsia" w:ascii="仿宋_GB2312" w:hAnsi="华文仿宋" w:eastAsia="仿宋_GB2312"/>
          <w:sz w:val="32"/>
          <w:szCs w:val="32"/>
          <w:lang w:val="en-US" w:eastAsia="zh-CN"/>
        </w:rPr>
        <w:t>16.87</w:t>
      </w:r>
      <w:r>
        <w:rPr>
          <w:rFonts w:hint="eastAsia" w:ascii="仿宋_GB2312" w:hAnsi="华文仿宋" w:eastAsia="仿宋_GB2312"/>
          <w:sz w:val="32"/>
          <w:szCs w:val="32"/>
        </w:rPr>
        <w:t>%。</w:t>
      </w:r>
      <w:r>
        <w:rPr>
          <w:rFonts w:hint="eastAsia" w:ascii="仿宋_GB2312" w:hAnsi="华文仿宋" w:eastAsia="仿宋_GB2312"/>
          <w:sz w:val="32"/>
          <w:szCs w:val="32"/>
          <w:lang w:eastAsia="zh-CN"/>
        </w:rPr>
        <w:t>项目支出预算</w:t>
      </w:r>
      <w:r>
        <w:rPr>
          <w:rFonts w:hint="eastAsia" w:ascii="仿宋_GB2312" w:hAnsi="华文仿宋" w:eastAsia="仿宋_GB2312"/>
          <w:sz w:val="32"/>
          <w:szCs w:val="32"/>
          <w:lang w:val="en-US" w:eastAsia="zh-CN"/>
        </w:rPr>
        <w:t>1608.11万元，占支出总预算的51.17%,</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331.11</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25.93</w:t>
      </w:r>
      <w:r>
        <w:rPr>
          <w:rFonts w:hint="eastAsia" w:ascii="仿宋_GB2312" w:hAnsi="华文仿宋" w:eastAsia="仿宋_GB2312"/>
          <w:sz w:val="32"/>
          <w:szCs w:val="32"/>
        </w:rPr>
        <w:t>%。</w:t>
      </w:r>
    </w:p>
    <w:p>
      <w:pPr>
        <w:pStyle w:val="3"/>
        <w:keepNext w:val="0"/>
        <w:keepLines w:val="0"/>
        <w:pageBreakBefore w:val="0"/>
        <w:numPr>
          <w:ilvl w:val="0"/>
          <w:numId w:val="1"/>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按支出功能分类科目划分，共分为12类，其中：</w:t>
      </w:r>
    </w:p>
    <w:p>
      <w:pPr>
        <w:pStyle w:val="3"/>
        <w:keepNext w:val="0"/>
        <w:keepLines w:val="0"/>
        <w:pageBreakBefore w:val="0"/>
        <w:numPr>
          <w:ilvl w:val="0"/>
          <w:numId w:val="0"/>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1.公共安全支出2738.29万元；占支出总预算87.12%，同比增加109.79万元，同比增长4.18%。</w:t>
      </w:r>
    </w:p>
    <w:p>
      <w:pPr>
        <w:pStyle w:val="3"/>
        <w:keepNext w:val="0"/>
        <w:keepLines w:val="0"/>
        <w:pageBreakBefore w:val="0"/>
        <w:numPr>
          <w:ilvl w:val="0"/>
          <w:numId w:val="0"/>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2.社会保障和就业支出197.03万元，占支出总预算6.27%，同比减少57.18万元，同比下降22.49%。</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3.卫生健康支出116.19万元，占支出总预算3.7%，同比减少2.27万元，同比下降1.92%。</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4.住房保障支出91.47万元，占支出总预算2.91%，同比减少30.63万元，同比下降25.08%。</w:t>
      </w:r>
    </w:p>
    <w:p>
      <w:pPr>
        <w:pStyle w:val="3"/>
        <w:numPr>
          <w:ilvl w:val="0"/>
          <w:numId w:val="1"/>
        </w:numPr>
        <w:spacing w:before="0" w:beforeAutospacing="0" w:after="0" w:afterAutospacing="0" w:line="560" w:lineRule="exact"/>
        <w:ind w:firstLine="640" w:firstLineChars="200"/>
        <w:jc w:val="both"/>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按支出结构分类划分，分为基本支出预算和项目支出预算。</w:t>
      </w:r>
    </w:p>
    <w:p>
      <w:pPr>
        <w:pStyle w:val="3"/>
        <w:keepNext w:val="0"/>
        <w:keepLines w:val="0"/>
        <w:pageBreakBefore w:val="0"/>
        <w:numPr>
          <w:ilvl w:val="0"/>
          <w:numId w:val="2"/>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default" w:ascii="仿宋_GB2312" w:hAnsi="华文仿宋" w:eastAsia="仿宋_GB2312" w:cs="Times New Roman"/>
          <w:strike w:val="0"/>
          <w:color w:val="auto"/>
          <w:kern w:val="2"/>
          <w:sz w:val="32"/>
          <w:szCs w:val="32"/>
          <w:lang w:val="en-US" w:eastAsia="zh-CN" w:bidi="ar-SA"/>
        </w:rPr>
      </w:pPr>
      <w:r>
        <w:rPr>
          <w:rFonts w:hint="eastAsia" w:ascii="仿宋_GB2312" w:hAnsi="华文仿宋" w:eastAsia="仿宋_GB2312" w:cs="Times New Roman"/>
          <w:kern w:val="2"/>
          <w:sz w:val="32"/>
          <w:szCs w:val="32"/>
          <w:lang w:val="en-US" w:eastAsia="zh-CN" w:bidi="ar-SA"/>
        </w:rPr>
        <w:t>基本支出预算1534.86万元，占一般公共预算拨款支出预算48.83%，同比增加311.4万元，同比增长16.87%。</w:t>
      </w:r>
    </w:p>
    <w:p>
      <w:pPr>
        <w:pStyle w:val="3"/>
        <w:tabs>
          <w:tab w:val="center" w:pos="4475"/>
        </w:tabs>
        <w:spacing w:before="0" w:beforeAutospacing="0" w:after="0" w:afterAutospacing="0"/>
        <w:ind w:firstLine="640" w:firstLineChars="200"/>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2.项目支出预算1608.11万元；占支出总预算51.17%，同比</w:t>
      </w:r>
      <w:r>
        <w:rPr>
          <w:rFonts w:hint="eastAsia" w:ascii="仿宋_GB2312" w:hAnsi="华文仿宋" w:eastAsia="仿宋_GB2312"/>
          <w:sz w:val="32"/>
          <w:szCs w:val="32"/>
        </w:rPr>
        <w:t>增加</w:t>
      </w:r>
      <w:r>
        <w:rPr>
          <w:rFonts w:hint="eastAsia" w:ascii="仿宋_GB2312" w:hAnsi="华文仿宋" w:eastAsia="仿宋_GB2312"/>
          <w:sz w:val="32"/>
          <w:szCs w:val="32"/>
          <w:lang w:val="en-US" w:eastAsia="zh-CN"/>
        </w:rPr>
        <w:t>331.11</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25.93</w:t>
      </w:r>
      <w:r>
        <w:rPr>
          <w:rFonts w:hint="eastAsia" w:ascii="仿宋_GB2312" w:hAnsi="华文仿宋" w:eastAsia="仿宋_GB2312"/>
          <w:sz w:val="32"/>
          <w:szCs w:val="32"/>
        </w:rPr>
        <w:t>%</w:t>
      </w:r>
      <w:r>
        <w:rPr>
          <w:rFonts w:hint="eastAsia" w:ascii="仿宋_GB2312" w:hAnsi="华文仿宋" w:eastAsia="仿宋_GB2312" w:cs="Times New Roman"/>
          <w:kern w:val="2"/>
          <w:sz w:val="32"/>
          <w:szCs w:val="32"/>
          <w:lang w:val="en-US" w:eastAsia="zh-CN" w:bidi="ar-SA"/>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华文仿宋" w:eastAsia="仿宋_GB2312" w:cs="Times New Roman"/>
          <w:sz w:val="32"/>
          <w:szCs w:val="32"/>
          <w:highlight w:val="cyan"/>
          <w:lang w:val="en-US" w:eastAsia="zh-CN"/>
        </w:rPr>
      </w:pPr>
      <w:r>
        <w:rPr>
          <w:rFonts w:hint="eastAsia" w:ascii="仿宋_GB2312" w:hAnsi="华文仿宋" w:eastAsia="仿宋_GB2312"/>
          <w:sz w:val="32"/>
          <w:szCs w:val="32"/>
          <w:lang w:val="en-US" w:eastAsia="zh-CN"/>
        </w:rPr>
        <w:t>2022年支出预算总体增加主要是项目支出预算增加，增加的主要原因：案件数量增加，随之配套费用支出增加。</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四、财政拨款收支预算情况说明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202</w:t>
      </w:r>
      <w:r>
        <w:rPr>
          <w:rFonts w:hint="eastAsia" w:ascii="仿宋_GB2312" w:hAnsi="微软雅黑" w:eastAsia="仿宋_GB2312" w:cs="仿宋_GB2312"/>
          <w:b w:val="0"/>
          <w:i w:val="0"/>
          <w:caps w:val="0"/>
          <w:color w:val="000000"/>
          <w:spacing w:val="0"/>
          <w:sz w:val="31"/>
          <w:szCs w:val="31"/>
          <w:shd w:val="clear" w:color="auto" w:fill="auto"/>
          <w:lang w:val="en-US" w:eastAsia="zh-CN"/>
        </w:rPr>
        <w:t>2</w:t>
      </w:r>
      <w:r>
        <w:rPr>
          <w:rFonts w:hint="eastAsia" w:ascii="仿宋_GB2312" w:hAnsi="微软雅黑" w:eastAsia="仿宋_GB2312" w:cs="仿宋_GB2312"/>
          <w:b w:val="0"/>
          <w:i w:val="0"/>
          <w:caps w:val="0"/>
          <w:color w:val="000000"/>
          <w:spacing w:val="0"/>
          <w:sz w:val="31"/>
          <w:szCs w:val="31"/>
          <w:shd w:val="clear" w:color="auto" w:fill="auto"/>
        </w:rPr>
        <w:t>年部门财政拨款收支总预算</w:t>
      </w:r>
      <w:r>
        <w:rPr>
          <w:rFonts w:hint="eastAsia" w:ascii="仿宋_GB2312" w:hAnsi="微软雅黑" w:eastAsia="仿宋_GB2312" w:cs="仿宋_GB2312"/>
          <w:b w:val="0"/>
          <w:i w:val="0"/>
          <w:caps w:val="0"/>
          <w:color w:val="000000"/>
          <w:spacing w:val="0"/>
          <w:sz w:val="31"/>
          <w:szCs w:val="31"/>
          <w:shd w:val="clear" w:color="auto" w:fill="auto"/>
          <w:lang w:val="en-US" w:eastAsia="zh-CN"/>
        </w:rPr>
        <w:t>3142.98</w:t>
      </w:r>
      <w:r>
        <w:rPr>
          <w:rFonts w:hint="eastAsia" w:ascii="仿宋_GB2312" w:hAnsi="微软雅黑" w:eastAsia="仿宋_GB2312" w:cs="仿宋_GB2312"/>
          <w:b w:val="0"/>
          <w:i w:val="0"/>
          <w:caps w:val="0"/>
          <w:color w:val="000000"/>
          <w:spacing w:val="0"/>
          <w:sz w:val="31"/>
          <w:szCs w:val="31"/>
          <w:shd w:val="clear" w:color="auto" w:fill="auto"/>
        </w:rPr>
        <w:t>万元，收入包括：一般公共预算拨款</w:t>
      </w:r>
      <w:r>
        <w:rPr>
          <w:rFonts w:hint="eastAsia" w:ascii="仿宋_GB2312" w:hAnsi="微软雅黑" w:eastAsia="仿宋_GB2312" w:cs="仿宋_GB2312"/>
          <w:b w:val="0"/>
          <w:i w:val="0"/>
          <w:caps w:val="0"/>
          <w:color w:val="000000"/>
          <w:spacing w:val="0"/>
          <w:sz w:val="31"/>
          <w:szCs w:val="31"/>
          <w:shd w:val="clear" w:color="auto" w:fill="auto"/>
          <w:lang w:val="en-US" w:eastAsia="zh-CN"/>
        </w:rPr>
        <w:t>3142.98</w:t>
      </w:r>
      <w:r>
        <w:rPr>
          <w:rFonts w:hint="eastAsia" w:ascii="仿宋_GB2312" w:hAnsi="微软雅黑" w:eastAsia="仿宋_GB2312" w:cs="仿宋_GB2312"/>
          <w:b w:val="0"/>
          <w:i w:val="0"/>
          <w:caps w:val="0"/>
          <w:color w:val="000000"/>
          <w:spacing w:val="0"/>
          <w:sz w:val="31"/>
          <w:szCs w:val="31"/>
          <w:shd w:val="clear" w:color="auto" w:fill="auto"/>
        </w:rPr>
        <w:t>万元，上年结转结余</w:t>
      </w:r>
      <w:r>
        <w:rPr>
          <w:rFonts w:hint="eastAsia" w:ascii="仿宋_GB2312" w:hAnsi="微软雅黑" w:eastAsia="仿宋_GB2312" w:cs="仿宋_GB2312"/>
          <w:b w:val="0"/>
          <w:i w:val="0"/>
          <w:caps w:val="0"/>
          <w:color w:val="000000"/>
          <w:spacing w:val="0"/>
          <w:sz w:val="31"/>
          <w:szCs w:val="31"/>
          <w:shd w:val="clear" w:color="auto" w:fill="auto"/>
          <w:lang w:val="en-US" w:eastAsia="zh-CN"/>
        </w:rPr>
        <w:t>0</w:t>
      </w:r>
      <w:r>
        <w:rPr>
          <w:rFonts w:hint="eastAsia" w:ascii="仿宋_GB2312" w:hAnsi="微软雅黑" w:eastAsia="仿宋_GB2312" w:cs="仿宋_GB2312"/>
          <w:b w:val="0"/>
          <w:i w:val="0"/>
          <w:caps w:val="0"/>
          <w:color w:val="000000"/>
          <w:spacing w:val="0"/>
          <w:sz w:val="31"/>
          <w:szCs w:val="31"/>
          <w:shd w:val="clear" w:color="auto" w:fill="auto"/>
        </w:rPr>
        <w:t>万元;支出包括：公共安全支出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2738.29</w:t>
      </w:r>
      <w:r>
        <w:rPr>
          <w:rFonts w:hint="eastAsia" w:ascii="仿宋_GB2312" w:hAnsi="微软雅黑" w:eastAsia="仿宋_GB2312" w:cs="仿宋_GB2312"/>
          <w:b w:val="0"/>
          <w:i w:val="0"/>
          <w:caps w:val="0"/>
          <w:color w:val="000000"/>
          <w:spacing w:val="0"/>
          <w:sz w:val="31"/>
          <w:szCs w:val="31"/>
          <w:shd w:val="clear" w:color="auto" w:fill="auto"/>
        </w:rPr>
        <w:t>万元，社会保障和就业支出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197.03</w:t>
      </w:r>
      <w:r>
        <w:rPr>
          <w:rFonts w:hint="eastAsia" w:ascii="仿宋_GB2312" w:hAnsi="微软雅黑" w:eastAsia="仿宋_GB2312" w:cs="仿宋_GB2312"/>
          <w:b w:val="0"/>
          <w:i w:val="0"/>
          <w:caps w:val="0"/>
          <w:color w:val="000000"/>
          <w:spacing w:val="0"/>
          <w:sz w:val="31"/>
          <w:szCs w:val="31"/>
          <w:shd w:val="clear" w:color="auto" w:fill="auto"/>
        </w:rPr>
        <w:t>万元，卫生健康支出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116.19</w:t>
      </w:r>
      <w:r>
        <w:rPr>
          <w:rFonts w:hint="eastAsia" w:ascii="仿宋_GB2312" w:hAnsi="微软雅黑" w:eastAsia="仿宋_GB2312" w:cs="仿宋_GB2312"/>
          <w:b w:val="0"/>
          <w:i w:val="0"/>
          <w:caps w:val="0"/>
          <w:color w:val="000000"/>
          <w:spacing w:val="0"/>
          <w:sz w:val="31"/>
          <w:szCs w:val="31"/>
          <w:shd w:val="clear" w:color="auto" w:fill="auto"/>
        </w:rPr>
        <w:t>万元，住房保障支出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91.47</w:t>
      </w:r>
      <w:r>
        <w:rPr>
          <w:rFonts w:hint="eastAsia" w:ascii="仿宋_GB2312" w:hAnsi="微软雅黑" w:eastAsia="仿宋_GB2312" w:cs="仿宋_GB2312"/>
          <w:b w:val="0"/>
          <w:i w:val="0"/>
          <w:caps w:val="0"/>
          <w:color w:val="000000"/>
          <w:spacing w:val="0"/>
          <w:sz w:val="31"/>
          <w:szCs w:val="31"/>
          <w:shd w:val="clear" w:color="auto" w:fill="auto"/>
        </w:rPr>
        <w:t>万元。</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五、一般公共预算支出情况说明</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2022年单位一般公共预算拨款支出3142.98万元，其中：基本支出1534.86万元，项目支出1608.11万元，具体支出预算如下：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（一）行政运行（法院）</w:t>
      </w:r>
      <w:r>
        <w:rPr>
          <w:rFonts w:hint="eastAsia" w:ascii="仿宋_GB2312" w:hAnsi="微软雅黑" w:eastAsia="仿宋_GB2312" w:cs="仿宋_GB2312"/>
          <w:b w:val="0"/>
          <w:i w:val="0"/>
          <w:caps w:val="0"/>
          <w:color w:val="000000"/>
          <w:spacing w:val="0"/>
          <w:sz w:val="31"/>
          <w:szCs w:val="31"/>
          <w:shd w:val="clear" w:color="auto" w:fill="auto"/>
          <w:lang w:val="en-US" w:eastAsia="zh-CN"/>
        </w:rPr>
        <w:t>1130.9</w:t>
      </w:r>
      <w:r>
        <w:rPr>
          <w:rFonts w:hint="eastAsia" w:ascii="仿宋_GB2312" w:hAnsi="微软雅黑" w:eastAsia="仿宋_GB2312" w:cs="仿宋_GB2312"/>
          <w:b w:val="0"/>
          <w:i w:val="0"/>
          <w:caps w:val="0"/>
          <w:color w:val="000000"/>
          <w:spacing w:val="0"/>
          <w:sz w:val="31"/>
          <w:szCs w:val="31"/>
          <w:shd w:val="clear" w:color="auto" w:fill="auto"/>
        </w:rPr>
        <w:t>万元，全部为基本支出。主要用于为保证法院日常运转而发生的人员经费支出和日常公用经费支出等。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（二）一般行政管理事务（法院）</w:t>
      </w:r>
      <w:r>
        <w:rPr>
          <w:rFonts w:hint="eastAsia" w:ascii="仿宋_GB2312" w:hAnsi="微软雅黑" w:eastAsia="仿宋_GB2312" w:cs="仿宋_GB2312"/>
          <w:b w:val="0"/>
          <w:i w:val="0"/>
          <w:caps w:val="0"/>
          <w:color w:val="000000"/>
          <w:spacing w:val="0"/>
          <w:sz w:val="31"/>
          <w:szCs w:val="31"/>
          <w:shd w:val="clear" w:color="auto" w:fill="auto"/>
          <w:lang w:val="en-US" w:eastAsia="zh-CN"/>
        </w:rPr>
        <w:t>362.4</w:t>
      </w:r>
      <w:r>
        <w:rPr>
          <w:rFonts w:hint="eastAsia" w:ascii="仿宋_GB2312" w:hAnsi="微软雅黑" w:eastAsia="仿宋_GB2312" w:cs="仿宋_GB2312"/>
          <w:b w:val="0"/>
          <w:i w:val="0"/>
          <w:caps w:val="0"/>
          <w:color w:val="000000"/>
          <w:spacing w:val="0"/>
          <w:sz w:val="31"/>
          <w:szCs w:val="31"/>
          <w:shd w:val="clear" w:color="auto" w:fill="auto"/>
        </w:rPr>
        <w:t>万元，全部为项目支出。主要用于法院其他项目支出。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（三）案件审判</w:t>
      </w:r>
      <w:r>
        <w:rPr>
          <w:rFonts w:hint="eastAsia" w:ascii="仿宋_GB2312" w:hAnsi="微软雅黑" w:eastAsia="仿宋_GB2312" w:cs="仿宋_GB2312"/>
          <w:b w:val="0"/>
          <w:i w:val="0"/>
          <w:caps w:val="0"/>
          <w:color w:val="000000"/>
          <w:spacing w:val="0"/>
          <w:sz w:val="31"/>
          <w:szCs w:val="31"/>
          <w:shd w:val="clear" w:color="auto" w:fill="auto"/>
          <w:lang w:val="en-US" w:eastAsia="zh-CN"/>
        </w:rPr>
        <w:t>69.15</w:t>
      </w:r>
      <w:r>
        <w:rPr>
          <w:rFonts w:hint="eastAsia" w:ascii="仿宋_GB2312" w:hAnsi="微软雅黑" w:eastAsia="仿宋_GB2312" w:cs="仿宋_GB2312"/>
          <w:b w:val="0"/>
          <w:i w:val="0"/>
          <w:caps w:val="0"/>
          <w:color w:val="000000"/>
          <w:spacing w:val="0"/>
          <w:sz w:val="31"/>
          <w:szCs w:val="31"/>
          <w:shd w:val="clear" w:color="auto" w:fill="auto"/>
        </w:rPr>
        <w:t>万元，全部为项目支出。主要用于法院为完成各项审判工作任务而发生的办案业务支出等。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（四）案件执行</w:t>
      </w:r>
      <w:r>
        <w:rPr>
          <w:rFonts w:hint="eastAsia" w:ascii="仿宋_GB2312" w:hAnsi="微软雅黑" w:eastAsia="仿宋_GB2312" w:cs="仿宋_GB2312"/>
          <w:b w:val="0"/>
          <w:i w:val="0"/>
          <w:caps w:val="0"/>
          <w:color w:val="000000"/>
          <w:spacing w:val="0"/>
          <w:sz w:val="31"/>
          <w:szCs w:val="31"/>
          <w:shd w:val="clear" w:color="auto" w:fill="auto"/>
          <w:lang w:val="en-US" w:eastAsia="zh-CN"/>
        </w:rPr>
        <w:t>135.68</w:t>
      </w:r>
      <w:r>
        <w:rPr>
          <w:rFonts w:hint="eastAsia" w:ascii="仿宋_GB2312" w:hAnsi="微软雅黑" w:eastAsia="仿宋_GB2312" w:cs="仿宋_GB2312"/>
          <w:b w:val="0"/>
          <w:i w:val="0"/>
          <w:caps w:val="0"/>
          <w:color w:val="000000"/>
          <w:spacing w:val="0"/>
          <w:sz w:val="31"/>
          <w:szCs w:val="31"/>
          <w:shd w:val="clear" w:color="auto" w:fill="auto"/>
        </w:rPr>
        <w:t>万元，全部为项目支出。主要用于法院为完成各项执行工作任务而发生的办案业务支出等。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（五）“两庭”建设</w:t>
      </w:r>
      <w:r>
        <w:rPr>
          <w:rFonts w:hint="eastAsia" w:ascii="仿宋_GB2312" w:hAnsi="微软雅黑" w:eastAsia="仿宋_GB2312" w:cs="仿宋_GB2312"/>
          <w:b w:val="0"/>
          <w:i w:val="0"/>
          <w:caps w:val="0"/>
          <w:color w:val="000000"/>
          <w:spacing w:val="0"/>
          <w:sz w:val="31"/>
          <w:szCs w:val="31"/>
          <w:shd w:val="clear" w:color="auto" w:fill="auto"/>
          <w:lang w:val="en-US" w:eastAsia="zh-CN"/>
        </w:rPr>
        <w:t>38</w:t>
      </w:r>
      <w:r>
        <w:rPr>
          <w:rFonts w:hint="eastAsia" w:ascii="仿宋_GB2312" w:hAnsi="微软雅黑" w:eastAsia="仿宋_GB2312" w:cs="仿宋_GB2312"/>
          <w:b w:val="0"/>
          <w:i w:val="0"/>
          <w:caps w:val="0"/>
          <w:color w:val="000000"/>
          <w:spacing w:val="0"/>
          <w:sz w:val="31"/>
          <w:szCs w:val="31"/>
          <w:shd w:val="clear" w:color="auto" w:fill="auto"/>
        </w:rPr>
        <w:t>万元，全部为项目支出。主要用于人民法院审判用房、人民法庭用房建设维修和设备购置等支出。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（六）其他法院支出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1002.16</w:t>
      </w:r>
      <w:r>
        <w:rPr>
          <w:rFonts w:hint="eastAsia" w:ascii="仿宋_GB2312" w:hAnsi="微软雅黑" w:eastAsia="仿宋_GB2312" w:cs="仿宋_GB2312"/>
          <w:b w:val="0"/>
          <w:i w:val="0"/>
          <w:caps w:val="0"/>
          <w:color w:val="000000"/>
          <w:spacing w:val="0"/>
          <w:sz w:val="31"/>
          <w:szCs w:val="31"/>
          <w:shd w:val="clear" w:color="auto" w:fill="auto"/>
        </w:rPr>
        <w:t>万元，全部为项目支出。主要用于为完成其他各项法院方面工作任务而发生的办案业务支出等。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（七）行政单位离退休</w:t>
      </w:r>
      <w:r>
        <w:rPr>
          <w:rFonts w:hint="eastAsia" w:ascii="仿宋_GB2312" w:hAnsi="微软雅黑" w:eastAsia="仿宋_GB2312" w:cs="仿宋_GB2312"/>
          <w:b w:val="0"/>
          <w:i w:val="0"/>
          <w:caps w:val="0"/>
          <w:color w:val="000000"/>
          <w:spacing w:val="0"/>
          <w:sz w:val="31"/>
          <w:szCs w:val="31"/>
          <w:shd w:val="clear" w:color="auto" w:fill="auto"/>
          <w:lang w:val="en-US" w:eastAsia="zh-CN"/>
        </w:rPr>
        <w:t>14.08</w:t>
      </w:r>
      <w:r>
        <w:rPr>
          <w:rFonts w:hint="eastAsia" w:ascii="仿宋_GB2312" w:hAnsi="微软雅黑" w:eastAsia="仿宋_GB2312" w:cs="仿宋_GB2312"/>
          <w:b w:val="0"/>
          <w:i w:val="0"/>
          <w:caps w:val="0"/>
          <w:color w:val="000000"/>
          <w:spacing w:val="0"/>
          <w:sz w:val="31"/>
          <w:szCs w:val="31"/>
          <w:shd w:val="clear" w:color="auto" w:fill="auto"/>
        </w:rPr>
        <w:t>万元，</w:t>
      </w:r>
      <w:r>
        <w:rPr>
          <w:rFonts w:hint="eastAsia" w:ascii="仿宋_GB2312" w:hAnsi="华文仿宋" w:eastAsia="仿宋_GB2312" w:cs="Times New Roman"/>
          <w:b w:val="0"/>
          <w:bCs w:val="0"/>
          <w:strike w:val="0"/>
          <w:color w:val="auto"/>
          <w:kern w:val="2"/>
          <w:sz w:val="32"/>
          <w:szCs w:val="32"/>
          <w:u w:val="none"/>
          <w:lang w:val="en-US" w:eastAsia="zh-CN" w:bidi="ar-SA"/>
        </w:rPr>
        <w:t>基本支出预算13.36万元，项目支出预算0.73万元</w:t>
      </w:r>
      <w:r>
        <w:rPr>
          <w:rFonts w:hint="eastAsia" w:ascii="仿宋_GB2312" w:hAnsi="微软雅黑" w:eastAsia="仿宋_GB2312" w:cs="仿宋_GB2312"/>
          <w:b w:val="0"/>
          <w:i w:val="0"/>
          <w:caps w:val="0"/>
          <w:color w:val="000000"/>
          <w:spacing w:val="0"/>
          <w:sz w:val="31"/>
          <w:szCs w:val="31"/>
          <w:shd w:val="clear" w:color="auto" w:fill="auto"/>
        </w:rPr>
        <w:t>。主要用于法院离退休人员费用支出。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（八）机关事业单位基本养老保险缴费支出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121.96</w:t>
      </w:r>
      <w:r>
        <w:rPr>
          <w:rFonts w:hint="eastAsia" w:ascii="仿宋_GB2312" w:hAnsi="微软雅黑" w:eastAsia="仿宋_GB2312" w:cs="仿宋_GB2312"/>
          <w:b w:val="0"/>
          <w:i w:val="0"/>
          <w:caps w:val="0"/>
          <w:color w:val="000000"/>
          <w:spacing w:val="0"/>
          <w:sz w:val="31"/>
          <w:szCs w:val="31"/>
          <w:shd w:val="clear" w:color="auto" w:fill="auto"/>
        </w:rPr>
        <w:t>万元，全部为基本支出。主要用于支付根据市统一规定，按柳州市法院在职职工工资总额的一定比例计缴的基本养老保险费。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（九）机关事业单位职业年金缴费支出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60.98</w:t>
      </w:r>
      <w:r>
        <w:rPr>
          <w:rFonts w:hint="eastAsia" w:ascii="仿宋_GB2312" w:hAnsi="微软雅黑" w:eastAsia="仿宋_GB2312" w:cs="仿宋_GB2312"/>
          <w:b w:val="0"/>
          <w:i w:val="0"/>
          <w:caps w:val="0"/>
          <w:color w:val="000000"/>
          <w:spacing w:val="0"/>
          <w:sz w:val="31"/>
          <w:szCs w:val="31"/>
          <w:shd w:val="clear" w:color="auto" w:fill="auto"/>
        </w:rPr>
        <w:t>万元，全部为基本支出。主要用于支付根据市统一规定，按柳州市法院在职职工工资总额的一定比例计缴的职业年金费用。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（十）行政单位医疗</w:t>
      </w:r>
      <w:r>
        <w:rPr>
          <w:rFonts w:hint="eastAsia" w:ascii="仿宋_GB2312" w:hAnsi="微软雅黑" w:eastAsia="仿宋_GB2312" w:cs="仿宋_GB2312"/>
          <w:b w:val="0"/>
          <w:i w:val="0"/>
          <w:caps w:val="0"/>
          <w:color w:val="000000"/>
          <w:spacing w:val="0"/>
          <w:sz w:val="31"/>
          <w:szCs w:val="31"/>
          <w:shd w:val="clear" w:color="auto" w:fill="auto"/>
          <w:lang w:val="en-US" w:eastAsia="zh-CN"/>
        </w:rPr>
        <w:t>59.46</w:t>
      </w:r>
      <w:r>
        <w:rPr>
          <w:rFonts w:hint="eastAsia" w:ascii="仿宋_GB2312" w:hAnsi="微软雅黑" w:eastAsia="仿宋_GB2312" w:cs="仿宋_GB2312"/>
          <w:b w:val="0"/>
          <w:i w:val="0"/>
          <w:caps w:val="0"/>
          <w:color w:val="000000"/>
          <w:spacing w:val="0"/>
          <w:sz w:val="31"/>
          <w:szCs w:val="31"/>
          <w:shd w:val="clear" w:color="auto" w:fill="auto"/>
        </w:rPr>
        <w:t>万元，全部为基本支出。主要用于支付根据市统一规定，按柳州市法院在职职工工资总额的一定比例计缴的医疗保险。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（十</w:t>
      </w:r>
      <w:r>
        <w:rPr>
          <w:rFonts w:hint="eastAsia" w:ascii="仿宋_GB2312" w:hAnsi="微软雅黑" w:eastAsia="仿宋_GB2312" w:cs="仿宋_GB2312"/>
          <w:b w:val="0"/>
          <w:i w:val="0"/>
          <w:caps w:val="0"/>
          <w:color w:val="000000"/>
          <w:spacing w:val="0"/>
          <w:sz w:val="31"/>
          <w:szCs w:val="31"/>
          <w:shd w:val="clear" w:color="auto" w:fill="auto"/>
          <w:lang w:eastAsia="zh-CN"/>
        </w:rPr>
        <w:t>一</w:t>
      </w:r>
      <w:r>
        <w:rPr>
          <w:rFonts w:hint="eastAsia" w:ascii="仿宋_GB2312" w:hAnsi="微软雅黑" w:eastAsia="仿宋_GB2312" w:cs="仿宋_GB2312"/>
          <w:b w:val="0"/>
          <w:i w:val="0"/>
          <w:caps w:val="0"/>
          <w:color w:val="000000"/>
          <w:spacing w:val="0"/>
          <w:sz w:val="31"/>
          <w:szCs w:val="31"/>
          <w:shd w:val="clear" w:color="auto" w:fill="auto"/>
        </w:rPr>
        <w:t>）公务员医疗补助</w:t>
      </w:r>
      <w:r>
        <w:rPr>
          <w:rFonts w:hint="eastAsia" w:ascii="仿宋_GB2312" w:hAnsi="微软雅黑" w:eastAsia="仿宋_GB2312" w:cs="仿宋_GB2312"/>
          <w:b w:val="0"/>
          <w:i w:val="0"/>
          <w:caps w:val="0"/>
          <w:color w:val="000000"/>
          <w:spacing w:val="0"/>
          <w:sz w:val="31"/>
          <w:szCs w:val="31"/>
          <w:shd w:val="clear" w:color="auto" w:fill="auto"/>
          <w:lang w:val="en-US" w:eastAsia="zh-CN"/>
        </w:rPr>
        <w:t>56.73</w:t>
      </w:r>
      <w:r>
        <w:rPr>
          <w:rFonts w:hint="eastAsia" w:ascii="仿宋_GB2312" w:hAnsi="微软雅黑" w:eastAsia="仿宋_GB2312" w:cs="仿宋_GB2312"/>
          <w:b w:val="0"/>
          <w:i w:val="0"/>
          <w:caps w:val="0"/>
          <w:color w:val="000000"/>
          <w:spacing w:val="0"/>
          <w:sz w:val="31"/>
          <w:szCs w:val="31"/>
          <w:shd w:val="clear" w:color="auto" w:fill="auto"/>
        </w:rPr>
        <w:t>万元，全部为基本支出。主要用于支付根据市统一规定，按柳州市法院在职职工工资总额的一定比例计缴的公务员医疗补助。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（十</w:t>
      </w:r>
      <w:r>
        <w:rPr>
          <w:rFonts w:hint="eastAsia" w:ascii="仿宋_GB2312" w:hAnsi="微软雅黑" w:eastAsia="仿宋_GB2312" w:cs="仿宋_GB2312"/>
          <w:b w:val="0"/>
          <w:i w:val="0"/>
          <w:caps w:val="0"/>
          <w:color w:val="000000"/>
          <w:spacing w:val="0"/>
          <w:sz w:val="31"/>
          <w:szCs w:val="31"/>
          <w:shd w:val="clear" w:color="auto" w:fill="auto"/>
          <w:lang w:eastAsia="zh-CN"/>
        </w:rPr>
        <w:t>二</w:t>
      </w:r>
      <w:r>
        <w:rPr>
          <w:rFonts w:hint="eastAsia" w:ascii="仿宋_GB2312" w:hAnsi="微软雅黑" w:eastAsia="仿宋_GB2312" w:cs="仿宋_GB2312"/>
          <w:b w:val="0"/>
          <w:i w:val="0"/>
          <w:caps w:val="0"/>
          <w:color w:val="000000"/>
          <w:spacing w:val="0"/>
          <w:sz w:val="31"/>
          <w:szCs w:val="31"/>
          <w:shd w:val="clear" w:color="auto" w:fill="auto"/>
        </w:rPr>
        <w:t>）住房公积金</w:t>
      </w:r>
      <w:r>
        <w:rPr>
          <w:rFonts w:hint="eastAsia" w:ascii="仿宋_GB2312" w:hAnsi="微软雅黑" w:eastAsia="仿宋_GB2312" w:cs="仿宋_GB2312"/>
          <w:b w:val="0"/>
          <w:i w:val="0"/>
          <w:caps w:val="0"/>
          <w:color w:val="000000"/>
          <w:spacing w:val="0"/>
          <w:sz w:val="31"/>
          <w:szCs w:val="31"/>
          <w:shd w:val="clear" w:color="auto" w:fill="auto"/>
          <w:lang w:val="en-US" w:eastAsia="zh-CN"/>
        </w:rPr>
        <w:t>91.47</w:t>
      </w:r>
      <w:r>
        <w:rPr>
          <w:rFonts w:hint="eastAsia" w:ascii="仿宋_GB2312" w:hAnsi="微软雅黑" w:eastAsia="仿宋_GB2312" w:cs="仿宋_GB2312"/>
          <w:b w:val="0"/>
          <w:i w:val="0"/>
          <w:caps w:val="0"/>
          <w:color w:val="000000"/>
          <w:spacing w:val="0"/>
          <w:sz w:val="31"/>
          <w:szCs w:val="31"/>
          <w:shd w:val="clear" w:color="auto" w:fill="auto"/>
        </w:rPr>
        <w:t>万元，全部为基本支出。主要用于按照国家政策规定为法院职工计缴的住房公积金支出。</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六、一般公共预算基本支出情况说明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202</w:t>
      </w:r>
      <w:r>
        <w:rPr>
          <w:rFonts w:hint="eastAsia" w:ascii="仿宋_GB2312" w:hAnsi="微软雅黑" w:eastAsia="仿宋_GB2312" w:cs="仿宋_GB2312"/>
          <w:b w:val="0"/>
          <w:i w:val="0"/>
          <w:caps w:val="0"/>
          <w:color w:val="000000"/>
          <w:spacing w:val="0"/>
          <w:sz w:val="31"/>
          <w:szCs w:val="31"/>
          <w:shd w:val="clear" w:color="auto" w:fill="auto"/>
          <w:lang w:val="en-US" w:eastAsia="zh-CN"/>
        </w:rPr>
        <w:t>2</w:t>
      </w:r>
      <w:r>
        <w:rPr>
          <w:rFonts w:hint="eastAsia" w:ascii="仿宋_GB2312" w:hAnsi="微软雅黑" w:eastAsia="仿宋_GB2312" w:cs="仿宋_GB2312"/>
          <w:b w:val="0"/>
          <w:i w:val="0"/>
          <w:caps w:val="0"/>
          <w:color w:val="000000"/>
          <w:spacing w:val="0"/>
          <w:sz w:val="31"/>
          <w:szCs w:val="31"/>
          <w:shd w:val="clear" w:color="auto" w:fill="auto"/>
        </w:rPr>
        <w:t>年部门一般公共预算基本支出</w:t>
      </w:r>
      <w:r>
        <w:rPr>
          <w:rFonts w:hint="eastAsia" w:ascii="仿宋_GB2312" w:hAnsi="微软雅黑" w:eastAsia="仿宋_GB2312" w:cs="仿宋_GB2312"/>
          <w:b w:val="0"/>
          <w:i w:val="0"/>
          <w:caps w:val="0"/>
          <w:color w:val="000000"/>
          <w:spacing w:val="0"/>
          <w:sz w:val="31"/>
          <w:szCs w:val="31"/>
          <w:shd w:val="clear" w:color="auto" w:fill="auto"/>
          <w:lang w:val="en-US" w:eastAsia="zh-CN"/>
        </w:rPr>
        <w:t>1534.86</w:t>
      </w:r>
      <w:r>
        <w:rPr>
          <w:rFonts w:hint="eastAsia" w:ascii="仿宋_GB2312" w:hAnsi="微软雅黑" w:eastAsia="仿宋_GB2312" w:cs="仿宋_GB2312"/>
          <w:b w:val="0"/>
          <w:i w:val="0"/>
          <w:caps w:val="0"/>
          <w:color w:val="000000"/>
          <w:spacing w:val="0"/>
          <w:sz w:val="31"/>
          <w:szCs w:val="31"/>
          <w:shd w:val="clear" w:color="auto" w:fill="auto"/>
        </w:rPr>
        <w:t>万元，其中：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（一）人员经费</w:t>
      </w:r>
      <w:r>
        <w:rPr>
          <w:rFonts w:hint="eastAsia" w:ascii="仿宋_GB2312" w:hAnsi="微软雅黑" w:eastAsia="仿宋_GB2312" w:cs="仿宋_GB2312"/>
          <w:b w:val="0"/>
          <w:i w:val="0"/>
          <w:caps w:val="0"/>
          <w:color w:val="000000"/>
          <w:spacing w:val="0"/>
          <w:sz w:val="31"/>
          <w:szCs w:val="31"/>
          <w:shd w:val="clear" w:color="auto" w:fill="auto"/>
          <w:lang w:val="en-US" w:eastAsia="zh-CN"/>
        </w:rPr>
        <w:t>1223.12</w:t>
      </w:r>
      <w:r>
        <w:rPr>
          <w:rFonts w:hint="eastAsia" w:ascii="仿宋_GB2312" w:hAnsi="微软雅黑" w:eastAsia="仿宋_GB2312" w:cs="仿宋_GB2312"/>
          <w:b w:val="0"/>
          <w:i w:val="0"/>
          <w:caps w:val="0"/>
          <w:color w:val="000000"/>
          <w:spacing w:val="0"/>
          <w:sz w:val="31"/>
          <w:szCs w:val="31"/>
          <w:shd w:val="clear" w:color="auto" w:fill="auto"/>
        </w:rPr>
        <w:t>万元，主要包括：基本工资、津贴补贴、奖金、机关事业单位基本养老保险缴费、职业年金缴费、职工基本医疗保险缴费、公务员医疗补助缴费、其他社会保障缴费、住房公积金、离休费、退休费、生活补助和医疗费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（二）公用经费</w:t>
      </w:r>
      <w:r>
        <w:rPr>
          <w:rFonts w:hint="eastAsia" w:ascii="仿宋_GB2312" w:hAnsi="微软雅黑" w:eastAsia="仿宋_GB2312" w:cs="仿宋_GB2312"/>
          <w:b w:val="0"/>
          <w:i w:val="0"/>
          <w:caps w:val="0"/>
          <w:color w:val="000000"/>
          <w:spacing w:val="0"/>
          <w:sz w:val="31"/>
          <w:szCs w:val="31"/>
          <w:shd w:val="clear" w:color="auto" w:fill="auto"/>
          <w:lang w:val="en-US" w:eastAsia="zh-CN"/>
        </w:rPr>
        <w:t>311.74</w:t>
      </w:r>
      <w:r>
        <w:rPr>
          <w:rFonts w:hint="eastAsia" w:ascii="仿宋_GB2312" w:hAnsi="微软雅黑" w:eastAsia="仿宋_GB2312" w:cs="仿宋_GB2312"/>
          <w:b w:val="0"/>
          <w:i w:val="0"/>
          <w:caps w:val="0"/>
          <w:color w:val="000000"/>
          <w:spacing w:val="0"/>
          <w:sz w:val="31"/>
          <w:szCs w:val="31"/>
          <w:shd w:val="clear" w:color="auto" w:fill="auto"/>
        </w:rPr>
        <w:t>万元，主要包括：办公费、印刷费、水费、电费、邮电费、物业管理费、差旅费、维修(护)费、会议费、培训费、公务接待费、工会经费、公务用车运行维护费、其他交通费用以及其他商品和服务支出。</w:t>
      </w:r>
    </w:p>
    <w:p>
      <w:pPr>
        <w:keepNext w:val="0"/>
        <w:keepLines w:val="0"/>
        <w:pageBreakBefore w:val="0"/>
        <w:tabs>
          <w:tab w:val="center" w:pos="4475"/>
        </w:tabs>
        <w:kinsoku/>
        <w:wordWrap/>
        <w:overflowPunct/>
        <w:topLinePunct w:val="0"/>
        <w:autoSpaceDE/>
        <w:autoSpaceDN/>
        <w:bidi w:val="0"/>
        <w:adjustRightInd w:val="0"/>
        <w:snapToGrid w:val="0"/>
        <w:spacing w:line="560" w:lineRule="exact"/>
        <w:ind w:right="-218" w:rightChars="-104" w:firstLine="643" w:firstLineChars="200"/>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七、一般公共预算“三公”经费情况说明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202</w:t>
      </w:r>
      <w:r>
        <w:rPr>
          <w:rFonts w:hint="eastAsia" w:ascii="仿宋_GB2312" w:hAnsi="微软雅黑" w:eastAsia="仿宋_GB2312" w:cs="仿宋_GB2312"/>
          <w:b w:val="0"/>
          <w:i w:val="0"/>
          <w:caps w:val="0"/>
          <w:color w:val="000000"/>
          <w:spacing w:val="0"/>
          <w:sz w:val="31"/>
          <w:szCs w:val="31"/>
          <w:shd w:val="clear" w:color="auto" w:fill="auto"/>
          <w:lang w:val="en-US" w:eastAsia="zh-CN"/>
        </w:rPr>
        <w:t>2</w:t>
      </w:r>
      <w:r>
        <w:rPr>
          <w:rFonts w:hint="eastAsia" w:ascii="仿宋_GB2312" w:hAnsi="微软雅黑" w:eastAsia="仿宋_GB2312" w:cs="仿宋_GB2312"/>
          <w:b w:val="0"/>
          <w:i w:val="0"/>
          <w:caps w:val="0"/>
          <w:color w:val="000000"/>
          <w:spacing w:val="0"/>
          <w:sz w:val="31"/>
          <w:szCs w:val="31"/>
          <w:shd w:val="clear" w:color="auto" w:fill="auto"/>
        </w:rPr>
        <w:t>年一般公共预算安排的“三公”经费支出预算</w:t>
      </w:r>
      <w:r>
        <w:rPr>
          <w:rFonts w:hint="eastAsia" w:ascii="仿宋_GB2312" w:hAnsi="微软雅黑" w:eastAsia="仿宋_GB2312" w:cs="仿宋_GB2312"/>
          <w:b w:val="0"/>
          <w:i w:val="0"/>
          <w:caps w:val="0"/>
          <w:color w:val="000000"/>
          <w:spacing w:val="0"/>
          <w:sz w:val="31"/>
          <w:szCs w:val="31"/>
          <w:shd w:val="clear" w:color="auto" w:fill="auto"/>
          <w:lang w:val="en-US" w:eastAsia="zh-CN"/>
        </w:rPr>
        <w:t>4.37</w:t>
      </w:r>
      <w:r>
        <w:rPr>
          <w:rFonts w:hint="eastAsia" w:ascii="仿宋_GB2312" w:hAnsi="微软雅黑" w:eastAsia="仿宋_GB2312" w:cs="仿宋_GB2312"/>
          <w:b w:val="0"/>
          <w:i w:val="0"/>
          <w:caps w:val="0"/>
          <w:color w:val="000000"/>
          <w:spacing w:val="0"/>
          <w:sz w:val="31"/>
          <w:szCs w:val="31"/>
          <w:shd w:val="clear" w:color="auto" w:fill="auto"/>
        </w:rPr>
        <w:t>万元，比202</w:t>
      </w:r>
      <w:r>
        <w:rPr>
          <w:rFonts w:hint="eastAsia" w:ascii="仿宋_GB2312" w:hAnsi="微软雅黑" w:eastAsia="仿宋_GB2312" w:cs="仿宋_GB2312"/>
          <w:b w:val="0"/>
          <w:i w:val="0"/>
          <w:caps w:val="0"/>
          <w:color w:val="000000"/>
          <w:spacing w:val="0"/>
          <w:sz w:val="31"/>
          <w:szCs w:val="31"/>
          <w:shd w:val="clear" w:color="auto" w:fill="auto"/>
          <w:lang w:val="en-US" w:eastAsia="zh-CN"/>
        </w:rPr>
        <w:t>1</w:t>
      </w:r>
      <w:r>
        <w:rPr>
          <w:rFonts w:hint="eastAsia" w:ascii="仿宋_GB2312" w:hAnsi="微软雅黑" w:eastAsia="仿宋_GB2312" w:cs="仿宋_GB2312"/>
          <w:b w:val="0"/>
          <w:i w:val="0"/>
          <w:caps w:val="0"/>
          <w:color w:val="000000"/>
          <w:spacing w:val="0"/>
          <w:sz w:val="31"/>
          <w:szCs w:val="31"/>
          <w:shd w:val="clear" w:color="auto" w:fill="auto"/>
        </w:rPr>
        <w:t>年（上一年）预算</w:t>
      </w:r>
      <w:r>
        <w:rPr>
          <w:rFonts w:hint="eastAsia" w:ascii="仿宋_GB2312" w:hAnsi="微软雅黑" w:eastAsia="仿宋_GB2312" w:cs="仿宋_GB2312"/>
          <w:b w:val="0"/>
          <w:i w:val="0"/>
          <w:caps w:val="0"/>
          <w:color w:val="000000"/>
          <w:spacing w:val="0"/>
          <w:sz w:val="31"/>
          <w:szCs w:val="31"/>
          <w:shd w:val="clear" w:color="auto" w:fill="auto"/>
          <w:lang w:val="en-US" w:eastAsia="zh-CN"/>
        </w:rPr>
        <w:t>4.55</w:t>
      </w:r>
      <w:r>
        <w:rPr>
          <w:rFonts w:hint="eastAsia" w:ascii="仿宋_GB2312" w:hAnsi="微软雅黑" w:eastAsia="仿宋_GB2312" w:cs="仿宋_GB2312"/>
          <w:b w:val="0"/>
          <w:i w:val="0"/>
          <w:caps w:val="0"/>
          <w:color w:val="000000"/>
          <w:spacing w:val="0"/>
          <w:sz w:val="31"/>
          <w:szCs w:val="31"/>
          <w:shd w:val="clear" w:color="auto" w:fill="auto"/>
        </w:rPr>
        <w:t>万元，同比</w:t>
      </w:r>
      <w:r>
        <w:rPr>
          <w:rFonts w:hint="eastAsia" w:ascii="仿宋_GB2312" w:hAnsi="微软雅黑" w:eastAsia="仿宋_GB2312" w:cs="仿宋_GB2312"/>
          <w:b w:val="0"/>
          <w:i w:val="0"/>
          <w:caps w:val="0"/>
          <w:color w:val="000000"/>
          <w:spacing w:val="0"/>
          <w:sz w:val="31"/>
          <w:szCs w:val="31"/>
          <w:shd w:val="clear" w:color="auto" w:fill="auto"/>
          <w:lang w:eastAsia="zh-CN"/>
        </w:rPr>
        <w:t>减少</w:t>
      </w:r>
      <w:r>
        <w:rPr>
          <w:rFonts w:hint="eastAsia" w:ascii="仿宋_GB2312" w:hAnsi="微软雅黑" w:eastAsia="仿宋_GB2312" w:cs="仿宋_GB2312"/>
          <w:b w:val="0"/>
          <w:i w:val="0"/>
          <w:caps w:val="0"/>
          <w:color w:val="000000"/>
          <w:spacing w:val="0"/>
          <w:sz w:val="31"/>
          <w:szCs w:val="31"/>
          <w:shd w:val="clear" w:color="auto" w:fill="auto"/>
          <w:lang w:val="en-US" w:eastAsia="zh-CN"/>
        </w:rPr>
        <w:t>0.18</w:t>
      </w:r>
      <w:r>
        <w:rPr>
          <w:rFonts w:hint="eastAsia" w:ascii="仿宋_GB2312" w:hAnsi="微软雅黑" w:eastAsia="仿宋_GB2312" w:cs="仿宋_GB2312"/>
          <w:b w:val="0"/>
          <w:i w:val="0"/>
          <w:caps w:val="0"/>
          <w:color w:val="000000"/>
          <w:spacing w:val="0"/>
          <w:sz w:val="31"/>
          <w:szCs w:val="31"/>
          <w:shd w:val="clear" w:color="auto" w:fill="auto"/>
        </w:rPr>
        <w:t>万元，同比</w:t>
      </w:r>
      <w:r>
        <w:rPr>
          <w:rFonts w:hint="eastAsia" w:ascii="仿宋_GB2312" w:hAnsi="微软雅黑" w:eastAsia="仿宋_GB2312" w:cs="仿宋_GB2312"/>
          <w:b w:val="0"/>
          <w:i w:val="0"/>
          <w:caps w:val="0"/>
          <w:color w:val="000000"/>
          <w:spacing w:val="0"/>
          <w:sz w:val="31"/>
          <w:szCs w:val="31"/>
          <w:shd w:val="clear" w:color="auto" w:fill="auto"/>
          <w:lang w:eastAsia="zh-CN"/>
        </w:rPr>
        <w:t>下降</w:t>
      </w:r>
      <w:r>
        <w:rPr>
          <w:rFonts w:hint="eastAsia" w:ascii="仿宋_GB2312" w:hAnsi="微软雅黑" w:eastAsia="仿宋_GB2312" w:cs="仿宋_GB2312"/>
          <w:b w:val="0"/>
          <w:i w:val="0"/>
          <w:caps w:val="0"/>
          <w:color w:val="000000"/>
          <w:spacing w:val="0"/>
          <w:sz w:val="31"/>
          <w:szCs w:val="31"/>
          <w:shd w:val="clear" w:color="auto" w:fill="auto"/>
          <w:lang w:val="en-US" w:eastAsia="zh-CN"/>
        </w:rPr>
        <w:t>3.96</w:t>
      </w:r>
      <w:r>
        <w:rPr>
          <w:rFonts w:hint="eastAsia" w:ascii="仿宋_GB2312" w:hAnsi="微软雅黑" w:eastAsia="仿宋_GB2312" w:cs="仿宋_GB2312"/>
          <w:b w:val="0"/>
          <w:i w:val="0"/>
          <w:caps w:val="0"/>
          <w:color w:val="000000"/>
          <w:spacing w:val="0"/>
          <w:sz w:val="31"/>
          <w:szCs w:val="31"/>
          <w:shd w:val="clear" w:color="auto" w:fill="auto"/>
        </w:rPr>
        <w:t>%。其中：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（一）因公出国（境）经费2021年预算0万元，同比上年持平</w:t>
      </w:r>
      <w:r>
        <w:rPr>
          <w:rFonts w:hint="eastAsia" w:ascii="仿宋_GB2312" w:hAnsi="微软雅黑" w:eastAsia="仿宋_GB2312" w:cs="仿宋_GB2312"/>
          <w:b w:val="0"/>
          <w:i w:val="0"/>
          <w:caps w:val="0"/>
          <w:color w:val="000000"/>
          <w:spacing w:val="0"/>
          <w:sz w:val="31"/>
          <w:szCs w:val="31"/>
          <w:shd w:val="clear" w:color="auto" w:fill="auto"/>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仿宋_GB2312" w:hAnsi="微软雅黑" w:eastAsia="仿宋_GB2312" w:cs="仿宋_GB2312"/>
          <w:b w:val="0"/>
          <w:i w:val="0"/>
          <w:caps w:val="0"/>
          <w:color w:val="000000"/>
          <w:spacing w:val="0"/>
          <w:sz w:val="31"/>
          <w:szCs w:val="31"/>
          <w:shd w:val="clear" w:color="auto" w:fill="auto"/>
          <w:lang w:val="en-US" w:eastAsia="zh-CN"/>
        </w:rPr>
      </w:pPr>
      <w:r>
        <w:rPr>
          <w:rFonts w:hint="eastAsia" w:ascii="仿宋_GB2312" w:hAnsi="微软雅黑" w:eastAsia="仿宋_GB2312" w:cs="仿宋_GB2312"/>
          <w:b w:val="0"/>
          <w:i w:val="0"/>
          <w:caps w:val="0"/>
          <w:color w:val="000000"/>
          <w:spacing w:val="0"/>
          <w:sz w:val="31"/>
          <w:szCs w:val="31"/>
          <w:shd w:val="clear" w:color="auto" w:fill="auto"/>
        </w:rPr>
        <w:t>（二）公务接待费</w:t>
      </w:r>
      <w:r>
        <w:rPr>
          <w:rFonts w:hint="eastAsia" w:ascii="仿宋_GB2312" w:hAnsi="微软雅黑" w:eastAsia="仿宋_GB2312" w:cs="仿宋_GB2312"/>
          <w:b w:val="0"/>
          <w:i w:val="0"/>
          <w:caps w:val="0"/>
          <w:color w:val="000000"/>
          <w:spacing w:val="0"/>
          <w:sz w:val="31"/>
          <w:szCs w:val="31"/>
          <w:shd w:val="clear" w:color="auto" w:fill="auto"/>
          <w:lang w:val="en-US" w:eastAsia="zh-CN"/>
        </w:rPr>
        <w:t>2022</w:t>
      </w:r>
      <w:r>
        <w:rPr>
          <w:rFonts w:hint="eastAsia" w:ascii="仿宋_GB2312" w:hAnsi="微软雅黑" w:eastAsia="仿宋_GB2312" w:cs="仿宋_GB2312"/>
          <w:b w:val="0"/>
          <w:i w:val="0"/>
          <w:caps w:val="0"/>
          <w:color w:val="000000"/>
          <w:spacing w:val="0"/>
          <w:sz w:val="31"/>
          <w:szCs w:val="31"/>
          <w:shd w:val="clear" w:color="auto" w:fill="auto"/>
        </w:rPr>
        <w:t>年预算</w:t>
      </w:r>
      <w:r>
        <w:rPr>
          <w:rFonts w:hint="eastAsia" w:ascii="仿宋_GB2312" w:hAnsi="微软雅黑" w:eastAsia="仿宋_GB2312" w:cs="仿宋_GB2312"/>
          <w:b w:val="0"/>
          <w:i w:val="0"/>
          <w:caps w:val="0"/>
          <w:color w:val="000000"/>
          <w:spacing w:val="0"/>
          <w:sz w:val="31"/>
          <w:szCs w:val="31"/>
          <w:shd w:val="clear" w:color="auto" w:fill="auto"/>
          <w:lang w:val="en-US" w:eastAsia="zh-CN"/>
        </w:rPr>
        <w:t>4.37</w:t>
      </w:r>
      <w:r>
        <w:rPr>
          <w:rFonts w:hint="eastAsia" w:ascii="仿宋_GB2312" w:hAnsi="微软雅黑" w:eastAsia="仿宋_GB2312" w:cs="仿宋_GB2312"/>
          <w:b w:val="0"/>
          <w:i w:val="0"/>
          <w:caps w:val="0"/>
          <w:color w:val="000000"/>
          <w:spacing w:val="0"/>
          <w:sz w:val="31"/>
          <w:szCs w:val="31"/>
          <w:shd w:val="clear" w:color="auto" w:fill="auto"/>
        </w:rPr>
        <w:t>万元，同比</w:t>
      </w:r>
      <w:r>
        <w:rPr>
          <w:rFonts w:hint="eastAsia" w:ascii="仿宋_GB2312" w:hAnsi="微软雅黑" w:eastAsia="仿宋_GB2312" w:cs="仿宋_GB2312"/>
          <w:b w:val="0"/>
          <w:i w:val="0"/>
          <w:caps w:val="0"/>
          <w:color w:val="000000"/>
          <w:spacing w:val="0"/>
          <w:sz w:val="31"/>
          <w:szCs w:val="31"/>
          <w:shd w:val="clear" w:color="auto" w:fill="auto"/>
          <w:lang w:eastAsia="zh-CN"/>
        </w:rPr>
        <w:t>减少</w:t>
      </w:r>
      <w:r>
        <w:rPr>
          <w:rFonts w:hint="eastAsia" w:ascii="仿宋_GB2312" w:hAnsi="微软雅黑" w:eastAsia="仿宋_GB2312" w:cs="仿宋_GB2312"/>
          <w:b w:val="0"/>
          <w:i w:val="0"/>
          <w:caps w:val="0"/>
          <w:color w:val="000000"/>
          <w:spacing w:val="0"/>
          <w:sz w:val="31"/>
          <w:szCs w:val="31"/>
          <w:shd w:val="clear" w:color="auto" w:fill="auto"/>
          <w:lang w:val="en-US" w:eastAsia="zh-CN"/>
        </w:rPr>
        <w:t>0.18</w:t>
      </w:r>
      <w:r>
        <w:rPr>
          <w:rFonts w:hint="eastAsia" w:ascii="仿宋_GB2312" w:hAnsi="微软雅黑" w:eastAsia="仿宋_GB2312" w:cs="仿宋_GB2312"/>
          <w:b w:val="0"/>
          <w:i w:val="0"/>
          <w:caps w:val="0"/>
          <w:color w:val="000000"/>
          <w:spacing w:val="0"/>
          <w:sz w:val="31"/>
          <w:szCs w:val="31"/>
          <w:shd w:val="clear" w:color="auto" w:fill="auto"/>
        </w:rPr>
        <w:t>万元，同比</w:t>
      </w:r>
      <w:r>
        <w:rPr>
          <w:rFonts w:hint="eastAsia" w:ascii="仿宋_GB2312" w:hAnsi="微软雅黑" w:eastAsia="仿宋_GB2312" w:cs="仿宋_GB2312"/>
          <w:b w:val="0"/>
          <w:i w:val="0"/>
          <w:caps w:val="0"/>
          <w:color w:val="000000"/>
          <w:spacing w:val="0"/>
          <w:sz w:val="31"/>
          <w:szCs w:val="31"/>
          <w:shd w:val="clear" w:color="auto" w:fill="auto"/>
          <w:lang w:eastAsia="zh-CN"/>
        </w:rPr>
        <w:t>下降</w:t>
      </w:r>
      <w:r>
        <w:rPr>
          <w:rFonts w:hint="eastAsia" w:ascii="仿宋_GB2312" w:hAnsi="微软雅黑" w:eastAsia="仿宋_GB2312" w:cs="仿宋_GB2312"/>
          <w:b w:val="0"/>
          <w:i w:val="0"/>
          <w:caps w:val="0"/>
          <w:color w:val="000000"/>
          <w:spacing w:val="0"/>
          <w:sz w:val="31"/>
          <w:szCs w:val="31"/>
          <w:shd w:val="clear" w:color="auto" w:fill="auto"/>
          <w:lang w:val="en-US" w:eastAsia="zh-CN"/>
        </w:rPr>
        <w:t>3.96</w:t>
      </w:r>
      <w:r>
        <w:rPr>
          <w:rFonts w:hint="eastAsia" w:ascii="仿宋_GB2312" w:hAnsi="微软雅黑" w:eastAsia="仿宋_GB2312" w:cs="仿宋_GB2312"/>
          <w:b w:val="0"/>
          <w:i w:val="0"/>
          <w:caps w:val="0"/>
          <w:color w:val="000000"/>
          <w:spacing w:val="0"/>
          <w:sz w:val="31"/>
          <w:szCs w:val="31"/>
          <w:shd w:val="clear" w:color="auto" w:fill="auto"/>
        </w:rPr>
        <w:t>%</w:t>
      </w:r>
      <w:r>
        <w:rPr>
          <w:rFonts w:hint="eastAsia" w:ascii="仿宋_GB2312" w:hAnsi="微软雅黑" w:eastAsia="仿宋_GB2312" w:cs="仿宋_GB2312"/>
          <w:b w:val="0"/>
          <w:i w:val="0"/>
          <w:caps w:val="0"/>
          <w:color w:val="000000"/>
          <w:spacing w:val="0"/>
          <w:sz w:val="31"/>
          <w:szCs w:val="31"/>
          <w:shd w:val="clear" w:color="auto" w:fill="auto"/>
          <w:lang w:eastAsia="zh-CN"/>
        </w:rPr>
        <w:t>，同比下降原因是我院在编人数减少，定额公务接待费用预算下降</w:t>
      </w:r>
      <w:r>
        <w:rPr>
          <w:rFonts w:hint="eastAsia" w:ascii="仿宋_GB2312" w:hAnsi="微软雅黑" w:eastAsia="仿宋_GB2312" w:cs="仿宋_GB2312"/>
          <w:b w:val="0"/>
          <w:i w:val="0"/>
          <w:caps w:val="0"/>
          <w:color w:val="000000"/>
          <w:spacing w:val="0"/>
          <w:sz w:val="31"/>
          <w:szCs w:val="31"/>
          <w:shd w:val="clear" w:color="auto" w:fill="auto"/>
        </w:rPr>
        <w:t>。主要用于接待上级部门及各地法院来我市（含县区）参加各类会议、重大活动和调研考察活动的接待费用以及开展业务需要开支出的公务接待费。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仿宋_GB2312" w:hAnsi="微软雅黑" w:eastAsia="仿宋_GB2312" w:cs="仿宋_GB2312"/>
          <w:b w:val="0"/>
          <w:i w:val="0"/>
          <w:caps w:val="0"/>
          <w:color w:val="000000"/>
          <w:spacing w:val="0"/>
          <w:sz w:val="31"/>
          <w:szCs w:val="31"/>
          <w:shd w:val="clear" w:color="auto" w:fill="auto"/>
          <w:lang w:eastAsia="zh-CN"/>
        </w:rPr>
      </w:pPr>
      <w:r>
        <w:rPr>
          <w:rFonts w:hint="eastAsia" w:ascii="仿宋_GB2312" w:hAnsi="微软雅黑" w:eastAsia="仿宋_GB2312" w:cs="仿宋_GB2312"/>
          <w:b w:val="0"/>
          <w:i w:val="0"/>
          <w:caps w:val="0"/>
          <w:color w:val="000000"/>
          <w:spacing w:val="0"/>
          <w:sz w:val="31"/>
          <w:szCs w:val="31"/>
          <w:shd w:val="clear" w:color="auto" w:fill="auto"/>
        </w:rPr>
        <w:t>（三）公务用车购置及运行费202</w:t>
      </w:r>
      <w:r>
        <w:rPr>
          <w:rFonts w:hint="eastAsia" w:ascii="仿宋_GB2312" w:hAnsi="微软雅黑" w:eastAsia="仿宋_GB2312" w:cs="仿宋_GB2312"/>
          <w:b w:val="0"/>
          <w:i w:val="0"/>
          <w:caps w:val="0"/>
          <w:color w:val="000000"/>
          <w:spacing w:val="0"/>
          <w:sz w:val="31"/>
          <w:szCs w:val="31"/>
          <w:shd w:val="clear" w:color="auto" w:fill="auto"/>
          <w:lang w:val="en-US" w:eastAsia="zh-CN"/>
        </w:rPr>
        <w:t>2</w:t>
      </w:r>
      <w:r>
        <w:rPr>
          <w:rFonts w:hint="eastAsia" w:ascii="仿宋_GB2312" w:hAnsi="微软雅黑" w:eastAsia="仿宋_GB2312" w:cs="仿宋_GB2312"/>
          <w:b w:val="0"/>
          <w:i w:val="0"/>
          <w:caps w:val="0"/>
          <w:color w:val="000000"/>
          <w:spacing w:val="0"/>
          <w:sz w:val="31"/>
          <w:szCs w:val="31"/>
          <w:shd w:val="clear" w:color="auto" w:fill="auto"/>
        </w:rPr>
        <w:t>年预算</w:t>
      </w:r>
      <w:r>
        <w:rPr>
          <w:rFonts w:hint="eastAsia" w:ascii="仿宋_GB2312" w:hAnsi="微软雅黑" w:eastAsia="仿宋_GB2312" w:cs="仿宋_GB2312"/>
          <w:b w:val="0"/>
          <w:i w:val="0"/>
          <w:caps w:val="0"/>
          <w:color w:val="000000"/>
          <w:spacing w:val="0"/>
          <w:sz w:val="31"/>
          <w:szCs w:val="31"/>
          <w:shd w:val="clear" w:color="auto" w:fill="auto"/>
          <w:lang w:val="en-US" w:eastAsia="zh-CN"/>
        </w:rPr>
        <w:t>0</w:t>
      </w:r>
      <w:r>
        <w:rPr>
          <w:rFonts w:hint="eastAsia" w:ascii="仿宋_GB2312" w:hAnsi="微软雅黑" w:eastAsia="仿宋_GB2312" w:cs="仿宋_GB2312"/>
          <w:b w:val="0"/>
          <w:i w:val="0"/>
          <w:caps w:val="0"/>
          <w:color w:val="000000"/>
          <w:spacing w:val="0"/>
          <w:sz w:val="31"/>
          <w:szCs w:val="31"/>
          <w:shd w:val="clear" w:color="auto" w:fill="auto"/>
        </w:rPr>
        <w:t>万元，同比上年持平</w:t>
      </w:r>
      <w:r>
        <w:rPr>
          <w:rFonts w:hint="eastAsia" w:ascii="仿宋_GB2312" w:hAnsi="微软雅黑" w:eastAsia="仿宋_GB2312" w:cs="仿宋_GB2312"/>
          <w:b w:val="0"/>
          <w:i w:val="0"/>
          <w:caps w:val="0"/>
          <w:color w:val="000000"/>
          <w:spacing w:val="0"/>
          <w:sz w:val="31"/>
          <w:szCs w:val="31"/>
          <w:shd w:val="clear" w:color="auto" w:fill="auto"/>
          <w:lang w:eastAsia="zh-CN"/>
        </w:rPr>
        <w:t>。其中：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eastAsia" w:ascii="仿宋_GB2312" w:hAnsi="微软雅黑" w:eastAsia="仿宋_GB2312" w:cs="仿宋_GB2312"/>
          <w:b w:val="0"/>
          <w:i w:val="0"/>
          <w:caps w:val="0"/>
          <w:color w:val="000000"/>
          <w:spacing w:val="0"/>
          <w:sz w:val="31"/>
          <w:szCs w:val="31"/>
          <w:shd w:val="clear" w:color="auto" w:fill="auto"/>
          <w:lang w:val="en-US" w:eastAsia="zh-CN"/>
        </w:rPr>
      </w:pPr>
      <w:r>
        <w:rPr>
          <w:rFonts w:hint="eastAsia" w:ascii="仿宋_GB2312" w:hAnsi="微软雅黑" w:eastAsia="仿宋_GB2312" w:cs="仿宋_GB2312"/>
          <w:b w:val="0"/>
          <w:i w:val="0"/>
          <w:caps w:val="0"/>
          <w:color w:val="000000"/>
          <w:spacing w:val="0"/>
          <w:sz w:val="31"/>
          <w:szCs w:val="31"/>
          <w:shd w:val="clear" w:color="auto" w:fill="auto"/>
          <w:lang w:val="en-US" w:eastAsia="zh-CN"/>
        </w:rPr>
        <w:t>1.公务用车购置费2022年预算0万元，同比上年持平；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jc w:val="both"/>
        <w:rPr>
          <w:rFonts w:hint="default" w:ascii="仿宋_GB2312" w:hAnsi="微软雅黑" w:eastAsia="仿宋_GB2312" w:cs="仿宋_GB2312"/>
          <w:b w:val="0"/>
          <w:i w:val="0"/>
          <w:caps w:val="0"/>
          <w:color w:val="000000"/>
          <w:spacing w:val="0"/>
          <w:sz w:val="31"/>
          <w:szCs w:val="31"/>
          <w:shd w:val="clear" w:color="auto" w:fill="auto"/>
          <w:lang w:val="en-US" w:eastAsia="zh-CN"/>
        </w:rPr>
      </w:pPr>
      <w:r>
        <w:rPr>
          <w:rFonts w:hint="eastAsia" w:ascii="仿宋_GB2312" w:hAnsi="微软雅黑" w:eastAsia="仿宋_GB2312" w:cs="仿宋_GB2312"/>
          <w:b w:val="0"/>
          <w:i w:val="0"/>
          <w:caps w:val="0"/>
          <w:color w:val="000000"/>
          <w:spacing w:val="0"/>
          <w:sz w:val="31"/>
          <w:szCs w:val="31"/>
          <w:shd w:val="clear" w:color="auto" w:fill="auto"/>
          <w:lang w:val="en-US" w:eastAsia="zh-CN"/>
        </w:rPr>
        <w:t>2.公务用车运行维护费2022年预算0万元，同比上年持平。</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八、政府性基金预算情况说明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202</w:t>
      </w:r>
      <w:r>
        <w:rPr>
          <w:rFonts w:hint="eastAsia" w:ascii="仿宋_GB2312" w:hAnsi="微软雅黑" w:eastAsia="仿宋_GB2312" w:cs="仿宋_GB2312"/>
          <w:b w:val="0"/>
          <w:i w:val="0"/>
          <w:caps w:val="0"/>
          <w:color w:val="000000"/>
          <w:spacing w:val="0"/>
          <w:sz w:val="31"/>
          <w:szCs w:val="31"/>
          <w:shd w:val="clear" w:color="auto" w:fill="auto"/>
          <w:lang w:val="en-US" w:eastAsia="zh-CN"/>
        </w:rPr>
        <w:t>2</w:t>
      </w:r>
      <w:r>
        <w:rPr>
          <w:rFonts w:hint="eastAsia" w:ascii="仿宋_GB2312" w:hAnsi="微软雅黑" w:eastAsia="仿宋_GB2312" w:cs="仿宋_GB2312"/>
          <w:b w:val="0"/>
          <w:i w:val="0"/>
          <w:caps w:val="0"/>
          <w:color w:val="000000"/>
          <w:spacing w:val="0"/>
          <w:sz w:val="31"/>
          <w:szCs w:val="31"/>
          <w:shd w:val="clear" w:color="auto" w:fill="auto"/>
        </w:rPr>
        <w:t>年本部门无政府性基金预算支出安排。</w:t>
      </w:r>
    </w:p>
    <w:p>
      <w:p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九、国有资本经营预算</w:t>
      </w:r>
      <w:r>
        <w:rPr>
          <w:rFonts w:hint="eastAsia" w:ascii="黑体" w:hAnsi="黑体" w:eastAsia="黑体" w:cs="黑体"/>
          <w:b/>
          <w:bCs/>
          <w:color w:val="000000"/>
          <w:kern w:val="0"/>
          <w:sz w:val="32"/>
          <w:szCs w:val="32"/>
        </w:rPr>
        <w:t>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2021年本部门无国有资本经营预算支出安排。</w:t>
      </w:r>
    </w:p>
    <w:p>
      <w:p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十、政府采购预算</w:t>
      </w:r>
      <w:r>
        <w:rPr>
          <w:rFonts w:hint="eastAsia" w:ascii="黑体" w:hAnsi="黑体" w:eastAsia="黑体" w:cs="黑体"/>
          <w:b/>
          <w:bCs/>
          <w:color w:val="000000"/>
          <w:kern w:val="0"/>
          <w:sz w:val="32"/>
          <w:szCs w:val="32"/>
        </w:rPr>
        <w:t>情况说明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2022年政府采购预算27.6万元，同比减少45.26万元，下降62.12%。</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strike w:val="0"/>
          <w:color w:val="000000"/>
          <w:kern w:val="0"/>
          <w:sz w:val="32"/>
          <w:szCs w:val="32"/>
          <w:lang w:val="en-US" w:eastAsia="zh-CN" w:bidi="ar-SA"/>
        </w:rPr>
        <w:t>（一）</w:t>
      </w:r>
      <w:r>
        <w:rPr>
          <w:rFonts w:hint="eastAsia" w:ascii="仿宋_GB2312" w:hAnsi="华文仿宋" w:eastAsia="仿宋_GB2312" w:cs="宋体"/>
          <w:bCs/>
          <w:color w:val="000000"/>
          <w:kern w:val="0"/>
          <w:sz w:val="32"/>
          <w:szCs w:val="32"/>
          <w:lang w:val="en-US" w:eastAsia="zh-CN" w:bidi="ar-SA"/>
        </w:rPr>
        <w:t>按政府采购项目类型划分</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政府集中采购预算27.6万元,占政府采购预算的100%，同比减少45.26万元，下降62.12%。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fill="auto"/>
        </w:rPr>
        <w:t>分散采购预算</w:t>
      </w:r>
      <w:r>
        <w:rPr>
          <w:rFonts w:hint="eastAsia" w:ascii="仿宋_GB2312" w:hAnsi="微软雅黑" w:eastAsia="仿宋_GB2312" w:cs="仿宋_GB2312"/>
          <w:b w:val="0"/>
          <w:i w:val="0"/>
          <w:caps w:val="0"/>
          <w:color w:val="000000"/>
          <w:spacing w:val="0"/>
          <w:sz w:val="31"/>
          <w:szCs w:val="31"/>
          <w:shd w:val="clear" w:color="auto" w:fill="auto"/>
          <w:lang w:val="en-US" w:eastAsia="zh-CN"/>
        </w:rPr>
        <w:t>0</w:t>
      </w:r>
      <w:r>
        <w:rPr>
          <w:rFonts w:hint="eastAsia" w:ascii="仿宋_GB2312" w:hAnsi="微软雅黑" w:eastAsia="仿宋_GB2312" w:cs="仿宋_GB2312"/>
          <w:b w:val="0"/>
          <w:i w:val="0"/>
          <w:caps w:val="0"/>
          <w:color w:val="000000"/>
          <w:spacing w:val="0"/>
          <w:sz w:val="31"/>
          <w:szCs w:val="31"/>
          <w:shd w:val="clear" w:color="auto" w:fill="auto"/>
        </w:rPr>
        <w:t>万元，占政府采购预算的</w:t>
      </w:r>
      <w:r>
        <w:rPr>
          <w:rFonts w:hint="eastAsia" w:ascii="仿宋_GB2312" w:hAnsi="微软雅黑" w:eastAsia="仿宋_GB2312" w:cs="仿宋_GB2312"/>
          <w:b w:val="0"/>
          <w:i w:val="0"/>
          <w:caps w:val="0"/>
          <w:color w:val="000000"/>
          <w:spacing w:val="0"/>
          <w:sz w:val="31"/>
          <w:szCs w:val="31"/>
          <w:shd w:val="clear" w:color="auto" w:fill="auto"/>
          <w:lang w:val="en-US" w:eastAsia="zh-CN"/>
        </w:rPr>
        <w:t>0</w:t>
      </w:r>
      <w:r>
        <w:rPr>
          <w:rFonts w:hint="eastAsia" w:ascii="仿宋_GB2312" w:hAnsi="微软雅黑" w:eastAsia="仿宋_GB2312" w:cs="仿宋_GB2312"/>
          <w:b w:val="0"/>
          <w:i w:val="0"/>
          <w:caps w:val="0"/>
          <w:color w:val="000000"/>
          <w:spacing w:val="0"/>
          <w:sz w:val="31"/>
          <w:szCs w:val="31"/>
          <w:shd w:val="clear" w:color="auto" w:fill="auto"/>
        </w:rPr>
        <w:t>%。</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按政府采购项目类型分为货物类采购、工程类采购和服务类采购三种类型。货物类采购预算27.6万元，工程类采购预算0万元，服务类采购0万元。</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（二）</w:t>
      </w:r>
      <w:r>
        <w:rPr>
          <w:rFonts w:hint="eastAsia" w:ascii="仿宋_GB2312" w:hAnsi="华文仿宋" w:eastAsia="仿宋_GB2312" w:cs="Times New Roman"/>
          <w:b w:val="0"/>
          <w:bCs w:val="0"/>
          <w:color w:val="auto"/>
          <w:kern w:val="2"/>
          <w:sz w:val="32"/>
          <w:szCs w:val="32"/>
          <w:lang w:val="en-US" w:eastAsia="zh-CN" w:bidi="ar-SA"/>
        </w:rPr>
        <w:t>按政府采购资金来源划分</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通过一般公共预算安排采购支出预算27.6万元，</w:t>
      </w:r>
      <w:r>
        <w:rPr>
          <w:rFonts w:hint="eastAsia" w:ascii="仿宋_GB2312" w:hAnsi="华文仿宋" w:eastAsia="仿宋_GB2312" w:cs="宋体"/>
          <w:bCs/>
          <w:color w:val="000000"/>
          <w:kern w:val="0"/>
          <w:sz w:val="32"/>
          <w:szCs w:val="32"/>
          <w:lang w:val="en-US" w:eastAsia="zh-CN" w:bidi="ar-SA"/>
        </w:rPr>
        <w:t>同比减少45.26万元，下降62.12%。</w:t>
      </w:r>
    </w:p>
    <w:p>
      <w:pPr>
        <w:numPr>
          <w:ilvl w:val="0"/>
          <w:numId w:val="3"/>
        </w:numPr>
        <w:tabs>
          <w:tab w:val="center" w:pos="4475"/>
        </w:tabs>
        <w:spacing w:line="560" w:lineRule="exact"/>
        <w:ind w:firstLine="643" w:firstLineChars="200"/>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政府购买服务预算</w:t>
      </w:r>
      <w:r>
        <w:rPr>
          <w:rFonts w:hint="eastAsia" w:ascii="黑体" w:hAnsi="黑体" w:eastAsia="黑体" w:cs="黑体"/>
          <w:b/>
          <w:bCs/>
          <w:color w:val="000000"/>
          <w:kern w:val="0"/>
          <w:sz w:val="32"/>
          <w:szCs w:val="32"/>
        </w:rPr>
        <w:t>情况说明</w:t>
      </w:r>
    </w:p>
    <w:p>
      <w:pPr>
        <w:keepNext w:val="0"/>
        <w:keepLines w:val="0"/>
        <w:pageBreakBefore w:val="0"/>
        <w:numPr>
          <w:ilvl w:val="0"/>
          <w:numId w:val="0"/>
        </w:numPr>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2022年本单位无政府购买服务预算。</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lang w:eastAsia="zh-CN"/>
        </w:rPr>
        <w:t>十二</w:t>
      </w:r>
      <w:r>
        <w:rPr>
          <w:rFonts w:hint="eastAsia" w:ascii="黑体" w:hAnsi="黑体" w:eastAsia="黑体" w:cs="黑体"/>
          <w:b/>
          <w:bCs/>
          <w:color w:val="000000"/>
          <w:sz w:val="32"/>
          <w:szCs w:val="32"/>
        </w:rPr>
        <w:t>、</w:t>
      </w:r>
      <w:r>
        <w:rPr>
          <w:rFonts w:hint="eastAsia" w:ascii="黑体" w:hAnsi="黑体" w:eastAsia="黑体" w:cs="黑体"/>
          <w:b/>
          <w:bCs/>
          <w:color w:val="000000"/>
          <w:sz w:val="32"/>
          <w:szCs w:val="32"/>
          <w:lang w:val="en-US" w:eastAsia="zh-CN"/>
        </w:rPr>
        <w:t>2022年单位预算其他</w:t>
      </w:r>
      <w:r>
        <w:rPr>
          <w:rFonts w:hint="eastAsia" w:ascii="黑体" w:hAnsi="黑体" w:eastAsia="黑体" w:cs="黑体"/>
          <w:b/>
          <w:bCs/>
          <w:strike/>
          <w:color w:val="000000"/>
          <w:sz w:val="32"/>
          <w:szCs w:val="32"/>
        </w:rPr>
        <w:t>重要</w:t>
      </w:r>
      <w:r>
        <w:rPr>
          <w:rFonts w:hint="eastAsia" w:ascii="黑体" w:hAnsi="黑体" w:eastAsia="黑体" w:cs="黑体"/>
          <w:b/>
          <w:bCs/>
          <w:color w:val="000000"/>
          <w:sz w:val="32"/>
          <w:szCs w:val="32"/>
        </w:rPr>
        <w:t>事项情况说明</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仿宋_GB2312" w:hAnsi="华文仿宋" w:eastAsia="仿宋_GB2312"/>
          <w:sz w:val="32"/>
          <w:szCs w:val="32"/>
          <w:highlight w:val="cyan"/>
          <w:lang w:eastAsia="zh-CN"/>
        </w:rPr>
      </w:pPr>
      <w:r>
        <w:rPr>
          <w:rFonts w:hint="eastAsia" w:ascii="楷体_GB2312" w:hAnsi="华文仿宋" w:eastAsia="楷体_GB2312"/>
          <w:b/>
          <w:bCs w:val="0"/>
          <w:color w:val="000000"/>
          <w:sz w:val="32"/>
          <w:szCs w:val="32"/>
        </w:rPr>
        <w:t>（一）机关运行经费安排情况</w:t>
      </w:r>
      <w:r>
        <w:rPr>
          <w:rFonts w:hint="eastAsia" w:ascii="楷体_GB2312" w:hAnsi="华文仿宋" w:eastAsia="楷体_GB2312"/>
          <w:b/>
          <w:bCs w:val="0"/>
          <w:color w:val="000000"/>
          <w:sz w:val="32"/>
          <w:szCs w:val="32"/>
          <w:lang w:eastAsia="zh-CN"/>
        </w:rPr>
        <w:t>说明</w:t>
      </w:r>
    </w:p>
    <w:p>
      <w:pPr>
        <w:keepNext w:val="0"/>
        <w:keepLines w:val="0"/>
        <w:pageBreakBefore w:val="0"/>
        <w:shd w:val="clear"/>
        <w:kinsoku/>
        <w:wordWrap/>
        <w:overflowPunct/>
        <w:topLinePunct w:val="0"/>
        <w:autoSpaceDE/>
        <w:autoSpaceDN/>
        <w:bidi w:val="0"/>
        <w:spacing w:beforeAutospacing="0" w:afterAutospacing="0" w:line="560" w:lineRule="exact"/>
        <w:ind w:firstLine="640" w:firstLineChars="200"/>
        <w:jc w:val="both"/>
        <w:textAlignment w:val="auto"/>
        <w:outlineLvl w:val="9"/>
        <w:rPr>
          <w:rFonts w:hint="default"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shd w:val="clear"/>
          <w:lang w:val="en-US" w:eastAsia="zh-CN" w:bidi="ar-SA"/>
        </w:rPr>
        <w:t>2022年</w:t>
      </w:r>
      <w:r>
        <w:rPr>
          <w:rFonts w:hint="eastAsia" w:ascii="仿宋_GB2312" w:hAnsi="华文仿宋" w:eastAsia="仿宋_GB2312" w:cs="宋体"/>
          <w:bCs/>
          <w:strike w:val="0"/>
          <w:color w:val="000000"/>
          <w:kern w:val="0"/>
          <w:sz w:val="32"/>
          <w:szCs w:val="32"/>
          <w:shd w:val="clear"/>
          <w:lang w:val="en-US" w:eastAsia="zh-CN" w:bidi="ar-SA"/>
        </w:rPr>
        <w:t>行政</w:t>
      </w:r>
      <w:r>
        <w:rPr>
          <w:rFonts w:hint="eastAsia" w:ascii="仿宋_GB2312" w:hAnsi="华文仿宋" w:eastAsia="仿宋_GB2312" w:cs="宋体"/>
          <w:bCs/>
          <w:color w:val="000000"/>
          <w:kern w:val="0"/>
          <w:sz w:val="32"/>
          <w:szCs w:val="32"/>
          <w:shd w:val="clear"/>
          <w:lang w:val="en-US" w:eastAsia="zh-CN" w:bidi="ar-SA"/>
        </w:rPr>
        <w:t>运行预算311.74万元，同比减少4.39万元，同比下降1.39%，主要用于</w:t>
      </w:r>
      <w:r>
        <w:rPr>
          <w:rFonts w:hint="eastAsia" w:ascii="仿宋_GB2312" w:hAnsi="微软雅黑" w:eastAsia="仿宋_GB2312" w:cs="仿宋_GB2312"/>
          <w:b w:val="0"/>
          <w:i w:val="0"/>
          <w:caps w:val="0"/>
          <w:color w:val="000000"/>
          <w:spacing w:val="0"/>
          <w:sz w:val="31"/>
          <w:szCs w:val="31"/>
          <w:shd w:val="clear" w:color="auto"/>
        </w:rPr>
        <w:t>保证法院日常运转而发生的人员经费支出和日常公用经费支出等</w:t>
      </w:r>
      <w:r>
        <w:rPr>
          <w:rFonts w:hint="eastAsia" w:ascii="仿宋_GB2312" w:hAnsi="微软雅黑" w:eastAsia="仿宋_GB2312" w:cs="仿宋_GB2312"/>
          <w:b w:val="0"/>
          <w:i w:val="0"/>
          <w:caps w:val="0"/>
          <w:color w:val="000000"/>
          <w:spacing w:val="0"/>
          <w:sz w:val="31"/>
          <w:szCs w:val="31"/>
          <w:shd w:val="clear" w:color="auto"/>
          <w:lang w:eastAsia="zh-CN"/>
        </w:rPr>
        <w:t>。</w:t>
      </w:r>
      <w:r>
        <w:rPr>
          <w:rFonts w:hint="eastAsia" w:ascii="仿宋_GB2312" w:hAnsi="华文仿宋" w:eastAsia="仿宋_GB2312" w:cs="宋体"/>
          <w:bCs/>
          <w:color w:val="000000"/>
          <w:kern w:val="0"/>
          <w:sz w:val="32"/>
          <w:szCs w:val="32"/>
          <w:shd w:val="clear"/>
          <w:lang w:val="en-US" w:eastAsia="zh-CN" w:bidi="ar-SA"/>
        </w:rPr>
        <w:t>行政运行经费减少的原因:人员同比去年减少。</w:t>
      </w:r>
    </w:p>
    <w:p>
      <w:pPr>
        <w:pStyle w:val="3"/>
        <w:keepNext w:val="0"/>
        <w:keepLines w:val="0"/>
        <w:pageBreakBefore w:val="0"/>
        <w:kinsoku/>
        <w:wordWrap/>
        <w:overflowPunct/>
        <w:topLinePunct w:val="0"/>
        <w:autoSpaceDE/>
        <w:autoSpaceDN/>
        <w:bidi w:val="0"/>
        <w:spacing w:before="0" w:beforeAutospacing="0" w:after="0" w:afterAutospacing="0" w:line="560" w:lineRule="exact"/>
        <w:ind w:firstLine="643" w:firstLineChars="200"/>
        <w:jc w:val="both"/>
        <w:textAlignment w:val="auto"/>
        <w:outlineLvl w:val="9"/>
        <w:rPr>
          <w:rFonts w:hint="eastAsia" w:ascii="楷体_GB2312" w:hAnsi="华文仿宋" w:eastAsia="楷体_GB2312"/>
          <w:b/>
          <w:bCs w:val="0"/>
          <w:strike w:val="0"/>
          <w:dstrike w:val="0"/>
          <w:color w:val="000000"/>
          <w:sz w:val="32"/>
          <w:szCs w:val="32"/>
          <w:lang w:eastAsia="zh-CN"/>
        </w:rPr>
      </w:pPr>
      <w:r>
        <w:rPr>
          <w:rFonts w:hint="eastAsia" w:ascii="楷体_GB2312" w:hAnsi="华文仿宋" w:eastAsia="楷体_GB2312"/>
          <w:b/>
          <w:bCs w:val="0"/>
          <w:color w:val="000000"/>
          <w:sz w:val="32"/>
          <w:szCs w:val="32"/>
          <w:lang w:eastAsia="zh-CN"/>
        </w:rPr>
        <w:t>（二</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dstrike w:val="0"/>
          <w:color w:val="000000"/>
          <w:sz w:val="32"/>
          <w:szCs w:val="32"/>
        </w:rPr>
        <w:t>国有资产占用情况</w:t>
      </w:r>
      <w:r>
        <w:rPr>
          <w:rFonts w:hint="eastAsia" w:ascii="楷体_GB2312" w:hAnsi="华文仿宋" w:eastAsia="楷体_GB2312"/>
          <w:b/>
          <w:bCs w:val="0"/>
          <w:strike w:val="0"/>
          <w:dstrike w:val="0"/>
          <w:color w:val="000000"/>
          <w:sz w:val="32"/>
          <w:szCs w:val="32"/>
          <w:lang w:eastAsia="zh-CN"/>
        </w:rPr>
        <w:t>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left="0" w:right="0" w:firstLine="645"/>
        <w:rPr>
          <w:rFonts w:hint="eastAsia" w:ascii="微软雅黑" w:hAnsi="微软雅黑" w:eastAsia="微软雅黑" w:cs="微软雅黑"/>
          <w:b w:val="0"/>
          <w:i w:val="0"/>
          <w:caps w:val="0"/>
          <w:color w:val="000000"/>
          <w:spacing w:val="0"/>
          <w:sz w:val="24"/>
          <w:szCs w:val="24"/>
          <w:shd w:val="clear" w:color="auto" w:fill="auto"/>
        </w:rPr>
      </w:pPr>
      <w:r>
        <w:rPr>
          <w:rFonts w:hint="eastAsia" w:ascii="仿宋_GB2312" w:hAnsi="微软雅黑" w:eastAsia="仿宋_GB2312" w:cs="仿宋_GB2312"/>
          <w:b w:val="0"/>
          <w:i w:val="0"/>
          <w:caps w:val="0"/>
          <w:color w:val="000000"/>
          <w:spacing w:val="0"/>
          <w:sz w:val="31"/>
          <w:szCs w:val="31"/>
          <w:shd w:val="clear" w:color="auto"/>
        </w:rPr>
        <w:t>202</w:t>
      </w:r>
      <w:r>
        <w:rPr>
          <w:rFonts w:hint="eastAsia" w:ascii="仿宋_GB2312" w:hAnsi="微软雅黑" w:eastAsia="仿宋_GB2312" w:cs="仿宋_GB2312"/>
          <w:b w:val="0"/>
          <w:i w:val="0"/>
          <w:caps w:val="0"/>
          <w:color w:val="000000"/>
          <w:spacing w:val="0"/>
          <w:sz w:val="31"/>
          <w:szCs w:val="31"/>
          <w:shd w:val="clear" w:color="auto"/>
          <w:lang w:val="en-US" w:eastAsia="zh-CN"/>
        </w:rPr>
        <w:t>2</w:t>
      </w:r>
      <w:r>
        <w:rPr>
          <w:rFonts w:hint="eastAsia" w:ascii="仿宋_GB2312" w:hAnsi="微软雅黑" w:eastAsia="仿宋_GB2312" w:cs="仿宋_GB2312"/>
          <w:b w:val="0"/>
          <w:i w:val="0"/>
          <w:caps w:val="0"/>
          <w:color w:val="000000"/>
          <w:spacing w:val="0"/>
          <w:sz w:val="31"/>
          <w:szCs w:val="31"/>
          <w:shd w:val="clear" w:color="auto"/>
        </w:rPr>
        <w:t>年本部门实有在编车辆</w:t>
      </w:r>
      <w:r>
        <w:rPr>
          <w:rFonts w:hint="eastAsia" w:ascii="仿宋_GB2312" w:hAnsi="微软雅黑" w:eastAsia="仿宋_GB2312" w:cs="仿宋_GB2312"/>
          <w:b w:val="0"/>
          <w:i w:val="0"/>
          <w:caps w:val="0"/>
          <w:color w:val="000000"/>
          <w:spacing w:val="0"/>
          <w:sz w:val="31"/>
          <w:szCs w:val="31"/>
          <w:shd w:val="clear" w:color="auto" w:fill="auto"/>
          <w:lang w:eastAsia="zh-CN"/>
        </w:rPr>
        <w:t>保有量为</w:t>
      </w:r>
      <w:r>
        <w:rPr>
          <w:rFonts w:hint="eastAsia" w:ascii="仿宋_GB2312" w:hAnsi="微软雅黑" w:eastAsia="仿宋_GB2312" w:cs="仿宋_GB2312"/>
          <w:b w:val="0"/>
          <w:i w:val="0"/>
          <w:caps w:val="0"/>
          <w:color w:val="000000"/>
          <w:spacing w:val="0"/>
          <w:sz w:val="31"/>
          <w:szCs w:val="31"/>
          <w:shd w:val="clear" w:color="auto" w:fill="auto"/>
          <w:lang w:val="en-US" w:eastAsia="zh-CN"/>
        </w:rPr>
        <w:t>0</w:t>
      </w:r>
      <w:r>
        <w:rPr>
          <w:rFonts w:hint="eastAsia" w:ascii="仿宋_GB2312" w:hAnsi="微软雅黑" w:eastAsia="仿宋_GB2312" w:cs="仿宋_GB2312"/>
          <w:b w:val="0"/>
          <w:i w:val="0"/>
          <w:caps w:val="0"/>
          <w:color w:val="000000"/>
          <w:spacing w:val="0"/>
          <w:sz w:val="31"/>
          <w:szCs w:val="31"/>
          <w:shd w:val="clear" w:color="auto" w:fill="auto"/>
        </w:rPr>
        <w:t>辆，</w:t>
      </w:r>
      <w:r>
        <w:rPr>
          <w:rFonts w:hint="eastAsia" w:ascii="仿宋_GB2312" w:hAnsi="微软雅黑" w:eastAsia="仿宋_GB2312" w:cs="仿宋_GB2312"/>
          <w:b w:val="0"/>
          <w:i w:val="0"/>
          <w:caps w:val="0"/>
          <w:color w:val="000000"/>
          <w:spacing w:val="0"/>
          <w:sz w:val="31"/>
          <w:szCs w:val="31"/>
          <w:shd w:val="clear" w:color="auto" w:fill="auto"/>
          <w:lang w:eastAsia="zh-CN"/>
        </w:rPr>
        <w:t>我院所使用</w:t>
      </w:r>
      <w:r>
        <w:rPr>
          <w:rFonts w:hint="eastAsia" w:ascii="仿宋_GB2312" w:hAnsi="微软雅黑" w:eastAsia="仿宋_GB2312" w:cs="仿宋_GB2312"/>
          <w:b w:val="0"/>
          <w:i w:val="0"/>
          <w:caps w:val="0"/>
          <w:color w:val="000000"/>
          <w:spacing w:val="0"/>
          <w:sz w:val="31"/>
          <w:szCs w:val="31"/>
          <w:shd w:val="clear" w:color="auto" w:fill="auto"/>
        </w:rPr>
        <w:t>车辆为</w:t>
      </w:r>
      <w:r>
        <w:rPr>
          <w:rFonts w:hint="eastAsia" w:ascii="仿宋_GB2312" w:hAnsi="微软雅黑" w:eastAsia="仿宋_GB2312" w:cs="仿宋_GB2312"/>
          <w:b w:val="0"/>
          <w:i w:val="0"/>
          <w:caps w:val="0"/>
          <w:color w:val="000000"/>
          <w:spacing w:val="0"/>
          <w:sz w:val="31"/>
          <w:szCs w:val="31"/>
          <w:shd w:val="clear" w:color="auto" w:fill="auto"/>
          <w:lang w:eastAsia="zh-CN"/>
        </w:rPr>
        <w:t>柳州市中级人民法院</w:t>
      </w:r>
      <w:r>
        <w:rPr>
          <w:rFonts w:hint="eastAsia" w:ascii="仿宋_GB2312" w:hAnsi="微软雅黑" w:eastAsia="仿宋_GB2312" w:cs="仿宋_GB2312"/>
          <w:b w:val="0"/>
          <w:i w:val="0"/>
          <w:caps w:val="0"/>
          <w:color w:val="000000"/>
          <w:spacing w:val="0"/>
          <w:sz w:val="31"/>
          <w:szCs w:val="31"/>
          <w:shd w:val="clear" w:color="auto" w:fill="auto"/>
        </w:rPr>
        <w:t>所有。说明：根据柳州市机关事务管理局《关于申请将基层法院的公车编制划转至市中级人民法院的复函》，从2020年起，柳州县区基层法院的公车编制全部划转至</w:t>
      </w:r>
      <w:r>
        <w:rPr>
          <w:rFonts w:hint="eastAsia" w:ascii="仿宋_GB2312" w:hAnsi="微软雅黑" w:eastAsia="仿宋_GB2312" w:cs="仿宋_GB2312"/>
          <w:b w:val="0"/>
          <w:i w:val="0"/>
          <w:caps w:val="0"/>
          <w:color w:val="000000"/>
          <w:spacing w:val="0"/>
          <w:sz w:val="31"/>
          <w:szCs w:val="31"/>
          <w:shd w:val="clear" w:color="auto" w:fill="auto"/>
          <w:lang w:eastAsia="zh-CN"/>
        </w:rPr>
        <w:t>柳州市中级人民法院</w:t>
      </w:r>
      <w:r>
        <w:rPr>
          <w:rFonts w:hint="eastAsia" w:ascii="仿宋_GB2312" w:hAnsi="微软雅黑" w:eastAsia="仿宋_GB2312" w:cs="仿宋_GB2312"/>
          <w:b w:val="0"/>
          <w:i w:val="0"/>
          <w:caps w:val="0"/>
          <w:color w:val="000000"/>
          <w:spacing w:val="0"/>
          <w:sz w:val="31"/>
          <w:szCs w:val="31"/>
          <w:shd w:val="clear" w:color="auto" w:fill="auto"/>
        </w:rPr>
        <w:t>管理。</w:t>
      </w:r>
    </w:p>
    <w:p>
      <w:pPr>
        <w:keepNext w:val="0"/>
        <w:keepLines w:val="0"/>
        <w:pageBreakBefore w:val="0"/>
        <w:tabs>
          <w:tab w:val="center" w:pos="4475"/>
        </w:tabs>
        <w:kinsoku/>
        <w:wordWrap/>
        <w:overflowPunct/>
        <w:topLinePunct w:val="0"/>
        <w:autoSpaceDE/>
        <w:autoSpaceDN/>
        <w:bidi w:val="0"/>
        <w:spacing w:line="560" w:lineRule="exact"/>
        <w:ind w:firstLine="645"/>
        <w:jc w:val="both"/>
        <w:textAlignment w:val="auto"/>
        <w:rPr>
          <w:rFonts w:hint="eastAsia" w:ascii="楷体_GB2312" w:hAnsi="华文仿宋" w:eastAsia="楷体_GB2312"/>
          <w:b/>
          <w:bCs w:val="0"/>
          <w:color w:val="000000"/>
          <w:sz w:val="32"/>
          <w:szCs w:val="32"/>
        </w:rPr>
      </w:pPr>
      <w:r>
        <w:rPr>
          <w:rFonts w:hint="eastAsia" w:ascii="楷体_GB2312" w:hAnsi="华文仿宋" w:eastAsia="楷体_GB2312"/>
          <w:b/>
          <w:bCs w:val="0"/>
          <w:color w:val="000000"/>
          <w:sz w:val="32"/>
          <w:szCs w:val="32"/>
        </w:rPr>
        <w:t>（</w:t>
      </w:r>
      <w:r>
        <w:rPr>
          <w:rFonts w:hint="eastAsia" w:ascii="楷体_GB2312" w:hAnsi="华文仿宋" w:eastAsia="楷体_GB2312"/>
          <w:b/>
          <w:bCs w:val="0"/>
          <w:color w:val="000000"/>
          <w:sz w:val="32"/>
          <w:szCs w:val="32"/>
          <w:lang w:eastAsia="zh-CN"/>
        </w:rPr>
        <w:t>三</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color w:val="000000"/>
          <w:sz w:val="32"/>
          <w:szCs w:val="32"/>
          <w:lang w:val="en-US" w:eastAsia="zh-CN"/>
        </w:rPr>
        <w:t>200万元以上项目</w:t>
      </w:r>
      <w:r>
        <w:rPr>
          <w:rFonts w:hint="eastAsia" w:ascii="楷体_GB2312" w:hAnsi="华文仿宋" w:eastAsia="楷体_GB2312"/>
          <w:b/>
          <w:bCs w:val="0"/>
          <w:color w:val="000000"/>
          <w:sz w:val="32"/>
          <w:szCs w:val="32"/>
        </w:rPr>
        <w:t>预算绩效情况说明</w:t>
      </w:r>
    </w:p>
    <w:p>
      <w:pPr>
        <w:keepNext w:val="0"/>
        <w:keepLines w:val="0"/>
        <w:pageBreakBefore w:val="0"/>
        <w:kinsoku/>
        <w:wordWrap/>
        <w:overflowPunct/>
        <w:topLinePunct w:val="0"/>
        <w:autoSpaceDE/>
        <w:autoSpaceDN/>
        <w:bidi w:val="0"/>
        <w:spacing w:beforeAutospacing="0" w:afterAutospacing="0" w:line="560" w:lineRule="exact"/>
        <w:ind w:firstLine="640" w:firstLineChars="200"/>
        <w:jc w:val="both"/>
        <w:textAlignment w:val="auto"/>
        <w:outlineLvl w:val="9"/>
        <w:rPr>
          <w:rFonts w:hint="eastAsia" w:ascii="仿宋_GB2312" w:hAnsi="华文仿宋" w:eastAsia="仿宋_GB2312"/>
          <w:sz w:val="32"/>
          <w:szCs w:val="32"/>
          <w:lang w:val="en-US" w:eastAsia="zh-CN"/>
        </w:rPr>
      </w:pPr>
      <w:r>
        <w:rPr>
          <w:rFonts w:hint="eastAsia" w:ascii="仿宋_GB2312" w:hAnsi="华文仿宋" w:eastAsia="仿宋_GB2312" w:cs="宋体"/>
          <w:bCs/>
          <w:color w:val="000000"/>
          <w:kern w:val="0"/>
          <w:sz w:val="32"/>
          <w:szCs w:val="32"/>
          <w:lang w:val="en-US" w:eastAsia="zh-CN" w:bidi="ar-SA"/>
        </w:rPr>
        <w:t>柳州市鱼峰区人民法院2022年单位预算有1个200万元以上的项目列入绩效考核范围，涉及一般公共预算拨款支出824.89万元。其中：机关本级有1个绩效考核项目为聘用人员费用，预算金额824.89万元。</w:t>
      </w: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b/>
          <w:bCs/>
          <w:color w:val="000000"/>
          <w:sz w:val="32"/>
          <w:szCs w:val="32"/>
          <w:lang w:eastAsia="zh-CN"/>
        </w:rPr>
      </w:pPr>
    </w:p>
    <w:p>
      <w:pPr>
        <w:pStyle w:val="3"/>
        <w:keepNext w:val="0"/>
        <w:keepLines w:val="0"/>
        <w:pageBreakBefore w:val="0"/>
        <w:kinsoku/>
        <w:wordWrap/>
        <w:overflowPunct/>
        <w:topLinePunct w:val="0"/>
        <w:autoSpaceDE/>
        <w:autoSpaceDN/>
        <w:bidi w:val="0"/>
        <w:spacing w:before="0" w:beforeAutospacing="0" w:after="0" w:afterAutospacing="0" w:line="560" w:lineRule="exact"/>
        <w:jc w:val="center"/>
        <w:textAlignment w:val="auto"/>
        <w:outlineLvl w:val="9"/>
        <w:rPr>
          <w:rFonts w:hint="eastAsia" w:ascii="仿宋_GB2312" w:hAnsi="华文仿宋" w:eastAsia="仿宋_GB2312" w:cs="Times New Roman"/>
          <w:b/>
          <w:bCs/>
          <w:color w:val="000000"/>
          <w:kern w:val="2"/>
          <w:sz w:val="32"/>
          <w:szCs w:val="32"/>
          <w:lang w:val="en-US" w:eastAsia="zh-CN" w:bidi="ar-SA"/>
        </w:rPr>
      </w:pPr>
      <w:r>
        <w:rPr>
          <w:rFonts w:hint="eastAsia" w:ascii="仿宋_GB2312" w:hAnsi="华文仿宋" w:eastAsia="仿宋_GB2312" w:cs="Times New Roman"/>
          <w:b/>
          <w:bCs/>
          <w:color w:val="000000"/>
          <w:kern w:val="2"/>
          <w:sz w:val="32"/>
          <w:szCs w:val="32"/>
          <w:lang w:val="en-US" w:eastAsia="zh-CN" w:bidi="ar-SA"/>
        </w:rPr>
        <w:t>第四部分：名词解释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一、财政拨款收入</w:t>
      </w:r>
      <w:r>
        <w:rPr>
          <w:rFonts w:hint="eastAsia" w:ascii="仿宋_GB2312" w:hAnsi="华文仿宋" w:eastAsia="仿宋_GB2312" w:cs="宋体"/>
          <w:bCs/>
          <w:color w:val="000000"/>
          <w:kern w:val="0"/>
          <w:sz w:val="32"/>
          <w:szCs w:val="32"/>
          <w:lang w:val="en-US" w:eastAsia="zh-CN" w:bidi="ar-SA"/>
        </w:rPr>
        <w:t xml:space="preserve">：指市本级财政部门当年拨付的资金。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二、基本支出</w:t>
      </w:r>
      <w:r>
        <w:rPr>
          <w:rFonts w:hint="eastAsia" w:ascii="仿宋_GB2312" w:hAnsi="华文仿宋" w:eastAsia="仿宋_GB2312" w:cs="宋体"/>
          <w:bCs/>
          <w:color w:val="000000"/>
          <w:kern w:val="0"/>
          <w:sz w:val="32"/>
          <w:szCs w:val="32"/>
          <w:lang w:val="en-US" w:eastAsia="zh-CN" w:bidi="ar-SA"/>
        </w:rPr>
        <w:t>：指为保障机构正常运转、完成日常工作任务而发生的人员支出和公用支出。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三、项目支出</w:t>
      </w:r>
      <w:r>
        <w:rPr>
          <w:rFonts w:hint="eastAsia" w:ascii="仿宋_GB2312" w:hAnsi="华文仿宋" w:eastAsia="仿宋_GB2312" w:cs="宋体"/>
          <w:bCs/>
          <w:color w:val="000000"/>
          <w:kern w:val="0"/>
          <w:sz w:val="32"/>
          <w:szCs w:val="32"/>
          <w:lang w:val="en-US" w:eastAsia="zh-CN" w:bidi="ar-SA"/>
        </w:rPr>
        <w:t xml:space="preserve">：指在基本支出之外为完成特定行政任务和事业发展目标所发生的支出。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四、“三公”经费</w:t>
      </w:r>
      <w:r>
        <w:rPr>
          <w:rFonts w:hint="eastAsia" w:ascii="仿宋_GB2312" w:hAnsi="华文仿宋" w:eastAsia="仿宋_GB2312" w:cs="宋体"/>
          <w:bCs/>
          <w:color w:val="000000"/>
          <w:kern w:val="0"/>
          <w:sz w:val="32"/>
          <w:szCs w:val="32"/>
          <w:lang w:val="en-US" w:eastAsia="zh-CN" w:bidi="ar-SA"/>
        </w:rPr>
        <w:t>：纳入市财政预决算管理的“三公”经费，是</w:t>
      </w:r>
      <w:r>
        <w:rPr>
          <w:rFonts w:hint="eastAsia" w:ascii="仿宋_GB2312" w:hAnsi="仿宋_GB2312" w:eastAsia="仿宋_GB2312" w:cs="仿宋_GB2312"/>
          <w:bCs/>
          <w:color w:val="000000"/>
          <w:kern w:val="0"/>
          <w:sz w:val="32"/>
          <w:szCs w:val="32"/>
          <w:lang w:val="en-US" w:eastAsia="zh-CN" w:bidi="ar-SA"/>
        </w:rPr>
        <w:t>指市</w:t>
      </w:r>
      <w:r>
        <w:rPr>
          <w:rFonts w:hint="eastAsia" w:ascii="仿宋_GB2312" w:hAnsi="仿宋_GB2312" w:eastAsia="仿宋_GB2312" w:cs="仿宋_GB2312"/>
          <w:sz w:val="32"/>
          <w:szCs w:val="32"/>
        </w:rPr>
        <w:t>本级各部门用财政拨款安排的因公出国（境）费、公务用车购置及运行费和公务接待费。</w:t>
      </w:r>
      <w:r>
        <w:rPr>
          <w:rFonts w:hint="eastAsia" w:ascii="仿宋_GB2312" w:hAnsi="华文仿宋" w:eastAsia="仿宋_GB2312" w:cs="宋体"/>
          <w:bCs/>
          <w:color w:val="000000"/>
          <w:kern w:val="0"/>
          <w:sz w:val="32"/>
          <w:szCs w:val="32"/>
          <w:lang w:val="en-US" w:eastAsia="zh-CN" w:bidi="ar-SA"/>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jc w:val="both"/>
        <w:textAlignment w:val="auto"/>
        <w:outlineLvl w:val="9"/>
        <w:rPr>
          <w:rFonts w:hint="eastAsia" w:ascii="仿宋_GB2312" w:hAnsi="华文仿宋" w:eastAsia="仿宋_GB2312"/>
          <w:color w:val="FF0000"/>
          <w:sz w:val="32"/>
          <w:szCs w:val="32"/>
        </w:rPr>
      </w:pPr>
      <w:r>
        <w:rPr>
          <w:rFonts w:hint="eastAsia" w:ascii="黑体" w:hAnsi="黑体" w:eastAsia="黑体" w:cs="黑体"/>
          <w:b/>
          <w:bCs/>
          <w:color w:val="000000"/>
          <w:kern w:val="0"/>
          <w:sz w:val="32"/>
          <w:szCs w:val="32"/>
          <w:lang w:val="en-US" w:eastAsia="zh-CN" w:bidi="ar-SA"/>
        </w:rPr>
        <w:t>五、机关运行经费</w:t>
      </w:r>
      <w:r>
        <w:rPr>
          <w:rFonts w:hint="eastAsia" w:ascii="仿宋_GB2312" w:hAnsi="华文仿宋" w:eastAsia="仿宋_GB2312" w:cs="宋体"/>
          <w:bCs/>
          <w:color w:val="000000"/>
          <w:kern w:val="0"/>
          <w:sz w:val="32"/>
          <w:szCs w:val="32"/>
          <w:lang w:val="en-US" w:eastAsia="zh-CN" w:bidi="ar-SA"/>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eastAsia" w:ascii="仿宋_GB2312" w:hAnsi="华文仿宋" w:eastAsia="仿宋_GB2312"/>
          <w:color w:val="FF0000"/>
          <w:sz w:val="32"/>
          <w:szCs w:val="32"/>
        </w:rPr>
      </w:pPr>
    </w:p>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A6A67"/>
    <w:multiLevelType w:val="singleLevel"/>
    <w:tmpl w:val="DBBA6A67"/>
    <w:lvl w:ilvl="0" w:tentative="0">
      <w:start w:val="1"/>
      <w:numFmt w:val="decimal"/>
      <w:lvlText w:val="%1."/>
      <w:lvlJc w:val="left"/>
      <w:pPr>
        <w:tabs>
          <w:tab w:val="left" w:pos="312"/>
        </w:tabs>
      </w:pPr>
    </w:lvl>
  </w:abstractNum>
  <w:abstractNum w:abstractNumId="1">
    <w:nsid w:val="E8F683FD"/>
    <w:multiLevelType w:val="singleLevel"/>
    <w:tmpl w:val="E8F683FD"/>
    <w:lvl w:ilvl="0" w:tentative="0">
      <w:start w:val="1"/>
      <w:numFmt w:val="chineseCounting"/>
      <w:suff w:val="nothing"/>
      <w:lvlText w:val="（%1）"/>
      <w:lvlJc w:val="left"/>
      <w:rPr>
        <w:rFonts w:hint="eastAsia"/>
      </w:rPr>
    </w:lvl>
  </w:abstractNum>
  <w:abstractNum w:abstractNumId="2">
    <w:nsid w:val="1B119EE6"/>
    <w:multiLevelType w:val="singleLevel"/>
    <w:tmpl w:val="1B119EE6"/>
    <w:lvl w:ilvl="0" w:tentative="0">
      <w:start w:val="1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78B60D33"/>
    <w:rsid w:val="008E65F4"/>
    <w:rsid w:val="08F56A7F"/>
    <w:rsid w:val="0EBD4E89"/>
    <w:rsid w:val="125F567D"/>
    <w:rsid w:val="210D653B"/>
    <w:rsid w:val="2E4361B9"/>
    <w:rsid w:val="2EE77193"/>
    <w:rsid w:val="34704575"/>
    <w:rsid w:val="3C835CF8"/>
    <w:rsid w:val="53BC2227"/>
    <w:rsid w:val="5B222621"/>
    <w:rsid w:val="6E0736D8"/>
    <w:rsid w:val="71935AA0"/>
    <w:rsid w:val="78B60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柳州鱼峰法院</Company>
  <Pages>10</Pages>
  <Words>4116</Words>
  <Characters>4691</Characters>
  <Lines>0</Lines>
  <Paragraphs>0</Paragraphs>
  <TotalTime>2</TotalTime>
  <ScaleCrop>false</ScaleCrop>
  <LinksUpToDate>false</LinksUpToDate>
  <CharactersWithSpaces>4698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2022-02-17T07:37:00Z</dcterms:created>
  <dc:creator>Administrator</dc:creator>
  <cp:lastModifiedBy>ちひろ</cp:lastModifiedBy>
  <dcterms:modified xsi:type="dcterms:W3CDTF">2023-05-16T07:56:12Z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B749079885ED4EC984A102E3B0672882_12</vt:lpwstr>
  </property>
</Properties>
</file>