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555" w:lineRule="atLeast"/>
        <w:jc w:val="center"/>
        <w:rPr>
          <w:b/>
          <w:bCs/>
          <w:color w:val="000000"/>
          <w:sz w:val="44"/>
          <w:szCs w:val="44"/>
          <w:shd w:val="clear" w:color="auto" w:fill="FFFFFF"/>
        </w:rPr>
      </w:pPr>
      <w:r>
        <w:rPr>
          <w:rFonts w:hint="eastAsia"/>
          <w:b/>
          <w:bCs/>
          <w:color w:val="000000"/>
          <w:sz w:val="44"/>
          <w:szCs w:val="44"/>
          <w:shd w:val="clear" w:color="auto" w:fill="FFFFFF"/>
        </w:rPr>
        <w:t>117002柳州市城中区人民法院2022年部门预算</w:t>
      </w:r>
    </w:p>
    <w:p>
      <w:pPr>
        <w:pStyle w:val="4"/>
        <w:shd w:val="clear" w:color="auto" w:fill="FFFFFF"/>
        <w:spacing w:before="0" w:beforeAutospacing="0" w:after="0" w:afterAutospacing="0" w:line="555" w:lineRule="atLeast"/>
        <w:jc w:val="center"/>
        <w:rPr>
          <w:b/>
          <w:bCs/>
          <w:color w:val="000000"/>
          <w:sz w:val="44"/>
          <w:szCs w:val="44"/>
          <w:shd w:val="clear" w:color="auto" w:fill="FFFFFF"/>
        </w:rPr>
      </w:pPr>
      <w:r>
        <w:rPr>
          <w:rFonts w:hint="eastAsia"/>
          <w:b/>
          <w:bCs/>
          <w:color w:val="000000"/>
          <w:sz w:val="44"/>
          <w:szCs w:val="44"/>
          <w:shd w:val="clear" w:color="auto" w:fill="FFFFFF"/>
        </w:rPr>
        <w:t>公开说明</w:t>
      </w:r>
      <w:bookmarkStart w:id="0" w:name="_GoBack"/>
      <w:bookmarkEnd w:id="0"/>
    </w:p>
    <w:p>
      <w:pPr>
        <w:pStyle w:val="4"/>
        <w:shd w:val="clear" w:color="auto" w:fill="FFFFFF"/>
        <w:spacing w:before="0" w:beforeAutospacing="0" w:after="0" w:afterAutospacing="0" w:line="555" w:lineRule="atLeast"/>
        <w:jc w:val="center"/>
        <w:rPr>
          <w:rStyle w:val="7"/>
          <w:rFonts w:ascii="方正小标宋简体" w:eastAsia="方正小标宋简体" w:cs="宋体"/>
          <w:color w:val="000000"/>
          <w:sz w:val="44"/>
          <w:szCs w:val="44"/>
        </w:rPr>
      </w:pPr>
    </w:p>
    <w:p>
      <w:pPr>
        <w:pStyle w:val="4"/>
        <w:shd w:val="clear" w:color="auto" w:fill="FFFFFF"/>
        <w:spacing w:before="0" w:beforeAutospacing="0" w:after="0" w:afterAutospacing="0" w:line="555" w:lineRule="atLeast"/>
        <w:jc w:val="center"/>
        <w:rPr>
          <w:color w:val="000000"/>
          <w:sz w:val="27"/>
          <w:szCs w:val="27"/>
        </w:rPr>
      </w:pPr>
      <w:r>
        <w:rPr>
          <w:rStyle w:val="7"/>
          <w:rFonts w:hint="eastAsia" w:ascii="方正小标宋简体" w:eastAsia="方正小标宋简体" w:cs="宋体"/>
          <w:color w:val="000000"/>
          <w:sz w:val="44"/>
          <w:szCs w:val="44"/>
        </w:rPr>
        <w:t>目</w:t>
      </w:r>
      <w:r>
        <w:rPr>
          <w:rStyle w:val="7"/>
          <w:rFonts w:ascii="方正小标宋简体" w:eastAsia="方正小标宋简体" w:cs="宋体"/>
          <w:color w:val="000000"/>
          <w:sz w:val="44"/>
          <w:szCs w:val="44"/>
        </w:rPr>
        <w:t> </w:t>
      </w:r>
      <w:r>
        <w:rPr>
          <w:rStyle w:val="7"/>
          <w:rFonts w:hint="eastAsia" w:ascii="方正小标宋简体" w:eastAsia="方正小标宋简体" w:cs="宋体"/>
          <w:color w:val="000000"/>
          <w:sz w:val="44"/>
          <w:szCs w:val="44"/>
        </w:rPr>
        <w:t>录</w:t>
      </w:r>
    </w:p>
    <w:p>
      <w:pPr>
        <w:pStyle w:val="4"/>
        <w:shd w:val="clear" w:color="auto" w:fill="FFFFFF"/>
        <w:spacing w:before="0" w:beforeAutospacing="0" w:after="0" w:afterAutospacing="0" w:line="555" w:lineRule="atLeast"/>
        <w:ind w:firstLine="645"/>
        <w:rPr>
          <w:color w:val="000000"/>
          <w:sz w:val="27"/>
          <w:szCs w:val="27"/>
        </w:rPr>
      </w:pPr>
      <w:r>
        <w:rPr>
          <w:rStyle w:val="7"/>
          <w:rFonts w:hint="eastAsia" w:ascii="仿宋_GB2312" w:eastAsia="仿宋_GB2312" w:cs="宋体"/>
          <w:color w:val="000000"/>
          <w:sz w:val="32"/>
          <w:szCs w:val="32"/>
        </w:rPr>
        <w:t>第一部分：柳州市城中区人民法院单位概况</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一、主要职责</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二、机构设置情况</w:t>
      </w:r>
    </w:p>
    <w:p>
      <w:pPr>
        <w:pStyle w:val="4"/>
        <w:shd w:val="clear" w:color="auto" w:fill="FFFFFF"/>
        <w:spacing w:before="0" w:beforeAutospacing="0" w:after="0" w:afterAutospacing="0" w:line="555" w:lineRule="atLeast"/>
        <w:ind w:firstLine="645"/>
        <w:rPr>
          <w:color w:val="000000"/>
          <w:sz w:val="27"/>
          <w:szCs w:val="27"/>
        </w:rPr>
      </w:pPr>
      <w:r>
        <w:rPr>
          <w:rStyle w:val="7"/>
          <w:rFonts w:hint="eastAsia" w:ascii="仿宋_GB2312" w:eastAsia="仿宋_GB2312" w:cs="宋体"/>
          <w:color w:val="000000"/>
          <w:sz w:val="32"/>
          <w:szCs w:val="32"/>
        </w:rPr>
        <w:t>第二部分：柳州市城中区人民法院</w:t>
      </w:r>
      <w:r>
        <w:rPr>
          <w:rStyle w:val="7"/>
          <w:rFonts w:ascii="仿宋_GB2312" w:eastAsia="仿宋_GB2312" w:cs="宋体"/>
          <w:color w:val="000000"/>
          <w:sz w:val="32"/>
          <w:szCs w:val="32"/>
        </w:rPr>
        <w:t>2022</w:t>
      </w:r>
      <w:r>
        <w:rPr>
          <w:rStyle w:val="7"/>
          <w:rFonts w:hint="eastAsia" w:ascii="仿宋_GB2312" w:eastAsia="仿宋_GB2312" w:cs="宋体"/>
          <w:color w:val="000000"/>
          <w:sz w:val="32"/>
          <w:szCs w:val="32"/>
        </w:rPr>
        <w:t>年预算报表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一、单位收支总体情况表（预算公开</w:t>
      </w:r>
      <w:r>
        <w:rPr>
          <w:rFonts w:ascii="仿宋_GB2312" w:eastAsia="仿宋_GB2312"/>
          <w:color w:val="000000"/>
          <w:sz w:val="32"/>
          <w:szCs w:val="32"/>
        </w:rPr>
        <w:t>01</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二、单位收入总体情况表（预算公开</w:t>
      </w:r>
      <w:r>
        <w:rPr>
          <w:rFonts w:ascii="仿宋_GB2312" w:eastAsia="仿宋_GB2312"/>
          <w:color w:val="000000"/>
          <w:sz w:val="32"/>
          <w:szCs w:val="32"/>
        </w:rPr>
        <w:t>02</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三、单位支出总体情况表（预算公开</w:t>
      </w:r>
      <w:r>
        <w:rPr>
          <w:rFonts w:ascii="仿宋_GB2312" w:eastAsia="仿宋_GB2312"/>
          <w:color w:val="000000"/>
          <w:sz w:val="32"/>
          <w:szCs w:val="32"/>
        </w:rPr>
        <w:t>03</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四、财政拨款收支总体情况表（预算公开</w:t>
      </w:r>
      <w:r>
        <w:rPr>
          <w:rFonts w:ascii="仿宋_GB2312" w:eastAsia="仿宋_GB2312"/>
          <w:color w:val="000000"/>
          <w:sz w:val="32"/>
          <w:szCs w:val="32"/>
        </w:rPr>
        <w:t>04</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五、一般公共预算支出情况表（预算公开</w:t>
      </w:r>
      <w:r>
        <w:rPr>
          <w:rFonts w:ascii="仿宋_GB2312" w:eastAsia="仿宋_GB2312"/>
          <w:color w:val="000000"/>
          <w:sz w:val="32"/>
          <w:szCs w:val="32"/>
        </w:rPr>
        <w:t>05</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六、一般公共预算基本支出情况表（预算公开</w:t>
      </w:r>
      <w:r>
        <w:rPr>
          <w:rFonts w:ascii="仿宋_GB2312" w:eastAsia="仿宋_GB2312"/>
          <w:color w:val="000000"/>
          <w:sz w:val="32"/>
          <w:szCs w:val="32"/>
        </w:rPr>
        <w:t>06</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七、一般公共预算“三公”经费支出情况表（预算公开</w:t>
      </w:r>
      <w:r>
        <w:rPr>
          <w:rFonts w:ascii="仿宋_GB2312" w:eastAsia="仿宋_GB2312"/>
          <w:color w:val="000000"/>
          <w:sz w:val="32"/>
          <w:szCs w:val="32"/>
        </w:rPr>
        <w:t>07</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八、政府性基金预算支出情况表（预算公开</w:t>
      </w:r>
      <w:r>
        <w:rPr>
          <w:rFonts w:ascii="仿宋_GB2312" w:eastAsia="仿宋_GB2312"/>
          <w:color w:val="000000"/>
          <w:sz w:val="32"/>
          <w:szCs w:val="32"/>
        </w:rPr>
        <w:t>08</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九、政府采购预算表（预算公开</w:t>
      </w:r>
      <w:r>
        <w:rPr>
          <w:rFonts w:ascii="仿宋_GB2312" w:eastAsia="仿宋_GB2312"/>
          <w:color w:val="000000"/>
          <w:sz w:val="32"/>
          <w:szCs w:val="32"/>
        </w:rPr>
        <w:t>09</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十、政府购买服务表（预算公开</w:t>
      </w:r>
      <w:r>
        <w:rPr>
          <w:rFonts w:ascii="仿宋_GB2312" w:eastAsia="仿宋_GB2312"/>
          <w:color w:val="000000"/>
          <w:sz w:val="32"/>
          <w:szCs w:val="32"/>
        </w:rPr>
        <w:t>10</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Style w:val="7"/>
          <w:rFonts w:hint="eastAsia" w:ascii="仿宋_GB2312" w:eastAsia="仿宋_GB2312" w:cs="宋体"/>
          <w:color w:val="000000"/>
          <w:sz w:val="32"/>
          <w:szCs w:val="32"/>
        </w:rPr>
        <w:t>第三部分：柳州市城中区人民法院</w:t>
      </w:r>
      <w:r>
        <w:rPr>
          <w:rStyle w:val="7"/>
          <w:rFonts w:ascii="仿宋_GB2312" w:eastAsia="仿宋_GB2312" w:cs="宋体"/>
          <w:color w:val="000000"/>
          <w:sz w:val="32"/>
          <w:szCs w:val="32"/>
        </w:rPr>
        <w:t>2022</w:t>
      </w:r>
      <w:r>
        <w:rPr>
          <w:rStyle w:val="7"/>
          <w:rFonts w:hint="eastAsia" w:ascii="仿宋_GB2312" w:eastAsia="仿宋_GB2312" w:cs="宋体"/>
          <w:color w:val="000000"/>
          <w:sz w:val="32"/>
          <w:szCs w:val="32"/>
        </w:rPr>
        <w:t>年预算情况说明</w:t>
      </w:r>
    </w:p>
    <w:p>
      <w:pPr>
        <w:pStyle w:val="4"/>
        <w:shd w:val="clear" w:color="auto" w:fill="FFFFFF"/>
        <w:spacing w:before="0" w:beforeAutospacing="0" w:after="0" w:afterAutospacing="0" w:line="555" w:lineRule="atLeast"/>
        <w:ind w:firstLine="645"/>
        <w:rPr>
          <w:color w:val="000000"/>
          <w:sz w:val="27"/>
          <w:szCs w:val="27"/>
        </w:rPr>
      </w:pPr>
      <w:r>
        <w:rPr>
          <w:rStyle w:val="7"/>
          <w:rFonts w:hint="eastAsia" w:ascii="仿宋_GB2312" w:eastAsia="仿宋_GB2312" w:cs="宋体"/>
          <w:color w:val="000000"/>
          <w:sz w:val="32"/>
          <w:szCs w:val="32"/>
        </w:rPr>
        <w:t>第四部分：名词解释</w:t>
      </w:r>
    </w:p>
    <w:p>
      <w:pPr>
        <w:pStyle w:val="4"/>
        <w:shd w:val="clear" w:color="auto" w:fill="FFFFFF"/>
        <w:spacing w:before="0" w:beforeAutospacing="0" w:after="0" w:afterAutospacing="0" w:line="555" w:lineRule="atLeast"/>
        <w:jc w:val="center"/>
        <w:rPr>
          <w:color w:val="000000"/>
          <w:sz w:val="27"/>
          <w:szCs w:val="27"/>
        </w:rPr>
      </w:pPr>
    </w:p>
    <w:p>
      <w:pPr>
        <w:pStyle w:val="4"/>
        <w:shd w:val="clear" w:color="auto" w:fill="FFFFFF"/>
        <w:spacing w:before="0" w:beforeAutospacing="0" w:after="0" w:afterAutospacing="0" w:line="555" w:lineRule="atLeast"/>
        <w:jc w:val="center"/>
        <w:rPr>
          <w:color w:val="000000"/>
          <w:sz w:val="27"/>
          <w:szCs w:val="27"/>
        </w:rPr>
      </w:pPr>
    </w:p>
    <w:p>
      <w:pPr>
        <w:pStyle w:val="4"/>
        <w:shd w:val="clear" w:color="auto" w:fill="FFFFFF"/>
        <w:spacing w:before="0" w:beforeAutospacing="0" w:after="0" w:afterAutospacing="0" w:line="555" w:lineRule="atLeast"/>
        <w:jc w:val="center"/>
        <w:rPr>
          <w:color w:val="000000"/>
          <w:sz w:val="27"/>
          <w:szCs w:val="27"/>
        </w:rPr>
      </w:pPr>
      <w:r>
        <w:rPr>
          <w:rStyle w:val="7"/>
          <w:rFonts w:ascii="仿宋_GB2312" w:eastAsia="仿宋_GB2312" w:cs="宋体"/>
          <w:color w:val="000000"/>
          <w:sz w:val="32"/>
          <w:szCs w:val="32"/>
        </w:rPr>
        <w:t> </w:t>
      </w:r>
    </w:p>
    <w:p>
      <w:pPr>
        <w:pStyle w:val="4"/>
        <w:shd w:val="clear" w:color="auto" w:fill="FFFFFF"/>
        <w:spacing w:before="0" w:beforeAutospacing="0" w:after="0" w:afterAutospacing="0" w:line="555" w:lineRule="atLeast"/>
        <w:jc w:val="center"/>
        <w:rPr>
          <w:color w:val="000000"/>
          <w:sz w:val="27"/>
          <w:szCs w:val="27"/>
        </w:rPr>
      </w:pPr>
      <w:r>
        <w:rPr>
          <w:rStyle w:val="7"/>
          <w:rFonts w:hint="eastAsia" w:ascii="仿宋_GB2312" w:eastAsia="仿宋_GB2312" w:cs="宋体"/>
          <w:color w:val="000000"/>
          <w:sz w:val="32"/>
          <w:szCs w:val="32"/>
        </w:rPr>
        <w:t>第一部分：柳州市城中区人民法院单位概况</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一、主要职责</w:t>
      </w:r>
    </w:p>
    <w:p>
      <w:pPr>
        <w:pStyle w:val="4"/>
        <w:shd w:val="clear" w:color="auto" w:fill="FFFFFF"/>
        <w:spacing w:before="0" w:beforeAutospacing="0" w:after="0" w:afterAutospacing="0"/>
        <w:ind w:firstLine="615"/>
        <w:jc w:val="both"/>
        <w:rPr>
          <w:rFonts w:ascii="仿宋_GB2312" w:eastAsia="仿宋_GB2312"/>
          <w:color w:val="000000"/>
          <w:sz w:val="32"/>
          <w:szCs w:val="32"/>
        </w:rPr>
      </w:pPr>
      <w:r>
        <w:rPr>
          <w:rFonts w:hint="eastAsia" w:ascii="仿宋_GB2312" w:eastAsia="仿宋_GB2312"/>
          <w:color w:val="000000"/>
          <w:sz w:val="32"/>
          <w:szCs w:val="32"/>
        </w:rPr>
        <w:t>柳州市城中区人民法院是国家审判机关，依法独立行使审判权。主要职责为：</w:t>
      </w:r>
    </w:p>
    <w:p>
      <w:pPr>
        <w:widowControl/>
        <w:shd w:val="clear" w:color="auto" w:fill="FFFFFF"/>
        <w:spacing w:line="555" w:lineRule="atLeast"/>
        <w:ind w:firstLine="645"/>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（一）依法审判本院管辖的民事、行政案件和上级人民法院交由审判的案件；</w:t>
      </w:r>
    </w:p>
    <w:p>
      <w:pPr>
        <w:widowControl/>
        <w:shd w:val="clear" w:color="auto" w:fill="FFFFFF"/>
        <w:spacing w:line="555" w:lineRule="atLeast"/>
        <w:ind w:firstLine="645"/>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（二）依法受理国家赔偿案件和决定国家赔偿；</w:t>
      </w:r>
    </w:p>
    <w:p>
      <w:pPr>
        <w:widowControl/>
        <w:shd w:val="clear" w:color="auto" w:fill="FFFFFF"/>
        <w:spacing w:line="555" w:lineRule="atLeast"/>
        <w:ind w:firstLine="645"/>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（三）依法执行已发生法律效力的判决、裁定以及国家行政机关依法申请执行的案件；</w:t>
      </w:r>
    </w:p>
    <w:p>
      <w:pPr>
        <w:widowControl/>
        <w:shd w:val="clear" w:color="auto" w:fill="FFFFFF"/>
        <w:spacing w:line="555" w:lineRule="atLeast"/>
        <w:ind w:firstLine="645"/>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（四）调查研究审判工作中适用法律、执行政策的疑难问题，提出解决问题的办法、意见和司法建议，开展司法统计工作，参与地方立法和综合治理工作；</w:t>
      </w:r>
    </w:p>
    <w:p>
      <w:pPr>
        <w:pStyle w:val="4"/>
        <w:shd w:val="clear" w:color="auto" w:fill="FFFFFF"/>
        <w:spacing w:before="0" w:beforeAutospacing="0" w:after="0" w:afterAutospacing="0"/>
        <w:ind w:firstLine="615"/>
        <w:jc w:val="both"/>
        <w:rPr>
          <w:rFonts w:ascii="仿宋_GB2312" w:eastAsia="仿宋_GB2312"/>
          <w:color w:val="000000"/>
          <w:sz w:val="32"/>
          <w:szCs w:val="32"/>
        </w:rPr>
      </w:pPr>
      <w:r>
        <w:rPr>
          <w:rFonts w:hint="eastAsia" w:ascii="仿宋_GB2312" w:eastAsia="仿宋_GB2312"/>
          <w:color w:val="000000"/>
          <w:sz w:val="32"/>
          <w:szCs w:val="32"/>
        </w:rPr>
        <w:t>（五）负责有关办案经费和物质装备的管理工作。</w:t>
      </w:r>
    </w:p>
    <w:p>
      <w:pPr>
        <w:pStyle w:val="4"/>
        <w:shd w:val="clear" w:color="auto" w:fill="FFFFFF"/>
        <w:spacing w:before="0" w:beforeAutospacing="0" w:after="0" w:afterAutospacing="0"/>
        <w:ind w:firstLine="615"/>
        <w:jc w:val="both"/>
        <w:rPr>
          <w:color w:val="000000"/>
          <w:sz w:val="27"/>
          <w:szCs w:val="27"/>
        </w:rPr>
      </w:pPr>
      <w:r>
        <w:rPr>
          <w:rFonts w:ascii="仿宋_GB2312" w:eastAsia="仿宋_GB2312"/>
          <w:color w:val="000000"/>
          <w:sz w:val="32"/>
          <w:szCs w:val="32"/>
        </w:rPr>
        <w:t>2022</w:t>
      </w:r>
      <w:r>
        <w:rPr>
          <w:rFonts w:hint="eastAsia" w:ascii="仿宋_GB2312" w:eastAsia="仿宋_GB2312"/>
          <w:color w:val="000000"/>
          <w:sz w:val="32"/>
          <w:szCs w:val="32"/>
        </w:rPr>
        <w:t>年柳州市城中区人民法院的主要工作目标是：</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（一）始终坚持学习贯彻习近平法治思想，坚持党对法院工作的绝对领导。</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（二）始终坚持聚焦审判执行中心工作，在执法办案中服务经济社会高质量发展大局。</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（三）始终坚持以人民为中心，努力满足新时代人民群众对公正司法的新需求。</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（四）始终坚持改革创新，努力推进审判体系和审判能力现代化。</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（五）始终坚持全面从严治党，着力培养高素质法官队伍。</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（六）始终坚持主动接受监督，加强和改进法院工作。</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二、机构设置情况</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我院为广西法院检察院财物统一管理改革试点单位，从</w:t>
      </w:r>
      <w:r>
        <w:rPr>
          <w:rFonts w:ascii="仿宋_GB2312" w:eastAsia="仿宋_GB2312"/>
          <w:color w:val="000000"/>
          <w:sz w:val="32"/>
          <w:szCs w:val="32"/>
        </w:rPr>
        <w:t>2020</w:t>
      </w:r>
      <w:r>
        <w:rPr>
          <w:rFonts w:hint="eastAsia" w:ascii="仿宋_GB2312" w:eastAsia="仿宋_GB2312"/>
          <w:color w:val="000000"/>
          <w:sz w:val="32"/>
          <w:szCs w:val="32"/>
        </w:rPr>
        <w:t>年起我院作为市</w:t>
      </w:r>
      <w:r>
        <w:rPr>
          <w:rFonts w:hint="eastAsia" w:ascii="仿宋_GB2312" w:eastAsia="仿宋_GB2312"/>
          <w:color w:val="000000"/>
          <w:sz w:val="32"/>
          <w:szCs w:val="32"/>
          <w:lang w:eastAsia="zh-CN"/>
        </w:rPr>
        <w:t>中级人民法院</w:t>
      </w:r>
      <w:r>
        <w:rPr>
          <w:rFonts w:hint="eastAsia" w:ascii="仿宋_GB2312" w:eastAsia="仿宋_GB2312"/>
          <w:color w:val="000000"/>
          <w:sz w:val="32"/>
          <w:szCs w:val="32"/>
        </w:rPr>
        <w:t>二级预算单位进行管理，为全额拨款行政单位。我院有综合办公室、政治部、刑事审判庭、综合审判庭、民事审判庭、立案庭（诉讼服务中心）、审判管理办公室、执行局、司法警察大队共计</w:t>
      </w:r>
      <w:r>
        <w:rPr>
          <w:rFonts w:ascii="仿宋_GB2312" w:eastAsia="仿宋_GB2312"/>
          <w:color w:val="000000"/>
          <w:sz w:val="32"/>
          <w:szCs w:val="32"/>
        </w:rPr>
        <w:t>9</w:t>
      </w:r>
      <w:r>
        <w:rPr>
          <w:rFonts w:hint="eastAsia" w:ascii="仿宋_GB2312" w:eastAsia="仿宋_GB2312"/>
          <w:color w:val="000000"/>
          <w:sz w:val="32"/>
          <w:szCs w:val="32"/>
        </w:rPr>
        <w:t>个部门。</w:t>
      </w:r>
      <w:r>
        <w:rPr>
          <w:rFonts w:ascii="仿宋_GB2312" w:eastAsia="仿宋_GB2312"/>
          <w:color w:val="000000"/>
          <w:sz w:val="32"/>
          <w:szCs w:val="32"/>
        </w:rPr>
        <w:t> </w:t>
      </w:r>
    </w:p>
    <w:p>
      <w:pPr>
        <w:pStyle w:val="4"/>
        <w:shd w:val="clear" w:color="auto" w:fill="FFFFFF"/>
        <w:spacing w:before="0" w:beforeAutospacing="0" w:after="0" w:afterAutospacing="0" w:line="555" w:lineRule="atLeast"/>
        <w:jc w:val="center"/>
        <w:rPr>
          <w:color w:val="000000"/>
          <w:sz w:val="27"/>
          <w:szCs w:val="27"/>
        </w:rPr>
      </w:pPr>
      <w:r>
        <w:rPr>
          <w:rStyle w:val="7"/>
          <w:rFonts w:hint="eastAsia" w:ascii="仿宋_GB2312" w:eastAsia="仿宋_GB2312" w:cs="宋体"/>
          <w:color w:val="000000"/>
          <w:sz w:val="32"/>
          <w:szCs w:val="32"/>
        </w:rPr>
        <w:t>第二部分：柳州市城中区人民法院</w:t>
      </w:r>
      <w:r>
        <w:rPr>
          <w:rStyle w:val="7"/>
          <w:rFonts w:ascii="仿宋_GB2312" w:eastAsia="仿宋_GB2312" w:cs="宋体"/>
          <w:color w:val="000000"/>
          <w:sz w:val="32"/>
          <w:szCs w:val="32"/>
        </w:rPr>
        <w:t>2022</w:t>
      </w:r>
      <w:r>
        <w:rPr>
          <w:rStyle w:val="7"/>
          <w:rFonts w:hint="eastAsia" w:ascii="仿宋_GB2312" w:eastAsia="仿宋_GB2312" w:cs="宋体"/>
          <w:color w:val="000000"/>
          <w:sz w:val="32"/>
          <w:szCs w:val="32"/>
        </w:rPr>
        <w:t>年预算报表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一、单位收支总体情况表（预算公开</w:t>
      </w:r>
      <w:r>
        <w:rPr>
          <w:rFonts w:ascii="仿宋_GB2312" w:eastAsia="仿宋_GB2312"/>
          <w:color w:val="000000"/>
          <w:sz w:val="32"/>
          <w:szCs w:val="32"/>
        </w:rPr>
        <w:t>01</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二、单位收入总体情况表（预算公开</w:t>
      </w:r>
      <w:r>
        <w:rPr>
          <w:rFonts w:ascii="仿宋_GB2312" w:eastAsia="仿宋_GB2312"/>
          <w:color w:val="000000"/>
          <w:sz w:val="32"/>
          <w:szCs w:val="32"/>
        </w:rPr>
        <w:t>02</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三、单位支出总体情况表（预算公开</w:t>
      </w:r>
      <w:r>
        <w:rPr>
          <w:rFonts w:ascii="仿宋_GB2312" w:eastAsia="仿宋_GB2312"/>
          <w:color w:val="000000"/>
          <w:sz w:val="32"/>
          <w:szCs w:val="32"/>
        </w:rPr>
        <w:t>03</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四、财政拨款收支总体情况表（预算公开</w:t>
      </w:r>
      <w:r>
        <w:rPr>
          <w:rFonts w:ascii="仿宋_GB2312" w:eastAsia="仿宋_GB2312"/>
          <w:color w:val="000000"/>
          <w:sz w:val="32"/>
          <w:szCs w:val="32"/>
        </w:rPr>
        <w:t>04</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五、一般公共预算支出情况表（预算公开</w:t>
      </w:r>
      <w:r>
        <w:rPr>
          <w:rFonts w:ascii="仿宋_GB2312" w:eastAsia="仿宋_GB2312"/>
          <w:color w:val="000000"/>
          <w:sz w:val="32"/>
          <w:szCs w:val="32"/>
        </w:rPr>
        <w:t>05</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六、一般公共预算基本支出情况表（预算公开</w:t>
      </w:r>
      <w:r>
        <w:rPr>
          <w:rFonts w:ascii="仿宋_GB2312" w:eastAsia="仿宋_GB2312"/>
          <w:color w:val="000000"/>
          <w:sz w:val="32"/>
          <w:szCs w:val="32"/>
        </w:rPr>
        <w:t>06</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七、一般公共预算“三公”经费支出情况表（预算公开</w:t>
      </w:r>
      <w:r>
        <w:rPr>
          <w:rFonts w:ascii="仿宋_GB2312" w:eastAsia="仿宋_GB2312"/>
          <w:color w:val="000000"/>
          <w:sz w:val="32"/>
          <w:szCs w:val="32"/>
        </w:rPr>
        <w:t>07</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八、政府性基金预算支出情况表（预算公开</w:t>
      </w:r>
      <w:r>
        <w:rPr>
          <w:rFonts w:ascii="仿宋_GB2312" w:eastAsia="仿宋_GB2312"/>
          <w:color w:val="000000"/>
          <w:sz w:val="32"/>
          <w:szCs w:val="32"/>
        </w:rPr>
        <w:t>08</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九、政府采购预算表（预算公开</w:t>
      </w:r>
      <w:r>
        <w:rPr>
          <w:rFonts w:ascii="仿宋_GB2312" w:eastAsia="仿宋_GB2312"/>
          <w:color w:val="000000"/>
          <w:sz w:val="32"/>
          <w:szCs w:val="32"/>
        </w:rPr>
        <w:t>09</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十、政府购买服务表（预算公开</w:t>
      </w:r>
      <w:r>
        <w:rPr>
          <w:rFonts w:ascii="仿宋_GB2312" w:eastAsia="仿宋_GB2312"/>
          <w:color w:val="000000"/>
          <w:sz w:val="32"/>
          <w:szCs w:val="32"/>
        </w:rPr>
        <w:t>10</w:t>
      </w:r>
      <w:r>
        <w:rPr>
          <w:rFonts w:hint="eastAsia" w:ascii="仿宋_GB2312" w:eastAsia="仿宋_GB2312"/>
          <w:color w:val="000000"/>
          <w:sz w:val="32"/>
          <w:szCs w:val="32"/>
        </w:rPr>
        <w:t>表）</w:t>
      </w:r>
    </w:p>
    <w:p>
      <w:pPr>
        <w:pStyle w:val="4"/>
        <w:shd w:val="clear" w:color="auto" w:fill="FFFFFF"/>
        <w:spacing w:before="0" w:beforeAutospacing="0" w:after="0" w:afterAutospacing="0" w:line="555" w:lineRule="atLeast"/>
        <w:ind w:firstLine="645"/>
        <w:rPr>
          <w:color w:val="000000"/>
          <w:sz w:val="27"/>
          <w:szCs w:val="27"/>
        </w:rPr>
      </w:pPr>
      <w:r>
        <w:rPr>
          <w:rStyle w:val="7"/>
          <w:rFonts w:hint="eastAsia" w:ascii="仿宋_GB2312" w:eastAsia="仿宋_GB2312" w:cs="宋体"/>
          <w:color w:val="000000"/>
          <w:sz w:val="32"/>
          <w:szCs w:val="32"/>
        </w:rPr>
        <w:t>上述报表详见附件。</w:t>
      </w:r>
    </w:p>
    <w:p>
      <w:pPr>
        <w:pStyle w:val="4"/>
        <w:shd w:val="clear" w:color="auto" w:fill="FFFFFF"/>
        <w:spacing w:before="0" w:beforeAutospacing="0" w:after="0" w:afterAutospacing="0" w:line="555" w:lineRule="atLeast"/>
        <w:jc w:val="both"/>
        <w:rPr>
          <w:color w:val="000000"/>
          <w:sz w:val="27"/>
          <w:szCs w:val="27"/>
        </w:rPr>
      </w:pPr>
      <w:r>
        <w:rPr>
          <w:rStyle w:val="7"/>
          <w:rFonts w:ascii="仿宋_GB2312" w:eastAsia="仿宋_GB2312" w:cs="宋体"/>
          <w:color w:val="000000"/>
          <w:sz w:val="32"/>
          <w:szCs w:val="32"/>
        </w:rPr>
        <w:t> </w:t>
      </w:r>
    </w:p>
    <w:p>
      <w:pPr>
        <w:pStyle w:val="4"/>
        <w:shd w:val="clear" w:color="auto" w:fill="FFFFFF"/>
        <w:spacing w:before="0" w:beforeAutospacing="0" w:after="0" w:afterAutospacing="0" w:line="555" w:lineRule="atLeast"/>
        <w:jc w:val="center"/>
        <w:rPr>
          <w:color w:val="000000"/>
          <w:sz w:val="27"/>
          <w:szCs w:val="27"/>
        </w:rPr>
      </w:pPr>
      <w:r>
        <w:rPr>
          <w:rStyle w:val="7"/>
          <w:rFonts w:hint="eastAsia" w:ascii="仿宋_GB2312" w:eastAsia="仿宋_GB2312" w:cs="宋体"/>
          <w:color w:val="000000"/>
          <w:sz w:val="32"/>
          <w:szCs w:val="32"/>
        </w:rPr>
        <w:t>第三部分：柳州市城中区人民法院</w:t>
      </w:r>
      <w:r>
        <w:rPr>
          <w:rStyle w:val="7"/>
          <w:rFonts w:ascii="仿宋_GB2312" w:eastAsia="仿宋_GB2312" w:cs="宋体"/>
          <w:color w:val="000000"/>
          <w:sz w:val="32"/>
          <w:szCs w:val="32"/>
        </w:rPr>
        <w:t>2022</w:t>
      </w:r>
      <w:r>
        <w:rPr>
          <w:rStyle w:val="7"/>
          <w:rFonts w:hint="eastAsia" w:ascii="仿宋_GB2312" w:eastAsia="仿宋_GB2312" w:cs="宋体"/>
          <w:color w:val="000000"/>
          <w:sz w:val="32"/>
          <w:szCs w:val="32"/>
        </w:rPr>
        <w:t>年预算情况说明</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一、单位收支预算情况说明</w:t>
      </w:r>
    </w:p>
    <w:p>
      <w:pPr>
        <w:pStyle w:val="4"/>
        <w:shd w:val="clear" w:color="auto" w:fill="FFFFFF"/>
        <w:spacing w:before="0" w:beforeAutospacing="0" w:after="0" w:afterAutospacing="0"/>
        <w:ind w:firstLine="645"/>
        <w:rPr>
          <w:color w:val="000000"/>
          <w:sz w:val="27"/>
          <w:szCs w:val="27"/>
        </w:rPr>
      </w:pPr>
      <w:r>
        <w:rPr>
          <w:rFonts w:ascii="仿宋_GB2312" w:eastAsia="仿宋_GB2312"/>
          <w:color w:val="000000"/>
          <w:sz w:val="32"/>
          <w:szCs w:val="32"/>
        </w:rPr>
        <w:t>2022</w:t>
      </w:r>
      <w:r>
        <w:rPr>
          <w:rFonts w:hint="eastAsia" w:ascii="仿宋_GB2312" w:eastAsia="仿宋_GB2312"/>
          <w:color w:val="000000"/>
          <w:sz w:val="32"/>
          <w:szCs w:val="32"/>
        </w:rPr>
        <w:t>年单位收支总预算</w:t>
      </w:r>
      <w:r>
        <w:rPr>
          <w:rFonts w:ascii="仿宋_GB2312" w:eastAsia="仿宋_GB2312"/>
          <w:color w:val="000000"/>
          <w:sz w:val="32"/>
          <w:szCs w:val="32"/>
        </w:rPr>
        <w:t>2487.47</w:t>
      </w:r>
      <w:r>
        <w:rPr>
          <w:rFonts w:hint="eastAsia" w:ascii="仿宋_GB2312" w:eastAsia="仿宋_GB2312"/>
          <w:color w:val="000000"/>
          <w:sz w:val="32"/>
          <w:szCs w:val="32"/>
        </w:rPr>
        <w:t>万元，同比增加</w:t>
      </w:r>
      <w:r>
        <w:rPr>
          <w:rFonts w:ascii="仿宋_GB2312" w:eastAsia="仿宋_GB2312"/>
          <w:color w:val="000000"/>
          <w:sz w:val="32"/>
          <w:szCs w:val="32"/>
        </w:rPr>
        <w:t>188.50</w:t>
      </w:r>
      <w:r>
        <w:rPr>
          <w:rFonts w:hint="eastAsia" w:ascii="仿宋_GB2312" w:eastAsia="仿宋_GB2312"/>
          <w:color w:val="000000"/>
          <w:sz w:val="32"/>
          <w:szCs w:val="32"/>
        </w:rPr>
        <w:t>万元，同比增长</w:t>
      </w:r>
      <w:r>
        <w:rPr>
          <w:rFonts w:ascii="仿宋_GB2312" w:eastAsia="仿宋_GB2312"/>
          <w:color w:val="000000"/>
          <w:sz w:val="32"/>
          <w:szCs w:val="32"/>
        </w:rPr>
        <w:t>8.20%</w:t>
      </w:r>
      <w:r>
        <w:rPr>
          <w:rFonts w:hint="eastAsia" w:ascii="仿宋_GB2312" w:eastAsia="仿宋_GB2312"/>
          <w:color w:val="000000"/>
          <w:sz w:val="32"/>
          <w:szCs w:val="32"/>
        </w:rPr>
        <w:t>，收入包括：一般公共预算拨款</w:t>
      </w:r>
      <w:r>
        <w:rPr>
          <w:rFonts w:ascii="仿宋_GB2312" w:eastAsia="仿宋_GB2312"/>
          <w:color w:val="000000"/>
          <w:sz w:val="32"/>
          <w:szCs w:val="32"/>
        </w:rPr>
        <w:t>2487.47</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olor w:val="000000"/>
          <w:sz w:val="32"/>
          <w:szCs w:val="32"/>
        </w:rPr>
        <w:t>支出包括：公共安全支出</w:t>
      </w:r>
      <w:r>
        <w:rPr>
          <w:rFonts w:ascii="仿宋_GB2312" w:eastAsia="仿宋_GB2312"/>
          <w:color w:val="000000"/>
          <w:sz w:val="32"/>
          <w:szCs w:val="32"/>
        </w:rPr>
        <w:t>2184.50</w:t>
      </w:r>
      <w:r>
        <w:rPr>
          <w:rFonts w:hint="eastAsia" w:ascii="仿宋_GB2312" w:eastAsia="仿宋_GB2312"/>
          <w:color w:val="000000"/>
          <w:sz w:val="32"/>
          <w:szCs w:val="32"/>
        </w:rPr>
        <w:t>万元、社会保障和就业支出</w:t>
      </w:r>
      <w:r>
        <w:rPr>
          <w:rFonts w:ascii="仿宋_GB2312" w:eastAsia="仿宋_GB2312"/>
          <w:color w:val="000000"/>
          <w:sz w:val="32"/>
          <w:szCs w:val="32"/>
        </w:rPr>
        <w:t>147.05</w:t>
      </w:r>
      <w:r>
        <w:rPr>
          <w:rFonts w:hint="eastAsia" w:ascii="仿宋_GB2312" w:eastAsia="仿宋_GB2312"/>
          <w:color w:val="000000"/>
          <w:sz w:val="32"/>
          <w:szCs w:val="32"/>
        </w:rPr>
        <w:t>万元、卫生健康支出</w:t>
      </w:r>
      <w:r>
        <w:rPr>
          <w:rFonts w:ascii="仿宋_GB2312" w:eastAsia="仿宋_GB2312"/>
          <w:color w:val="000000"/>
          <w:sz w:val="32"/>
          <w:szCs w:val="32"/>
        </w:rPr>
        <w:t>90.01</w:t>
      </w:r>
      <w:r>
        <w:rPr>
          <w:rFonts w:hint="eastAsia" w:ascii="仿宋_GB2312" w:eastAsia="仿宋_GB2312"/>
          <w:color w:val="000000"/>
          <w:sz w:val="32"/>
          <w:szCs w:val="32"/>
        </w:rPr>
        <w:t>万元、住房保障支出</w:t>
      </w:r>
      <w:r>
        <w:rPr>
          <w:rFonts w:ascii="仿宋_GB2312" w:eastAsia="仿宋_GB2312"/>
          <w:color w:val="000000"/>
          <w:sz w:val="32"/>
          <w:szCs w:val="32"/>
        </w:rPr>
        <w:t>65.91</w:t>
      </w:r>
      <w:r>
        <w:rPr>
          <w:rFonts w:hint="eastAsia" w:ascii="仿宋_GB2312" w:eastAsia="仿宋_GB2312"/>
          <w:color w:val="000000"/>
          <w:sz w:val="32"/>
          <w:szCs w:val="32"/>
        </w:rPr>
        <w:t>万元。</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二、单位收入预算情况说明</w:t>
      </w:r>
    </w:p>
    <w:p>
      <w:pPr>
        <w:pStyle w:val="4"/>
        <w:shd w:val="clear" w:color="auto" w:fill="FFFFFF"/>
        <w:spacing w:before="0" w:beforeAutospacing="0" w:after="0" w:afterAutospacing="0" w:line="555" w:lineRule="atLeast"/>
        <w:ind w:firstLine="645"/>
        <w:jc w:val="both"/>
        <w:rPr>
          <w:color w:val="000000"/>
          <w:sz w:val="27"/>
          <w:szCs w:val="27"/>
        </w:rPr>
      </w:pPr>
      <w:r>
        <w:rPr>
          <w:rFonts w:ascii="仿宋_GB2312" w:eastAsia="仿宋_GB2312"/>
          <w:color w:val="000000"/>
          <w:sz w:val="32"/>
          <w:szCs w:val="32"/>
        </w:rPr>
        <w:t>2022</w:t>
      </w:r>
      <w:r>
        <w:rPr>
          <w:rFonts w:hint="eastAsia" w:ascii="仿宋_GB2312" w:eastAsia="仿宋_GB2312"/>
          <w:color w:val="000000"/>
          <w:sz w:val="32"/>
          <w:szCs w:val="32"/>
        </w:rPr>
        <w:t>年单位收入总预算</w:t>
      </w:r>
      <w:r>
        <w:rPr>
          <w:rFonts w:ascii="仿宋_GB2312" w:eastAsia="仿宋_GB2312"/>
          <w:color w:val="000000"/>
          <w:sz w:val="32"/>
          <w:szCs w:val="32"/>
        </w:rPr>
        <w:t>2487.47</w:t>
      </w:r>
      <w:r>
        <w:rPr>
          <w:rFonts w:hint="eastAsia" w:ascii="仿宋_GB2312" w:eastAsia="仿宋_GB2312"/>
          <w:color w:val="000000"/>
          <w:sz w:val="32"/>
          <w:szCs w:val="32"/>
        </w:rPr>
        <w:t>万元，同比增加</w:t>
      </w:r>
      <w:r>
        <w:rPr>
          <w:rFonts w:ascii="仿宋_GB2312" w:eastAsia="仿宋_GB2312"/>
          <w:color w:val="000000"/>
          <w:sz w:val="32"/>
          <w:szCs w:val="32"/>
        </w:rPr>
        <w:t>188.50</w:t>
      </w:r>
      <w:r>
        <w:rPr>
          <w:rFonts w:hint="eastAsia" w:ascii="仿宋_GB2312" w:eastAsia="仿宋_GB2312"/>
          <w:color w:val="000000"/>
          <w:sz w:val="32"/>
          <w:szCs w:val="32"/>
        </w:rPr>
        <w:t>万元，同比增长</w:t>
      </w:r>
      <w:r>
        <w:rPr>
          <w:rFonts w:ascii="仿宋_GB2312" w:eastAsia="仿宋_GB2312"/>
          <w:color w:val="000000"/>
          <w:sz w:val="32"/>
          <w:szCs w:val="32"/>
        </w:rPr>
        <w:t>8.20%</w:t>
      </w:r>
      <w:r>
        <w:rPr>
          <w:rFonts w:hint="eastAsia" w:ascii="仿宋_GB2312" w:eastAsia="仿宋_GB2312"/>
          <w:color w:val="000000"/>
          <w:sz w:val="32"/>
          <w:szCs w:val="32"/>
        </w:rPr>
        <w:t>。其中：</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（一）一般公共财政预算拨款</w:t>
      </w:r>
      <w:r>
        <w:rPr>
          <w:rFonts w:ascii="仿宋_GB2312" w:eastAsia="仿宋_GB2312"/>
          <w:color w:val="000000"/>
          <w:sz w:val="32"/>
          <w:szCs w:val="32"/>
        </w:rPr>
        <w:t>2487.47</w:t>
      </w:r>
      <w:r>
        <w:rPr>
          <w:rFonts w:hint="eastAsia" w:ascii="仿宋_GB2312" w:eastAsia="仿宋_GB2312"/>
          <w:color w:val="000000"/>
          <w:sz w:val="32"/>
          <w:szCs w:val="32"/>
        </w:rPr>
        <w:t>万元，占收入总预算</w:t>
      </w:r>
      <w:r>
        <w:rPr>
          <w:rFonts w:ascii="仿宋_GB2312" w:eastAsia="仿宋_GB2312"/>
          <w:color w:val="000000"/>
          <w:sz w:val="32"/>
          <w:szCs w:val="32"/>
        </w:rPr>
        <w:t>100%,</w:t>
      </w:r>
      <w:r>
        <w:rPr>
          <w:rFonts w:hint="eastAsia" w:ascii="仿宋_GB2312" w:eastAsia="仿宋_GB2312"/>
          <w:color w:val="000000"/>
          <w:sz w:val="32"/>
          <w:szCs w:val="32"/>
        </w:rPr>
        <w:t>，同比增加</w:t>
      </w:r>
      <w:r>
        <w:rPr>
          <w:rFonts w:ascii="仿宋_GB2312" w:eastAsia="仿宋_GB2312"/>
          <w:color w:val="000000"/>
          <w:sz w:val="32"/>
          <w:szCs w:val="32"/>
        </w:rPr>
        <w:t>188.50</w:t>
      </w:r>
      <w:r>
        <w:rPr>
          <w:rFonts w:hint="eastAsia" w:ascii="仿宋_GB2312" w:eastAsia="仿宋_GB2312"/>
          <w:color w:val="000000"/>
          <w:sz w:val="32"/>
          <w:szCs w:val="32"/>
        </w:rPr>
        <w:t>万元，同比增长</w:t>
      </w:r>
      <w:r>
        <w:rPr>
          <w:rFonts w:ascii="仿宋_GB2312" w:eastAsia="仿宋_GB2312"/>
          <w:color w:val="000000"/>
          <w:sz w:val="32"/>
          <w:szCs w:val="32"/>
        </w:rPr>
        <w:t>8.20%</w:t>
      </w:r>
      <w:r>
        <w:rPr>
          <w:rFonts w:hint="eastAsia" w:ascii="仿宋_GB2312" w:eastAsia="仿宋_GB2312"/>
          <w:color w:val="000000"/>
          <w:sz w:val="32"/>
          <w:szCs w:val="32"/>
        </w:rPr>
        <w:t>。</w:t>
      </w:r>
    </w:p>
    <w:p>
      <w:pPr>
        <w:pStyle w:val="4"/>
        <w:shd w:val="clear" w:color="auto" w:fill="FFFFFF"/>
        <w:spacing w:before="0" w:beforeAutospacing="0" w:after="0" w:afterAutospacing="0" w:line="555" w:lineRule="atLeast"/>
        <w:ind w:firstLine="645"/>
        <w:jc w:val="both"/>
        <w:rPr>
          <w:color w:val="000000"/>
          <w:sz w:val="27"/>
          <w:szCs w:val="27"/>
        </w:rPr>
      </w:pPr>
      <w:r>
        <w:rPr>
          <w:rFonts w:ascii="仿宋_GB2312" w:eastAsia="仿宋_GB2312"/>
          <w:color w:val="000000"/>
          <w:sz w:val="32"/>
          <w:szCs w:val="32"/>
        </w:rPr>
        <w:t>2022</w:t>
      </w:r>
      <w:r>
        <w:rPr>
          <w:rFonts w:hint="eastAsia" w:ascii="仿宋_GB2312" w:eastAsia="仿宋_GB2312"/>
          <w:color w:val="000000"/>
          <w:sz w:val="32"/>
          <w:szCs w:val="32"/>
        </w:rPr>
        <w:t>年收入预算总体增加主要是一般公共财政预算拨款的增加，增加的主要原因：一是案件数量的增长，相应的各项费用随之增加，</w:t>
      </w:r>
      <w:r>
        <w:rPr>
          <w:rFonts w:hint="eastAsia" w:ascii="仿宋_GB2312" w:hAnsi="华文仿宋" w:eastAsia="仿宋_GB2312"/>
          <w:sz w:val="32"/>
          <w:szCs w:val="32"/>
        </w:rPr>
        <w:t>根据</w:t>
      </w:r>
      <w:r>
        <w:rPr>
          <w:rFonts w:ascii="仿宋_GB2312" w:hAnsi="华文仿宋" w:eastAsia="仿宋_GB2312"/>
          <w:sz w:val="32"/>
          <w:szCs w:val="32"/>
        </w:rPr>
        <w:t>2022</w:t>
      </w:r>
      <w:r>
        <w:rPr>
          <w:rFonts w:hint="eastAsia" w:ascii="仿宋_GB2312" w:hAnsi="华文仿宋" w:eastAsia="仿宋_GB2312"/>
          <w:sz w:val="32"/>
          <w:szCs w:val="32"/>
        </w:rPr>
        <w:t>年实际需要，增加了宣传咨询费、提高了办公楼运维费等项目支出预算；二是基本支出预算中人员经费由于实有编制的变动相应增加预算。</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三、单位支出预算情况说明</w:t>
      </w:r>
    </w:p>
    <w:p>
      <w:pPr>
        <w:pStyle w:val="4"/>
        <w:shd w:val="clear" w:color="auto" w:fill="FFFFFF"/>
        <w:spacing w:before="0" w:beforeAutospacing="0" w:after="0" w:afterAutospacing="0" w:line="555" w:lineRule="atLeast"/>
        <w:ind w:firstLine="645"/>
        <w:jc w:val="both"/>
        <w:rPr>
          <w:color w:val="000000"/>
          <w:sz w:val="27"/>
          <w:szCs w:val="27"/>
        </w:rPr>
      </w:pPr>
      <w:r>
        <w:rPr>
          <w:rFonts w:ascii="仿宋_GB2312" w:eastAsia="仿宋_GB2312"/>
          <w:color w:val="000000"/>
          <w:sz w:val="32"/>
          <w:szCs w:val="32"/>
        </w:rPr>
        <w:t>2022</w:t>
      </w:r>
      <w:r>
        <w:rPr>
          <w:rFonts w:hint="eastAsia" w:ascii="仿宋_GB2312" w:eastAsia="仿宋_GB2312"/>
          <w:color w:val="000000"/>
          <w:sz w:val="32"/>
          <w:szCs w:val="32"/>
        </w:rPr>
        <w:t>年单位支出总预算</w:t>
      </w:r>
      <w:r>
        <w:rPr>
          <w:rFonts w:ascii="仿宋_GB2312" w:eastAsia="仿宋_GB2312"/>
          <w:color w:val="000000"/>
          <w:sz w:val="32"/>
          <w:szCs w:val="32"/>
        </w:rPr>
        <w:t>2487.47</w:t>
      </w:r>
      <w:r>
        <w:rPr>
          <w:rFonts w:hint="eastAsia" w:ascii="仿宋_GB2312" w:eastAsia="仿宋_GB2312"/>
          <w:color w:val="000000"/>
          <w:sz w:val="32"/>
          <w:szCs w:val="32"/>
        </w:rPr>
        <w:t>万元，基本支出预算</w:t>
      </w:r>
      <w:r>
        <w:rPr>
          <w:rFonts w:ascii="仿宋_GB2312" w:eastAsia="仿宋_GB2312"/>
          <w:color w:val="000000"/>
          <w:sz w:val="32"/>
          <w:szCs w:val="32"/>
        </w:rPr>
        <w:t>1109.76</w:t>
      </w:r>
      <w:r>
        <w:rPr>
          <w:rFonts w:hint="eastAsia" w:ascii="仿宋_GB2312" w:eastAsia="仿宋_GB2312"/>
          <w:color w:val="000000"/>
          <w:sz w:val="32"/>
          <w:szCs w:val="32"/>
        </w:rPr>
        <w:t>万元，占支出总预算的</w:t>
      </w:r>
      <w:r>
        <w:rPr>
          <w:rFonts w:ascii="仿宋_GB2312" w:eastAsia="仿宋_GB2312"/>
          <w:color w:val="000000"/>
          <w:sz w:val="32"/>
          <w:szCs w:val="32"/>
        </w:rPr>
        <w:t>44.61%,</w:t>
      </w:r>
      <w:r>
        <w:rPr>
          <w:rFonts w:hint="eastAsia" w:ascii="仿宋_GB2312" w:eastAsia="仿宋_GB2312"/>
          <w:color w:val="000000"/>
          <w:sz w:val="32"/>
          <w:szCs w:val="32"/>
        </w:rPr>
        <w:t>同比减少</w:t>
      </w:r>
      <w:r>
        <w:rPr>
          <w:rFonts w:ascii="仿宋_GB2312" w:eastAsia="仿宋_GB2312"/>
          <w:color w:val="000000"/>
          <w:sz w:val="32"/>
          <w:szCs w:val="32"/>
        </w:rPr>
        <w:t>120.20</w:t>
      </w:r>
      <w:r>
        <w:rPr>
          <w:rFonts w:hint="eastAsia" w:ascii="仿宋_GB2312" w:eastAsia="仿宋_GB2312"/>
          <w:color w:val="000000"/>
          <w:sz w:val="32"/>
          <w:szCs w:val="32"/>
        </w:rPr>
        <w:t>万元，同比下降</w:t>
      </w:r>
      <w:r>
        <w:rPr>
          <w:rFonts w:ascii="仿宋_GB2312" w:eastAsia="仿宋_GB2312"/>
          <w:color w:val="000000"/>
          <w:sz w:val="32"/>
          <w:szCs w:val="32"/>
        </w:rPr>
        <w:t>9.77%</w:t>
      </w:r>
      <w:r>
        <w:rPr>
          <w:rFonts w:hint="eastAsia" w:ascii="仿宋_GB2312" w:eastAsia="仿宋_GB2312"/>
          <w:color w:val="000000"/>
          <w:sz w:val="32"/>
          <w:szCs w:val="32"/>
        </w:rPr>
        <w:t>。项目支出预算</w:t>
      </w:r>
      <w:r>
        <w:rPr>
          <w:rFonts w:ascii="仿宋_GB2312" w:eastAsia="仿宋_GB2312"/>
          <w:color w:val="000000"/>
          <w:sz w:val="32"/>
          <w:szCs w:val="32"/>
        </w:rPr>
        <w:t>1377.71</w:t>
      </w:r>
      <w:r>
        <w:rPr>
          <w:rFonts w:hint="eastAsia" w:ascii="仿宋_GB2312" w:eastAsia="仿宋_GB2312"/>
          <w:color w:val="000000"/>
          <w:sz w:val="32"/>
          <w:szCs w:val="32"/>
        </w:rPr>
        <w:t>万元，占支出总预算的</w:t>
      </w:r>
      <w:r>
        <w:rPr>
          <w:rFonts w:ascii="仿宋_GB2312" w:eastAsia="仿宋_GB2312"/>
          <w:color w:val="000000"/>
          <w:sz w:val="32"/>
          <w:szCs w:val="32"/>
        </w:rPr>
        <w:t>55.39%,</w:t>
      </w:r>
      <w:r>
        <w:rPr>
          <w:rFonts w:hint="eastAsia" w:ascii="仿宋_GB2312" w:eastAsia="仿宋_GB2312"/>
          <w:color w:val="000000"/>
          <w:sz w:val="32"/>
          <w:szCs w:val="32"/>
        </w:rPr>
        <w:t>同比增加</w:t>
      </w:r>
      <w:r>
        <w:rPr>
          <w:rFonts w:ascii="仿宋_GB2312" w:eastAsia="仿宋_GB2312"/>
          <w:color w:val="000000"/>
          <w:sz w:val="32"/>
          <w:szCs w:val="32"/>
        </w:rPr>
        <w:t>308.71</w:t>
      </w:r>
      <w:r>
        <w:rPr>
          <w:rFonts w:hint="eastAsia" w:ascii="仿宋_GB2312" w:eastAsia="仿宋_GB2312"/>
          <w:color w:val="000000"/>
          <w:sz w:val="32"/>
          <w:szCs w:val="32"/>
        </w:rPr>
        <w:t>万元，同比增长</w:t>
      </w:r>
      <w:r>
        <w:rPr>
          <w:rFonts w:ascii="仿宋_GB2312" w:eastAsia="仿宋_GB2312"/>
          <w:color w:val="000000"/>
          <w:sz w:val="32"/>
          <w:szCs w:val="32"/>
        </w:rPr>
        <w:t>28.88%</w:t>
      </w:r>
      <w:r>
        <w:rPr>
          <w:rFonts w:hint="eastAsia" w:ascii="仿宋_GB2312" w:eastAsia="仿宋_GB2312"/>
          <w:color w:val="000000"/>
          <w:sz w:val="32"/>
          <w:szCs w:val="32"/>
        </w:rPr>
        <w:t>。</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（一）按支出功能分类科目划分，共分为</w:t>
      </w:r>
      <w:r>
        <w:rPr>
          <w:rFonts w:ascii="仿宋_GB2312" w:eastAsia="仿宋_GB2312"/>
          <w:color w:val="000000"/>
          <w:sz w:val="32"/>
          <w:szCs w:val="32"/>
        </w:rPr>
        <w:t>4</w:t>
      </w:r>
      <w:r>
        <w:rPr>
          <w:rFonts w:hint="eastAsia" w:ascii="仿宋_GB2312" w:eastAsia="仿宋_GB2312"/>
          <w:color w:val="000000"/>
          <w:sz w:val="32"/>
          <w:szCs w:val="32"/>
        </w:rPr>
        <w:t>类，其中：</w:t>
      </w:r>
    </w:p>
    <w:p>
      <w:pPr>
        <w:pStyle w:val="4"/>
        <w:shd w:val="clear" w:color="auto" w:fill="FFFFFF"/>
        <w:spacing w:before="0" w:beforeAutospacing="0" w:after="0" w:afterAutospacing="0" w:line="555" w:lineRule="atLeast"/>
        <w:ind w:firstLine="645"/>
        <w:jc w:val="both"/>
        <w:rPr>
          <w:color w:val="000000"/>
          <w:sz w:val="27"/>
          <w:szCs w:val="27"/>
        </w:rPr>
      </w:pPr>
      <w:r>
        <w:rPr>
          <w:rFonts w:ascii="仿宋_GB2312" w:eastAsia="仿宋_GB2312"/>
          <w:color w:val="000000"/>
          <w:sz w:val="32"/>
          <w:szCs w:val="32"/>
        </w:rPr>
        <w:t>1.</w:t>
      </w:r>
      <w:r>
        <w:rPr>
          <w:rFonts w:hint="eastAsia" w:ascii="仿宋_GB2312" w:eastAsia="仿宋_GB2312"/>
          <w:color w:val="000000"/>
          <w:sz w:val="32"/>
          <w:szCs w:val="32"/>
        </w:rPr>
        <w:t>公共安全支出</w:t>
      </w:r>
      <w:r>
        <w:rPr>
          <w:rFonts w:ascii="仿宋_GB2312" w:eastAsia="仿宋_GB2312"/>
          <w:color w:val="000000"/>
          <w:sz w:val="32"/>
          <w:szCs w:val="32"/>
        </w:rPr>
        <w:t>2184.50</w:t>
      </w:r>
      <w:r>
        <w:rPr>
          <w:rFonts w:hint="eastAsia" w:ascii="仿宋_GB2312" w:eastAsia="仿宋_GB2312"/>
          <w:color w:val="000000"/>
          <w:sz w:val="32"/>
          <w:szCs w:val="32"/>
        </w:rPr>
        <w:t>万元；占支出总预算</w:t>
      </w:r>
      <w:r>
        <w:rPr>
          <w:rFonts w:ascii="仿宋_GB2312" w:eastAsia="仿宋_GB2312"/>
          <w:color w:val="000000"/>
          <w:sz w:val="32"/>
          <w:szCs w:val="32"/>
        </w:rPr>
        <w:t>87.82%</w:t>
      </w:r>
      <w:r>
        <w:rPr>
          <w:rFonts w:hint="eastAsia" w:ascii="仿宋_GB2312" w:eastAsia="仿宋_GB2312"/>
          <w:color w:val="000000"/>
          <w:sz w:val="32"/>
          <w:szCs w:val="32"/>
        </w:rPr>
        <w:t>，同比增加</w:t>
      </w:r>
      <w:r>
        <w:rPr>
          <w:rFonts w:ascii="仿宋_GB2312" w:eastAsia="仿宋_GB2312"/>
          <w:color w:val="000000"/>
          <w:sz w:val="32"/>
          <w:szCs w:val="32"/>
        </w:rPr>
        <w:t>219.71</w:t>
      </w:r>
      <w:r>
        <w:rPr>
          <w:rFonts w:hint="eastAsia" w:ascii="仿宋_GB2312" w:eastAsia="仿宋_GB2312"/>
          <w:color w:val="000000"/>
          <w:sz w:val="32"/>
          <w:szCs w:val="32"/>
        </w:rPr>
        <w:t>万元，同比增长</w:t>
      </w:r>
      <w:r>
        <w:rPr>
          <w:rFonts w:ascii="仿宋_GB2312" w:eastAsia="仿宋_GB2312"/>
          <w:color w:val="000000"/>
          <w:sz w:val="32"/>
          <w:szCs w:val="32"/>
        </w:rPr>
        <w:t>11.18%</w:t>
      </w:r>
      <w:r>
        <w:rPr>
          <w:rFonts w:hint="eastAsia" w:ascii="仿宋_GB2312" w:eastAsia="仿宋_GB2312"/>
          <w:color w:val="000000"/>
          <w:sz w:val="32"/>
          <w:szCs w:val="32"/>
        </w:rPr>
        <w:t>。</w:t>
      </w:r>
    </w:p>
    <w:p>
      <w:pPr>
        <w:pStyle w:val="4"/>
        <w:shd w:val="clear" w:color="auto" w:fill="FFFFFF"/>
        <w:spacing w:before="0" w:beforeAutospacing="0" w:after="0" w:afterAutospacing="0" w:line="555" w:lineRule="atLeast"/>
        <w:ind w:firstLine="645"/>
        <w:jc w:val="both"/>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社会保障和就业支出</w:t>
      </w:r>
      <w:r>
        <w:rPr>
          <w:rFonts w:ascii="仿宋_GB2312" w:eastAsia="仿宋_GB2312"/>
          <w:color w:val="000000"/>
          <w:sz w:val="32"/>
          <w:szCs w:val="32"/>
        </w:rPr>
        <w:t>147.05</w:t>
      </w:r>
      <w:r>
        <w:rPr>
          <w:rFonts w:hint="eastAsia" w:ascii="仿宋_GB2312" w:eastAsia="仿宋_GB2312"/>
          <w:color w:val="000000"/>
          <w:sz w:val="32"/>
          <w:szCs w:val="32"/>
        </w:rPr>
        <w:t>万元，占支出总预算</w:t>
      </w:r>
      <w:r>
        <w:rPr>
          <w:rFonts w:ascii="仿宋_GB2312" w:eastAsia="仿宋_GB2312"/>
          <w:color w:val="000000"/>
          <w:sz w:val="32"/>
          <w:szCs w:val="32"/>
        </w:rPr>
        <w:t>5.91%</w:t>
      </w:r>
      <w:r>
        <w:rPr>
          <w:rFonts w:hint="eastAsia" w:ascii="仿宋_GB2312" w:eastAsia="仿宋_GB2312"/>
          <w:color w:val="000000"/>
          <w:sz w:val="32"/>
          <w:szCs w:val="32"/>
        </w:rPr>
        <w:t>，同比减少</w:t>
      </w:r>
      <w:r>
        <w:rPr>
          <w:rFonts w:ascii="仿宋_GB2312" w:eastAsia="仿宋_GB2312"/>
          <w:color w:val="000000"/>
          <w:sz w:val="32"/>
          <w:szCs w:val="32"/>
        </w:rPr>
        <w:t>28.12</w:t>
      </w:r>
      <w:r>
        <w:rPr>
          <w:rFonts w:hint="eastAsia" w:ascii="仿宋_GB2312" w:eastAsia="仿宋_GB2312"/>
          <w:color w:val="000000"/>
          <w:sz w:val="32"/>
          <w:szCs w:val="32"/>
        </w:rPr>
        <w:t>万元，同比下降</w:t>
      </w:r>
      <w:r>
        <w:rPr>
          <w:rFonts w:ascii="仿宋_GB2312" w:eastAsia="仿宋_GB2312"/>
          <w:color w:val="000000"/>
          <w:sz w:val="32"/>
          <w:szCs w:val="32"/>
        </w:rPr>
        <w:t>16.05%</w:t>
      </w:r>
      <w:r>
        <w:rPr>
          <w:rFonts w:hint="eastAsia" w:ascii="仿宋_GB2312" w:eastAsia="仿宋_GB2312"/>
          <w:color w:val="000000"/>
          <w:sz w:val="32"/>
          <w:szCs w:val="32"/>
        </w:rPr>
        <w:t>。</w:t>
      </w:r>
    </w:p>
    <w:p>
      <w:pPr>
        <w:pStyle w:val="4"/>
        <w:shd w:val="clear" w:color="auto" w:fill="FFFFFF"/>
        <w:spacing w:before="0" w:beforeAutospacing="0" w:after="0" w:afterAutospacing="0" w:line="555" w:lineRule="atLeast"/>
        <w:ind w:firstLine="645"/>
        <w:jc w:val="both"/>
        <w:rPr>
          <w:color w:val="000000"/>
          <w:sz w:val="27"/>
          <w:szCs w:val="27"/>
        </w:rPr>
      </w:pPr>
      <w:r>
        <w:rPr>
          <w:rFonts w:ascii="仿宋_GB2312" w:eastAsia="仿宋_GB2312"/>
          <w:color w:val="000000"/>
          <w:sz w:val="32"/>
          <w:szCs w:val="32"/>
        </w:rPr>
        <w:t>3.</w:t>
      </w:r>
      <w:r>
        <w:rPr>
          <w:rFonts w:hint="eastAsia" w:ascii="仿宋_GB2312" w:eastAsia="仿宋_GB2312"/>
          <w:color w:val="000000"/>
          <w:sz w:val="32"/>
          <w:szCs w:val="32"/>
        </w:rPr>
        <w:t>卫生健康支出</w:t>
      </w:r>
      <w:r>
        <w:rPr>
          <w:rFonts w:ascii="仿宋_GB2312" w:eastAsia="仿宋_GB2312"/>
          <w:color w:val="000000"/>
          <w:sz w:val="32"/>
          <w:szCs w:val="32"/>
        </w:rPr>
        <w:t>90.01</w:t>
      </w:r>
      <w:r>
        <w:rPr>
          <w:rFonts w:hint="eastAsia" w:ascii="仿宋_GB2312" w:eastAsia="仿宋_GB2312"/>
          <w:color w:val="000000"/>
          <w:sz w:val="32"/>
          <w:szCs w:val="32"/>
        </w:rPr>
        <w:t>万元，占支出总预算</w:t>
      </w:r>
      <w:r>
        <w:rPr>
          <w:rFonts w:ascii="仿宋_GB2312" w:eastAsia="仿宋_GB2312"/>
          <w:color w:val="000000"/>
          <w:sz w:val="32"/>
          <w:szCs w:val="32"/>
        </w:rPr>
        <w:t>3.62%</w:t>
      </w:r>
      <w:r>
        <w:rPr>
          <w:rFonts w:hint="eastAsia" w:ascii="仿宋_GB2312" w:eastAsia="仿宋_GB2312"/>
          <w:color w:val="000000"/>
          <w:sz w:val="32"/>
          <w:szCs w:val="32"/>
        </w:rPr>
        <w:t>，同比增加</w:t>
      </w:r>
      <w:r>
        <w:rPr>
          <w:rFonts w:ascii="仿宋_GB2312" w:eastAsia="仿宋_GB2312"/>
          <w:color w:val="000000"/>
          <w:sz w:val="32"/>
          <w:szCs w:val="32"/>
        </w:rPr>
        <w:t>13.25</w:t>
      </w:r>
      <w:r>
        <w:rPr>
          <w:rFonts w:hint="eastAsia" w:ascii="仿宋_GB2312" w:eastAsia="仿宋_GB2312"/>
          <w:color w:val="000000"/>
          <w:sz w:val="32"/>
          <w:szCs w:val="32"/>
        </w:rPr>
        <w:t>万元，同比增长</w:t>
      </w:r>
      <w:r>
        <w:rPr>
          <w:rFonts w:ascii="仿宋_GB2312" w:eastAsia="仿宋_GB2312"/>
          <w:color w:val="000000"/>
          <w:sz w:val="32"/>
          <w:szCs w:val="32"/>
        </w:rPr>
        <w:t>17.26%</w:t>
      </w:r>
      <w:r>
        <w:rPr>
          <w:rFonts w:hint="eastAsia" w:ascii="仿宋_GB2312" w:eastAsia="仿宋_GB2312"/>
          <w:color w:val="000000"/>
          <w:sz w:val="32"/>
          <w:szCs w:val="32"/>
        </w:rPr>
        <w:t>。</w:t>
      </w:r>
    </w:p>
    <w:p>
      <w:pPr>
        <w:pStyle w:val="4"/>
        <w:shd w:val="clear" w:color="auto" w:fill="FFFFFF"/>
        <w:spacing w:before="0" w:beforeAutospacing="0" w:after="0" w:afterAutospacing="0" w:line="555" w:lineRule="atLeast"/>
        <w:ind w:firstLine="645"/>
        <w:jc w:val="both"/>
        <w:rPr>
          <w:color w:val="000000"/>
          <w:sz w:val="27"/>
          <w:szCs w:val="27"/>
        </w:rPr>
      </w:pPr>
      <w:r>
        <w:rPr>
          <w:rFonts w:ascii="仿宋_GB2312" w:eastAsia="仿宋_GB2312"/>
          <w:color w:val="000000"/>
          <w:sz w:val="32"/>
          <w:szCs w:val="32"/>
        </w:rPr>
        <w:t>4.</w:t>
      </w:r>
      <w:r>
        <w:rPr>
          <w:rFonts w:hint="eastAsia" w:ascii="仿宋_GB2312" w:eastAsia="仿宋_GB2312"/>
          <w:color w:val="000000"/>
          <w:sz w:val="32"/>
          <w:szCs w:val="32"/>
        </w:rPr>
        <w:t>住房保障支出</w:t>
      </w:r>
      <w:r>
        <w:rPr>
          <w:rFonts w:ascii="仿宋_GB2312" w:eastAsia="仿宋_GB2312"/>
          <w:color w:val="000000"/>
          <w:sz w:val="32"/>
          <w:szCs w:val="32"/>
        </w:rPr>
        <w:t>65.91</w:t>
      </w:r>
      <w:r>
        <w:rPr>
          <w:rFonts w:hint="eastAsia" w:ascii="仿宋_GB2312" w:eastAsia="仿宋_GB2312"/>
          <w:color w:val="000000"/>
          <w:sz w:val="32"/>
          <w:szCs w:val="32"/>
        </w:rPr>
        <w:t>万元，占支出总预算</w:t>
      </w:r>
      <w:r>
        <w:rPr>
          <w:rFonts w:ascii="仿宋_GB2312" w:eastAsia="仿宋_GB2312"/>
          <w:color w:val="000000"/>
          <w:sz w:val="32"/>
          <w:szCs w:val="32"/>
        </w:rPr>
        <w:t>2.65%</w:t>
      </w:r>
      <w:r>
        <w:rPr>
          <w:rFonts w:hint="eastAsia" w:ascii="仿宋_GB2312" w:eastAsia="仿宋_GB2312"/>
          <w:color w:val="000000"/>
          <w:sz w:val="32"/>
          <w:szCs w:val="32"/>
        </w:rPr>
        <w:t>，同比减少</w:t>
      </w:r>
      <w:r>
        <w:rPr>
          <w:rFonts w:ascii="仿宋_GB2312" w:eastAsia="仿宋_GB2312"/>
          <w:color w:val="000000"/>
          <w:sz w:val="32"/>
          <w:szCs w:val="32"/>
        </w:rPr>
        <w:t>16.32</w:t>
      </w:r>
      <w:r>
        <w:rPr>
          <w:rFonts w:hint="eastAsia" w:ascii="仿宋_GB2312" w:eastAsia="仿宋_GB2312"/>
          <w:color w:val="000000"/>
          <w:sz w:val="32"/>
          <w:szCs w:val="32"/>
        </w:rPr>
        <w:t>万元，同比下降</w:t>
      </w:r>
      <w:r>
        <w:rPr>
          <w:rFonts w:ascii="仿宋_GB2312" w:eastAsia="仿宋_GB2312"/>
          <w:color w:val="000000"/>
          <w:sz w:val="32"/>
          <w:szCs w:val="32"/>
        </w:rPr>
        <w:t>19.85%</w:t>
      </w:r>
      <w:r>
        <w:rPr>
          <w:rFonts w:hint="eastAsia" w:ascii="仿宋_GB2312" w:eastAsia="仿宋_GB2312"/>
          <w:color w:val="000000"/>
          <w:sz w:val="32"/>
          <w:szCs w:val="32"/>
        </w:rPr>
        <w:t>。</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（二）按支出结构分类划分，分为基本支出预算和项目支出预算。</w:t>
      </w:r>
    </w:p>
    <w:p>
      <w:pPr>
        <w:pStyle w:val="4"/>
        <w:shd w:val="clear" w:color="auto" w:fill="FFFFFF"/>
        <w:spacing w:before="0" w:beforeAutospacing="0" w:after="0" w:afterAutospacing="0" w:line="555" w:lineRule="atLeast"/>
        <w:ind w:firstLine="645"/>
        <w:jc w:val="both"/>
        <w:rPr>
          <w:color w:val="000000"/>
          <w:sz w:val="27"/>
          <w:szCs w:val="27"/>
        </w:rPr>
      </w:pPr>
      <w:r>
        <w:rPr>
          <w:rFonts w:ascii="仿宋_GB2312" w:eastAsia="仿宋_GB2312"/>
          <w:color w:val="000000"/>
          <w:sz w:val="32"/>
          <w:szCs w:val="32"/>
        </w:rPr>
        <w:t>1. </w:t>
      </w:r>
      <w:r>
        <w:rPr>
          <w:rFonts w:hint="eastAsia" w:ascii="仿宋_GB2312" w:eastAsia="仿宋_GB2312"/>
          <w:color w:val="000000"/>
          <w:sz w:val="32"/>
          <w:szCs w:val="32"/>
        </w:rPr>
        <w:t>基本支出预算</w:t>
      </w:r>
      <w:r>
        <w:rPr>
          <w:rFonts w:ascii="仿宋_GB2312" w:eastAsia="仿宋_GB2312"/>
          <w:color w:val="000000"/>
          <w:sz w:val="32"/>
          <w:szCs w:val="32"/>
        </w:rPr>
        <w:t>1109.76</w:t>
      </w:r>
      <w:r>
        <w:rPr>
          <w:rFonts w:hint="eastAsia" w:ascii="仿宋_GB2312" w:eastAsia="仿宋_GB2312"/>
          <w:color w:val="000000"/>
          <w:sz w:val="32"/>
          <w:szCs w:val="32"/>
        </w:rPr>
        <w:t>万元，占一般公共预算拨款支出预算的</w:t>
      </w:r>
      <w:r>
        <w:rPr>
          <w:rFonts w:ascii="仿宋_GB2312" w:eastAsia="仿宋_GB2312"/>
          <w:color w:val="000000"/>
          <w:sz w:val="32"/>
          <w:szCs w:val="32"/>
        </w:rPr>
        <w:t>44.61%</w:t>
      </w:r>
      <w:r>
        <w:rPr>
          <w:rFonts w:hint="eastAsia" w:ascii="仿宋_GB2312" w:eastAsia="仿宋_GB2312"/>
          <w:color w:val="000000"/>
          <w:sz w:val="32"/>
          <w:szCs w:val="32"/>
        </w:rPr>
        <w:t>，同比减少</w:t>
      </w:r>
      <w:r>
        <w:rPr>
          <w:rFonts w:ascii="仿宋_GB2312" w:eastAsia="仿宋_GB2312"/>
          <w:color w:val="000000"/>
          <w:sz w:val="32"/>
          <w:szCs w:val="32"/>
        </w:rPr>
        <w:t>120.20</w:t>
      </w:r>
      <w:r>
        <w:rPr>
          <w:rFonts w:hint="eastAsia" w:ascii="仿宋_GB2312" w:eastAsia="仿宋_GB2312"/>
          <w:color w:val="000000"/>
          <w:sz w:val="32"/>
          <w:szCs w:val="32"/>
        </w:rPr>
        <w:t>万元，同比下降</w:t>
      </w:r>
      <w:r>
        <w:rPr>
          <w:rFonts w:ascii="仿宋_GB2312" w:eastAsia="仿宋_GB2312"/>
          <w:color w:val="000000"/>
          <w:sz w:val="32"/>
          <w:szCs w:val="32"/>
        </w:rPr>
        <w:t>9.77%</w:t>
      </w:r>
      <w:r>
        <w:rPr>
          <w:rFonts w:hint="eastAsia" w:ascii="仿宋_GB2312" w:eastAsia="仿宋_GB2312"/>
          <w:color w:val="000000"/>
          <w:sz w:val="32"/>
          <w:szCs w:val="32"/>
        </w:rPr>
        <w:t>。</w:t>
      </w:r>
    </w:p>
    <w:p>
      <w:pPr>
        <w:pStyle w:val="4"/>
        <w:shd w:val="clear" w:color="auto" w:fill="FFFFFF"/>
        <w:spacing w:before="0" w:beforeAutospacing="0" w:after="0" w:afterAutospacing="0"/>
        <w:ind w:firstLine="645"/>
        <w:rPr>
          <w:color w:val="000000"/>
          <w:sz w:val="27"/>
          <w:szCs w:val="27"/>
        </w:rPr>
      </w:pPr>
      <w:r>
        <w:rPr>
          <w:rFonts w:ascii="仿宋_GB2312" w:eastAsia="仿宋_GB2312"/>
          <w:color w:val="000000"/>
          <w:sz w:val="32"/>
          <w:szCs w:val="32"/>
        </w:rPr>
        <w:t>2.</w:t>
      </w:r>
      <w:r>
        <w:rPr>
          <w:rFonts w:hint="eastAsia" w:ascii="仿宋_GB2312" w:eastAsia="仿宋_GB2312"/>
          <w:color w:val="000000"/>
          <w:sz w:val="32"/>
          <w:szCs w:val="32"/>
        </w:rPr>
        <w:t>项目支出预算</w:t>
      </w:r>
      <w:r>
        <w:rPr>
          <w:rFonts w:ascii="仿宋_GB2312" w:eastAsia="仿宋_GB2312"/>
          <w:color w:val="000000"/>
          <w:sz w:val="32"/>
          <w:szCs w:val="32"/>
        </w:rPr>
        <w:t>1377.71</w:t>
      </w:r>
      <w:r>
        <w:rPr>
          <w:rFonts w:hint="eastAsia" w:ascii="仿宋_GB2312" w:eastAsia="仿宋_GB2312"/>
          <w:color w:val="000000"/>
          <w:sz w:val="32"/>
          <w:szCs w:val="32"/>
        </w:rPr>
        <w:t>万元；占一般公共预算拨款支出预算的</w:t>
      </w:r>
      <w:r>
        <w:rPr>
          <w:rFonts w:ascii="仿宋_GB2312" w:eastAsia="仿宋_GB2312"/>
          <w:color w:val="000000"/>
          <w:sz w:val="32"/>
          <w:szCs w:val="32"/>
        </w:rPr>
        <w:t>51.17%</w:t>
      </w:r>
      <w:r>
        <w:rPr>
          <w:rFonts w:hint="eastAsia" w:ascii="仿宋_GB2312" w:eastAsia="仿宋_GB2312"/>
          <w:color w:val="000000"/>
          <w:sz w:val="32"/>
          <w:szCs w:val="32"/>
        </w:rPr>
        <w:t>，</w:t>
      </w:r>
      <w:r>
        <w:rPr>
          <w:rFonts w:ascii="仿宋_GB2312" w:eastAsia="仿宋_GB2312"/>
          <w:color w:val="000000"/>
          <w:sz w:val="32"/>
          <w:szCs w:val="32"/>
        </w:rPr>
        <w:t>55.39%,</w:t>
      </w:r>
      <w:r>
        <w:rPr>
          <w:rFonts w:hint="eastAsia" w:ascii="仿宋_GB2312" w:eastAsia="仿宋_GB2312"/>
          <w:color w:val="000000"/>
          <w:sz w:val="32"/>
          <w:szCs w:val="32"/>
        </w:rPr>
        <w:t>同比增加</w:t>
      </w:r>
      <w:r>
        <w:rPr>
          <w:rFonts w:ascii="仿宋_GB2312" w:eastAsia="仿宋_GB2312"/>
          <w:color w:val="000000"/>
          <w:sz w:val="32"/>
          <w:szCs w:val="32"/>
        </w:rPr>
        <w:t>308.71</w:t>
      </w:r>
      <w:r>
        <w:rPr>
          <w:rFonts w:hint="eastAsia" w:ascii="仿宋_GB2312" w:eastAsia="仿宋_GB2312"/>
          <w:color w:val="000000"/>
          <w:sz w:val="32"/>
          <w:szCs w:val="32"/>
        </w:rPr>
        <w:t>万元，同比增长</w:t>
      </w:r>
      <w:r>
        <w:rPr>
          <w:rFonts w:ascii="仿宋_GB2312" w:eastAsia="仿宋_GB2312"/>
          <w:color w:val="000000"/>
          <w:sz w:val="32"/>
          <w:szCs w:val="32"/>
        </w:rPr>
        <w:t>28.88%</w:t>
      </w:r>
      <w:r>
        <w:rPr>
          <w:rFonts w:hint="eastAsia" w:ascii="仿宋_GB2312" w:eastAsia="仿宋_GB2312"/>
          <w:color w:val="000000"/>
          <w:sz w:val="32"/>
          <w:szCs w:val="32"/>
        </w:rPr>
        <w:t>。</w:t>
      </w:r>
    </w:p>
    <w:p>
      <w:pPr>
        <w:pStyle w:val="4"/>
        <w:shd w:val="clear" w:color="auto" w:fill="FFFFFF"/>
        <w:spacing w:before="0" w:beforeAutospacing="0" w:after="0" w:afterAutospacing="0" w:line="555" w:lineRule="atLeast"/>
        <w:ind w:firstLine="645"/>
        <w:jc w:val="both"/>
        <w:rPr>
          <w:color w:val="000000"/>
          <w:sz w:val="27"/>
          <w:szCs w:val="27"/>
        </w:rPr>
      </w:pPr>
      <w:r>
        <w:rPr>
          <w:rFonts w:ascii="仿宋_GB2312" w:eastAsia="仿宋_GB2312"/>
          <w:color w:val="000000"/>
          <w:sz w:val="32"/>
          <w:szCs w:val="32"/>
        </w:rPr>
        <w:t>2022</w:t>
      </w:r>
      <w:r>
        <w:rPr>
          <w:rFonts w:hint="eastAsia" w:ascii="仿宋_GB2312" w:eastAsia="仿宋_GB2312"/>
          <w:color w:val="000000"/>
          <w:sz w:val="32"/>
          <w:szCs w:val="32"/>
        </w:rPr>
        <w:t>年支出预算总体增加主要是项目支出预算增加，增加的主要原因：一是案件数量的增长，相应的各项费用随之增加，</w:t>
      </w:r>
      <w:r>
        <w:rPr>
          <w:rFonts w:hint="eastAsia" w:ascii="仿宋_GB2312" w:hAnsi="华文仿宋" w:eastAsia="仿宋_GB2312"/>
          <w:sz w:val="32"/>
          <w:szCs w:val="32"/>
        </w:rPr>
        <w:t>根据</w:t>
      </w:r>
      <w:r>
        <w:rPr>
          <w:rFonts w:ascii="仿宋_GB2312" w:hAnsi="华文仿宋" w:eastAsia="仿宋_GB2312"/>
          <w:sz w:val="32"/>
          <w:szCs w:val="32"/>
        </w:rPr>
        <w:t>2022</w:t>
      </w:r>
      <w:r>
        <w:rPr>
          <w:rFonts w:hint="eastAsia" w:ascii="仿宋_GB2312" w:hAnsi="华文仿宋" w:eastAsia="仿宋_GB2312"/>
          <w:sz w:val="32"/>
          <w:szCs w:val="32"/>
        </w:rPr>
        <w:t>年实际需要，增加了宣传咨询费、提高了办公楼运维费等项目支出预算；二是基本支出预算中人员经费由于实有编制的变动相应增加预算。</w:t>
      </w:r>
      <w:r>
        <w:rPr>
          <w:rFonts w:ascii="仿宋_GB2312" w:hAnsi="华文仿宋" w:eastAsia="仿宋_GB2312"/>
          <w:sz w:val="32"/>
          <w:szCs w:val="32"/>
        </w:rPr>
        <w:t xml:space="preserve">                                                  </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四、财政拨款收支预算情况说明</w:t>
      </w:r>
    </w:p>
    <w:p>
      <w:pPr>
        <w:pStyle w:val="4"/>
        <w:shd w:val="clear" w:color="auto" w:fill="FFFFFF"/>
        <w:spacing w:before="0" w:beforeAutospacing="0" w:after="0" w:afterAutospacing="0" w:line="555" w:lineRule="atLeast"/>
        <w:ind w:firstLine="645"/>
        <w:jc w:val="both"/>
        <w:rPr>
          <w:color w:val="000000"/>
          <w:sz w:val="27"/>
          <w:szCs w:val="27"/>
        </w:rPr>
      </w:pPr>
      <w:r>
        <w:rPr>
          <w:rFonts w:ascii="仿宋_GB2312" w:eastAsia="仿宋_GB2312"/>
          <w:color w:val="000000"/>
          <w:sz w:val="32"/>
          <w:szCs w:val="32"/>
        </w:rPr>
        <w:t>2022</w:t>
      </w:r>
      <w:r>
        <w:rPr>
          <w:rFonts w:hint="eastAsia" w:ascii="仿宋_GB2312" w:eastAsia="仿宋_GB2312"/>
          <w:color w:val="000000"/>
          <w:sz w:val="32"/>
          <w:szCs w:val="32"/>
        </w:rPr>
        <w:t>年部门财政拨款收支总预算</w:t>
      </w:r>
      <w:r>
        <w:rPr>
          <w:rFonts w:ascii="仿宋_GB2312" w:eastAsia="仿宋_GB2312"/>
          <w:color w:val="000000"/>
          <w:sz w:val="32"/>
          <w:szCs w:val="32"/>
        </w:rPr>
        <w:t>2487.47</w:t>
      </w:r>
      <w:r>
        <w:rPr>
          <w:rFonts w:hint="eastAsia" w:ascii="仿宋_GB2312" w:eastAsia="仿宋_GB2312"/>
          <w:color w:val="000000"/>
          <w:sz w:val="32"/>
          <w:szCs w:val="32"/>
        </w:rPr>
        <w:t>万元，收入包括：一般公共预算拨款</w:t>
      </w:r>
      <w:r>
        <w:rPr>
          <w:rFonts w:ascii="仿宋_GB2312" w:eastAsia="仿宋_GB2312"/>
          <w:color w:val="000000"/>
          <w:sz w:val="32"/>
          <w:szCs w:val="32"/>
        </w:rPr>
        <w:t>2487.47</w:t>
      </w:r>
      <w:r>
        <w:rPr>
          <w:rFonts w:hint="eastAsia" w:ascii="仿宋_GB2312" w:eastAsia="仿宋_GB2312"/>
          <w:color w:val="000000"/>
          <w:sz w:val="32"/>
          <w:szCs w:val="32"/>
        </w:rPr>
        <w:t>万元，上年结转结余</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olor w:val="000000"/>
          <w:sz w:val="32"/>
          <w:szCs w:val="32"/>
        </w:rPr>
        <w:t>支出包括：公共安全支出</w:t>
      </w:r>
      <w:r>
        <w:rPr>
          <w:rFonts w:ascii="仿宋_GB2312" w:eastAsia="仿宋_GB2312"/>
          <w:color w:val="000000"/>
          <w:sz w:val="32"/>
          <w:szCs w:val="32"/>
        </w:rPr>
        <w:t>2184.50</w:t>
      </w:r>
      <w:r>
        <w:rPr>
          <w:rFonts w:hint="eastAsia" w:ascii="仿宋_GB2312" w:eastAsia="仿宋_GB2312"/>
          <w:color w:val="000000"/>
          <w:sz w:val="32"/>
          <w:szCs w:val="32"/>
        </w:rPr>
        <w:t>万元、社会保障和就业支出</w:t>
      </w:r>
      <w:r>
        <w:rPr>
          <w:rFonts w:ascii="仿宋_GB2312" w:eastAsia="仿宋_GB2312"/>
          <w:color w:val="000000"/>
          <w:sz w:val="32"/>
          <w:szCs w:val="32"/>
        </w:rPr>
        <w:t>147.05</w:t>
      </w:r>
      <w:r>
        <w:rPr>
          <w:rFonts w:hint="eastAsia" w:ascii="仿宋_GB2312" w:eastAsia="仿宋_GB2312"/>
          <w:color w:val="000000"/>
          <w:sz w:val="32"/>
          <w:szCs w:val="32"/>
        </w:rPr>
        <w:t>万元、卫生健康支出</w:t>
      </w:r>
      <w:r>
        <w:rPr>
          <w:rFonts w:ascii="仿宋_GB2312" w:eastAsia="仿宋_GB2312"/>
          <w:color w:val="000000"/>
          <w:sz w:val="32"/>
          <w:szCs w:val="32"/>
        </w:rPr>
        <w:t>90.01</w:t>
      </w:r>
      <w:r>
        <w:rPr>
          <w:rFonts w:hint="eastAsia" w:ascii="仿宋_GB2312" w:eastAsia="仿宋_GB2312"/>
          <w:color w:val="000000"/>
          <w:sz w:val="32"/>
          <w:szCs w:val="32"/>
        </w:rPr>
        <w:t>万元、住房保障支出</w:t>
      </w:r>
      <w:r>
        <w:rPr>
          <w:rFonts w:ascii="仿宋_GB2312" w:eastAsia="仿宋_GB2312"/>
          <w:color w:val="000000"/>
          <w:sz w:val="32"/>
          <w:szCs w:val="32"/>
        </w:rPr>
        <w:t>65.91</w:t>
      </w:r>
      <w:r>
        <w:rPr>
          <w:rFonts w:hint="eastAsia" w:ascii="仿宋_GB2312" w:eastAsia="仿宋_GB2312"/>
          <w:color w:val="000000"/>
          <w:sz w:val="32"/>
          <w:szCs w:val="32"/>
        </w:rPr>
        <w:t>万元。</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五、一般公共预算支出情况说明</w:t>
      </w:r>
    </w:p>
    <w:p>
      <w:pPr>
        <w:pStyle w:val="4"/>
        <w:shd w:val="clear" w:color="auto" w:fill="FFFFFF"/>
        <w:spacing w:before="0" w:beforeAutospacing="0" w:after="0" w:afterAutospacing="0" w:line="555" w:lineRule="atLeast"/>
        <w:ind w:firstLine="645"/>
        <w:jc w:val="both"/>
        <w:rPr>
          <w:color w:val="000000"/>
          <w:sz w:val="27"/>
          <w:szCs w:val="27"/>
        </w:rPr>
      </w:pPr>
      <w:r>
        <w:rPr>
          <w:rFonts w:ascii="仿宋_GB2312" w:eastAsia="仿宋_GB2312"/>
          <w:color w:val="000000"/>
          <w:sz w:val="32"/>
          <w:szCs w:val="32"/>
        </w:rPr>
        <w:t>2022</w:t>
      </w:r>
      <w:r>
        <w:rPr>
          <w:rFonts w:hint="eastAsia" w:ascii="仿宋_GB2312" w:eastAsia="仿宋_GB2312"/>
          <w:color w:val="000000"/>
          <w:sz w:val="32"/>
          <w:szCs w:val="32"/>
        </w:rPr>
        <w:t>年单位一般公共预算拨款支出</w:t>
      </w:r>
      <w:r>
        <w:rPr>
          <w:rFonts w:ascii="仿宋_GB2312" w:eastAsia="仿宋_GB2312"/>
          <w:color w:val="000000"/>
          <w:sz w:val="32"/>
          <w:szCs w:val="32"/>
        </w:rPr>
        <w:t>2487.47</w:t>
      </w:r>
      <w:r>
        <w:rPr>
          <w:rFonts w:hint="eastAsia" w:ascii="仿宋_GB2312" w:eastAsia="仿宋_GB2312"/>
          <w:color w:val="000000"/>
          <w:sz w:val="32"/>
          <w:szCs w:val="32"/>
        </w:rPr>
        <w:t>万元，其中：基本支出</w:t>
      </w:r>
      <w:r>
        <w:rPr>
          <w:rFonts w:ascii="仿宋_GB2312" w:eastAsia="仿宋_GB2312"/>
          <w:color w:val="000000"/>
          <w:sz w:val="32"/>
          <w:szCs w:val="32"/>
        </w:rPr>
        <w:t>1109.76</w:t>
      </w:r>
      <w:r>
        <w:rPr>
          <w:rFonts w:hint="eastAsia" w:ascii="仿宋_GB2312" w:eastAsia="仿宋_GB2312"/>
          <w:color w:val="000000"/>
          <w:sz w:val="32"/>
          <w:szCs w:val="32"/>
        </w:rPr>
        <w:t>万元，项目支出</w:t>
      </w:r>
      <w:r>
        <w:rPr>
          <w:rFonts w:ascii="仿宋_GB2312" w:eastAsia="仿宋_GB2312"/>
          <w:color w:val="000000"/>
          <w:sz w:val="32"/>
          <w:szCs w:val="32"/>
        </w:rPr>
        <w:t>1377.71</w:t>
      </w:r>
      <w:r>
        <w:rPr>
          <w:rFonts w:hint="eastAsia" w:ascii="仿宋_GB2312" w:eastAsia="仿宋_GB2312"/>
          <w:color w:val="000000"/>
          <w:sz w:val="32"/>
          <w:szCs w:val="32"/>
        </w:rPr>
        <w:t>万元，具体支出预算如下：</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（一）行政运行（法院）</w:t>
      </w:r>
      <w:r>
        <w:rPr>
          <w:rFonts w:ascii="仿宋_GB2312" w:eastAsia="仿宋_GB2312"/>
          <w:color w:val="000000"/>
          <w:sz w:val="32"/>
          <w:szCs w:val="32"/>
        </w:rPr>
        <w:t>807.37</w:t>
      </w:r>
      <w:r>
        <w:rPr>
          <w:rFonts w:hint="eastAsia" w:ascii="仿宋_GB2312" w:eastAsia="仿宋_GB2312"/>
          <w:color w:val="000000"/>
          <w:sz w:val="32"/>
          <w:szCs w:val="32"/>
        </w:rPr>
        <w:t>万元，其中基本支出</w:t>
      </w:r>
      <w:r>
        <w:rPr>
          <w:rFonts w:ascii="仿宋_GB2312" w:eastAsia="仿宋_GB2312"/>
          <w:color w:val="000000"/>
          <w:sz w:val="32"/>
          <w:szCs w:val="32"/>
        </w:rPr>
        <w:t>806.79</w:t>
      </w:r>
      <w:r>
        <w:rPr>
          <w:rFonts w:hint="eastAsia" w:ascii="仿宋_GB2312" w:eastAsia="仿宋_GB2312"/>
          <w:color w:val="000000"/>
          <w:sz w:val="32"/>
          <w:szCs w:val="32"/>
        </w:rPr>
        <w:t>万元，项目支出</w:t>
      </w:r>
      <w:r>
        <w:rPr>
          <w:rFonts w:ascii="仿宋_GB2312" w:eastAsia="仿宋_GB2312"/>
          <w:color w:val="000000"/>
          <w:sz w:val="32"/>
          <w:szCs w:val="32"/>
        </w:rPr>
        <w:t>0.59</w:t>
      </w:r>
      <w:r>
        <w:rPr>
          <w:rFonts w:hint="eastAsia" w:ascii="仿宋_GB2312" w:eastAsia="仿宋_GB2312"/>
          <w:color w:val="000000"/>
          <w:sz w:val="32"/>
          <w:szCs w:val="32"/>
        </w:rPr>
        <w:t>万元。主要用于为保证法院日常运转而发生的人员经费支出和日常公用经费支出等。</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（二）一般行政管理事务（法院）</w:t>
      </w:r>
      <w:r>
        <w:rPr>
          <w:rFonts w:ascii="仿宋_GB2312" w:eastAsia="仿宋_GB2312"/>
          <w:color w:val="000000"/>
          <w:sz w:val="32"/>
          <w:szCs w:val="32"/>
        </w:rPr>
        <w:t>277.63</w:t>
      </w:r>
      <w:r>
        <w:rPr>
          <w:rFonts w:hint="eastAsia" w:ascii="仿宋_GB2312" w:eastAsia="仿宋_GB2312"/>
          <w:color w:val="000000"/>
          <w:sz w:val="32"/>
          <w:szCs w:val="32"/>
        </w:rPr>
        <w:t>万元，全部为项目支出。主要用于法院其他项目支出。</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（三）案件审判</w:t>
      </w:r>
      <w:r>
        <w:rPr>
          <w:rFonts w:ascii="仿宋_GB2312" w:eastAsia="仿宋_GB2312"/>
          <w:color w:val="000000"/>
          <w:sz w:val="32"/>
          <w:szCs w:val="32"/>
        </w:rPr>
        <w:t>125</w:t>
      </w:r>
      <w:r>
        <w:rPr>
          <w:rFonts w:hint="eastAsia" w:ascii="仿宋_GB2312" w:eastAsia="仿宋_GB2312"/>
          <w:color w:val="000000"/>
          <w:sz w:val="32"/>
          <w:szCs w:val="32"/>
        </w:rPr>
        <w:t>万元，全部为项目支出。主要用于法院为完成各项审判工作任务而发生的办案业务支出等。</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（四）案件执行</w:t>
      </w:r>
      <w:r>
        <w:rPr>
          <w:rFonts w:ascii="仿宋_GB2312" w:eastAsia="仿宋_GB2312"/>
          <w:color w:val="000000"/>
          <w:sz w:val="32"/>
          <w:szCs w:val="32"/>
        </w:rPr>
        <w:t>28.88</w:t>
      </w:r>
      <w:r>
        <w:rPr>
          <w:rFonts w:hint="eastAsia" w:ascii="仿宋_GB2312" w:eastAsia="仿宋_GB2312"/>
          <w:color w:val="000000"/>
          <w:sz w:val="32"/>
          <w:szCs w:val="32"/>
        </w:rPr>
        <w:t>万元，全部为项目支出。主要用于法院为完成各项执行工作任务而发生的办案业务支出等。</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（五）“两庭”建设</w:t>
      </w:r>
      <w:r>
        <w:rPr>
          <w:rFonts w:ascii="仿宋_GB2312" w:eastAsia="仿宋_GB2312"/>
          <w:color w:val="000000"/>
          <w:sz w:val="32"/>
          <w:szCs w:val="32"/>
        </w:rPr>
        <w:t>49</w:t>
      </w:r>
      <w:r>
        <w:rPr>
          <w:rFonts w:hint="eastAsia" w:ascii="仿宋_GB2312" w:eastAsia="仿宋_GB2312"/>
          <w:color w:val="000000"/>
          <w:sz w:val="32"/>
          <w:szCs w:val="32"/>
        </w:rPr>
        <w:t>万元，全部为项目支出。主要用于人民法院审判用房维修支出。</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（六）其他法院支出</w:t>
      </w:r>
      <w:r>
        <w:rPr>
          <w:rFonts w:ascii="仿宋_GB2312" w:eastAsia="仿宋_GB2312"/>
          <w:color w:val="000000"/>
          <w:sz w:val="32"/>
          <w:szCs w:val="32"/>
        </w:rPr>
        <w:t>896.92</w:t>
      </w:r>
      <w:r>
        <w:rPr>
          <w:rFonts w:hint="eastAsia" w:ascii="仿宋_GB2312" w:eastAsia="仿宋_GB2312"/>
          <w:color w:val="000000"/>
          <w:sz w:val="32"/>
          <w:szCs w:val="32"/>
        </w:rPr>
        <w:t>万元，全部为项目支出。主要用于为完成其他各项法院方面工作任务而发生的办案业务支出等。</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（七）行政单位离退休</w:t>
      </w:r>
      <w:r>
        <w:rPr>
          <w:rFonts w:ascii="仿宋_GB2312" w:eastAsia="仿宋_GB2312"/>
          <w:color w:val="000000"/>
          <w:sz w:val="32"/>
          <w:szCs w:val="32"/>
        </w:rPr>
        <w:t>15.23</w:t>
      </w:r>
      <w:r>
        <w:rPr>
          <w:rFonts w:hint="eastAsia" w:ascii="仿宋_GB2312" w:eastAsia="仿宋_GB2312"/>
          <w:color w:val="000000"/>
          <w:sz w:val="32"/>
          <w:szCs w:val="32"/>
        </w:rPr>
        <w:t>万元，全部为基本支出。主要用于法院离退休人员费用支出。</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（八）机关事业单位基本养老保险缴费支出</w:t>
      </w:r>
      <w:r>
        <w:rPr>
          <w:rFonts w:ascii="仿宋_GB2312" w:eastAsia="仿宋_GB2312"/>
          <w:color w:val="000000"/>
          <w:sz w:val="32"/>
          <w:szCs w:val="32"/>
        </w:rPr>
        <w:t>87.88</w:t>
      </w:r>
      <w:r>
        <w:rPr>
          <w:rFonts w:hint="eastAsia" w:ascii="仿宋_GB2312" w:eastAsia="仿宋_GB2312"/>
          <w:color w:val="000000"/>
          <w:sz w:val="32"/>
          <w:szCs w:val="32"/>
        </w:rPr>
        <w:t>万元，全部为基本支出。主要用于支付根据市统一规定，按柳州市法院在职职工工资总额的一定比例计缴的基本养老保险费。</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（九）机关事业单位职业年金缴费支出</w:t>
      </w:r>
      <w:r>
        <w:rPr>
          <w:rFonts w:ascii="仿宋_GB2312" w:eastAsia="仿宋_GB2312"/>
          <w:color w:val="000000"/>
          <w:sz w:val="32"/>
          <w:szCs w:val="32"/>
        </w:rPr>
        <w:t>43.94</w:t>
      </w:r>
      <w:r>
        <w:rPr>
          <w:rFonts w:hint="eastAsia" w:ascii="仿宋_GB2312" w:eastAsia="仿宋_GB2312"/>
          <w:color w:val="000000"/>
          <w:sz w:val="32"/>
          <w:szCs w:val="32"/>
        </w:rPr>
        <w:t>万元，全部为基本支出。主要用于支付根据市统一规定，按柳州市法院在职职工工资总额的一定比例计缴的职业年金费用。</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（十）行政单位医疗</w:t>
      </w:r>
      <w:r>
        <w:rPr>
          <w:rFonts w:ascii="仿宋_GB2312" w:eastAsia="仿宋_GB2312"/>
          <w:color w:val="000000"/>
          <w:sz w:val="32"/>
          <w:szCs w:val="32"/>
        </w:rPr>
        <w:t>42.84</w:t>
      </w:r>
      <w:r>
        <w:rPr>
          <w:rFonts w:hint="eastAsia" w:ascii="仿宋_GB2312" w:eastAsia="仿宋_GB2312"/>
          <w:color w:val="000000"/>
          <w:sz w:val="32"/>
          <w:szCs w:val="32"/>
        </w:rPr>
        <w:t>万元，全部为基本支出。主要用于支付根据市统一规定，按柳州市法院在职职工工资总额的一定比例计缴的医疗保险。</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（十一）公务员医疗补助</w:t>
      </w:r>
      <w:r>
        <w:rPr>
          <w:rFonts w:ascii="仿宋_GB2312" w:eastAsia="仿宋_GB2312"/>
          <w:color w:val="000000"/>
          <w:sz w:val="32"/>
          <w:szCs w:val="32"/>
        </w:rPr>
        <w:t>47.17</w:t>
      </w:r>
      <w:r>
        <w:rPr>
          <w:rFonts w:hint="eastAsia" w:ascii="仿宋_GB2312" w:eastAsia="仿宋_GB2312"/>
          <w:color w:val="000000"/>
          <w:sz w:val="32"/>
          <w:szCs w:val="32"/>
        </w:rPr>
        <w:t>万元，全部为基本支出。主要用于支付根据市统一规定，按柳州市法院在职职工工资总额的一定比例计缴的公务员医疗补助。</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（十二）住房公积金</w:t>
      </w:r>
      <w:r>
        <w:rPr>
          <w:rFonts w:ascii="仿宋_GB2312" w:eastAsia="仿宋_GB2312"/>
          <w:color w:val="000000"/>
          <w:sz w:val="32"/>
          <w:szCs w:val="32"/>
        </w:rPr>
        <w:t>65.91</w:t>
      </w:r>
      <w:r>
        <w:rPr>
          <w:rFonts w:hint="eastAsia" w:ascii="仿宋_GB2312" w:eastAsia="仿宋_GB2312"/>
          <w:color w:val="000000"/>
          <w:sz w:val="32"/>
          <w:szCs w:val="32"/>
        </w:rPr>
        <w:t>万元，全部为基本支出。主要用于按照国家政策规定为法院职工计缴的住房公积金支出。</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六、一般公共预算基本支出情况说明</w:t>
      </w:r>
    </w:p>
    <w:p>
      <w:pPr>
        <w:pStyle w:val="4"/>
        <w:shd w:val="clear" w:color="auto" w:fill="FFFFFF"/>
        <w:spacing w:before="0" w:beforeAutospacing="0" w:after="0" w:afterAutospacing="0" w:line="555" w:lineRule="atLeast"/>
        <w:ind w:firstLine="645"/>
        <w:jc w:val="both"/>
        <w:rPr>
          <w:color w:val="000000"/>
          <w:sz w:val="27"/>
          <w:szCs w:val="27"/>
        </w:rPr>
      </w:pPr>
      <w:r>
        <w:rPr>
          <w:rFonts w:ascii="仿宋_GB2312" w:eastAsia="仿宋_GB2312"/>
          <w:color w:val="000000"/>
          <w:sz w:val="32"/>
          <w:szCs w:val="32"/>
        </w:rPr>
        <w:t>2022</w:t>
      </w:r>
      <w:r>
        <w:rPr>
          <w:rFonts w:hint="eastAsia" w:ascii="仿宋_GB2312" w:eastAsia="仿宋_GB2312"/>
          <w:color w:val="000000"/>
          <w:sz w:val="32"/>
          <w:szCs w:val="32"/>
        </w:rPr>
        <w:t>年部门一般公共预算基本支出</w:t>
      </w:r>
      <w:r>
        <w:rPr>
          <w:rFonts w:ascii="仿宋_GB2312" w:eastAsia="仿宋_GB2312"/>
          <w:color w:val="000000"/>
          <w:sz w:val="32"/>
          <w:szCs w:val="32"/>
        </w:rPr>
        <w:t>1109.76</w:t>
      </w:r>
      <w:r>
        <w:rPr>
          <w:rFonts w:hint="eastAsia" w:ascii="仿宋_GB2312" w:eastAsia="仿宋_GB2312"/>
          <w:color w:val="000000"/>
          <w:sz w:val="32"/>
          <w:szCs w:val="32"/>
        </w:rPr>
        <w:t>万元，其中：</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（一）人员经费</w:t>
      </w:r>
      <w:r>
        <w:rPr>
          <w:rFonts w:ascii="仿宋_GB2312" w:eastAsia="仿宋_GB2312"/>
          <w:color w:val="000000"/>
          <w:sz w:val="32"/>
          <w:szCs w:val="32"/>
        </w:rPr>
        <w:t>892.49</w:t>
      </w:r>
      <w:r>
        <w:rPr>
          <w:rFonts w:hint="eastAsia" w:ascii="仿宋_GB2312" w:eastAsia="仿宋_GB2312"/>
          <w:color w:val="000000"/>
          <w:sz w:val="32"/>
          <w:szCs w:val="32"/>
        </w:rPr>
        <w:t>万元，主要包括：基本工资、津贴补贴、奖金、机关事业单位基本养老保险缴费、职业年金缴费、职工基本医疗保险缴费、公务员医疗补助缴费、其他社会保障缴费、住房公积金、离休费、退休费、生活补助和医疗费补助。</w:t>
      </w:r>
    </w:p>
    <w:p>
      <w:pPr>
        <w:pStyle w:val="4"/>
        <w:shd w:val="clear" w:color="auto" w:fill="FFFFFF"/>
        <w:spacing w:before="0" w:beforeAutospacing="0" w:after="0" w:afterAutospacing="0" w:line="555" w:lineRule="atLeast"/>
        <w:ind w:firstLine="645"/>
        <w:rPr>
          <w:color w:val="000000"/>
          <w:sz w:val="27"/>
          <w:szCs w:val="27"/>
        </w:rPr>
      </w:pPr>
      <w:r>
        <w:rPr>
          <w:rFonts w:hint="eastAsia" w:ascii="仿宋_GB2312" w:eastAsia="仿宋_GB2312"/>
          <w:color w:val="000000"/>
          <w:sz w:val="32"/>
          <w:szCs w:val="32"/>
        </w:rPr>
        <w:t>（二）公用经费</w:t>
      </w:r>
      <w:r>
        <w:rPr>
          <w:rFonts w:ascii="仿宋_GB2312" w:eastAsia="仿宋_GB2312"/>
          <w:color w:val="000000"/>
          <w:sz w:val="32"/>
          <w:szCs w:val="32"/>
        </w:rPr>
        <w:t>217.27</w:t>
      </w:r>
      <w:r>
        <w:rPr>
          <w:rFonts w:hint="eastAsia" w:ascii="仿宋_GB2312" w:eastAsia="仿宋_GB2312"/>
          <w:color w:val="000000"/>
          <w:sz w:val="32"/>
          <w:szCs w:val="32"/>
        </w:rPr>
        <w:t>万元，主要包括：办公费、印刷费、水费、电费、邮电费、物业管理费、差旅费、维修</w:t>
      </w:r>
      <w:r>
        <w:rPr>
          <w:rFonts w:ascii="仿宋_GB2312" w:eastAsia="仿宋_GB2312"/>
          <w:color w:val="000000"/>
          <w:sz w:val="32"/>
          <w:szCs w:val="32"/>
        </w:rPr>
        <w:t>(</w:t>
      </w:r>
      <w:r>
        <w:rPr>
          <w:rFonts w:hint="eastAsia" w:ascii="仿宋_GB2312" w:eastAsia="仿宋_GB2312"/>
          <w:color w:val="000000"/>
          <w:sz w:val="32"/>
          <w:szCs w:val="32"/>
        </w:rPr>
        <w:t>护</w:t>
      </w:r>
      <w:r>
        <w:rPr>
          <w:rFonts w:ascii="仿宋_GB2312" w:eastAsia="仿宋_GB2312"/>
          <w:color w:val="000000"/>
          <w:sz w:val="32"/>
          <w:szCs w:val="32"/>
        </w:rPr>
        <w:t>)</w:t>
      </w:r>
      <w:r>
        <w:rPr>
          <w:rFonts w:hint="eastAsia" w:ascii="仿宋_GB2312" w:eastAsia="仿宋_GB2312"/>
          <w:color w:val="000000"/>
          <w:sz w:val="32"/>
          <w:szCs w:val="32"/>
        </w:rPr>
        <w:t>费、会议费、培训费、公务接待费、工会经费、公务用车运行维护费、其他交通费用以及其他商品和服务支出。</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七、一般公共预算“三公”经费情况说明</w:t>
      </w:r>
    </w:p>
    <w:p>
      <w:pPr>
        <w:pStyle w:val="4"/>
        <w:shd w:val="clear" w:color="auto" w:fill="FFFFFF"/>
        <w:spacing w:before="0" w:beforeAutospacing="0" w:after="0" w:afterAutospacing="0" w:line="555" w:lineRule="atLeast"/>
        <w:ind w:firstLine="645"/>
        <w:jc w:val="both"/>
        <w:rPr>
          <w:color w:val="000000"/>
          <w:sz w:val="27"/>
          <w:szCs w:val="27"/>
        </w:rPr>
      </w:pPr>
      <w:r>
        <w:rPr>
          <w:rFonts w:ascii="仿宋_GB2312" w:eastAsia="仿宋_GB2312"/>
          <w:color w:val="000000"/>
          <w:sz w:val="32"/>
          <w:szCs w:val="32"/>
        </w:rPr>
        <w:t>2022</w:t>
      </w:r>
      <w:r>
        <w:rPr>
          <w:rFonts w:hint="eastAsia" w:ascii="仿宋_GB2312" w:eastAsia="仿宋_GB2312"/>
          <w:color w:val="000000"/>
          <w:sz w:val="32"/>
          <w:szCs w:val="32"/>
        </w:rPr>
        <w:t>年一般公共预算安排的“三公”经费支出预算</w:t>
      </w:r>
      <w:r>
        <w:rPr>
          <w:rFonts w:ascii="仿宋_GB2312" w:eastAsia="仿宋_GB2312"/>
          <w:color w:val="000000"/>
          <w:sz w:val="32"/>
          <w:szCs w:val="32"/>
        </w:rPr>
        <w:t>2.97</w:t>
      </w:r>
      <w:r>
        <w:rPr>
          <w:rFonts w:hint="eastAsia" w:ascii="仿宋_GB2312" w:eastAsia="仿宋_GB2312"/>
          <w:color w:val="000000"/>
          <w:sz w:val="32"/>
          <w:szCs w:val="32"/>
        </w:rPr>
        <w:t>万元，比</w:t>
      </w:r>
      <w:r>
        <w:rPr>
          <w:rFonts w:ascii="仿宋_GB2312" w:eastAsia="仿宋_GB2312"/>
          <w:color w:val="000000"/>
          <w:sz w:val="32"/>
          <w:szCs w:val="32"/>
        </w:rPr>
        <w:t>2021</w:t>
      </w:r>
      <w:r>
        <w:rPr>
          <w:rFonts w:hint="eastAsia" w:ascii="仿宋_GB2312" w:eastAsia="仿宋_GB2312"/>
          <w:color w:val="000000"/>
          <w:sz w:val="32"/>
          <w:szCs w:val="32"/>
        </w:rPr>
        <w:t>年（上一年）预算</w:t>
      </w:r>
      <w:r>
        <w:rPr>
          <w:rFonts w:ascii="仿宋_GB2312" w:eastAsia="仿宋_GB2312"/>
          <w:color w:val="000000"/>
          <w:sz w:val="32"/>
          <w:szCs w:val="32"/>
        </w:rPr>
        <w:t>2.84</w:t>
      </w:r>
      <w:r>
        <w:rPr>
          <w:rFonts w:hint="eastAsia" w:ascii="仿宋_GB2312" w:eastAsia="仿宋_GB2312"/>
          <w:color w:val="000000"/>
          <w:sz w:val="32"/>
          <w:szCs w:val="32"/>
        </w:rPr>
        <w:t>万元，同比增加</w:t>
      </w:r>
      <w:r>
        <w:rPr>
          <w:rFonts w:ascii="仿宋_GB2312" w:eastAsia="仿宋_GB2312"/>
          <w:color w:val="000000"/>
          <w:sz w:val="32"/>
          <w:szCs w:val="32"/>
        </w:rPr>
        <w:t>0.13</w:t>
      </w:r>
      <w:r>
        <w:rPr>
          <w:rFonts w:hint="eastAsia" w:ascii="仿宋_GB2312" w:eastAsia="仿宋_GB2312"/>
          <w:color w:val="000000"/>
          <w:sz w:val="32"/>
          <w:szCs w:val="32"/>
        </w:rPr>
        <w:t>万元，同比增长</w:t>
      </w:r>
      <w:r>
        <w:rPr>
          <w:rFonts w:ascii="仿宋_GB2312" w:eastAsia="仿宋_GB2312"/>
          <w:color w:val="000000"/>
          <w:sz w:val="32"/>
          <w:szCs w:val="32"/>
        </w:rPr>
        <w:t>4.58%</w:t>
      </w:r>
      <w:r>
        <w:rPr>
          <w:rFonts w:hint="eastAsia" w:ascii="仿宋_GB2312" w:eastAsia="仿宋_GB2312"/>
          <w:color w:val="000000"/>
          <w:sz w:val="32"/>
          <w:szCs w:val="32"/>
        </w:rPr>
        <w:t>。其中：</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（一）因公出国（境）经费</w:t>
      </w:r>
      <w:r>
        <w:rPr>
          <w:rFonts w:ascii="仿宋_GB2312" w:eastAsia="仿宋_GB2312"/>
          <w:color w:val="000000"/>
          <w:sz w:val="32"/>
          <w:szCs w:val="32"/>
        </w:rPr>
        <w:t>2021</w:t>
      </w:r>
      <w:r>
        <w:rPr>
          <w:rFonts w:hint="eastAsia" w:ascii="仿宋_GB2312" w:eastAsia="仿宋_GB2312"/>
          <w:color w:val="000000"/>
          <w:sz w:val="32"/>
          <w:szCs w:val="32"/>
        </w:rPr>
        <w:t>年预算</w:t>
      </w:r>
      <w:r>
        <w:rPr>
          <w:rFonts w:ascii="仿宋_GB2312" w:eastAsia="仿宋_GB2312"/>
          <w:color w:val="000000"/>
          <w:sz w:val="32"/>
          <w:szCs w:val="32"/>
        </w:rPr>
        <w:t>0</w:t>
      </w:r>
      <w:r>
        <w:rPr>
          <w:rFonts w:hint="eastAsia" w:ascii="仿宋_GB2312" w:eastAsia="仿宋_GB2312"/>
          <w:color w:val="000000"/>
          <w:sz w:val="32"/>
          <w:szCs w:val="32"/>
        </w:rPr>
        <w:t>万元，同比上年持平。</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（二）公务接待费</w:t>
      </w:r>
      <w:r>
        <w:rPr>
          <w:rFonts w:ascii="仿宋_GB2312" w:eastAsia="仿宋_GB2312"/>
          <w:color w:val="000000"/>
          <w:sz w:val="32"/>
          <w:szCs w:val="32"/>
        </w:rPr>
        <w:t>2022</w:t>
      </w:r>
      <w:r>
        <w:rPr>
          <w:rFonts w:hint="eastAsia" w:ascii="仿宋_GB2312" w:eastAsia="仿宋_GB2312"/>
          <w:color w:val="000000"/>
          <w:sz w:val="32"/>
          <w:szCs w:val="32"/>
        </w:rPr>
        <w:t>年预算</w:t>
      </w:r>
      <w:r>
        <w:rPr>
          <w:rFonts w:ascii="仿宋_GB2312" w:eastAsia="仿宋_GB2312"/>
          <w:color w:val="000000"/>
          <w:sz w:val="32"/>
          <w:szCs w:val="32"/>
        </w:rPr>
        <w:t>2.97</w:t>
      </w:r>
      <w:r>
        <w:rPr>
          <w:rFonts w:hint="eastAsia" w:ascii="仿宋_GB2312" w:eastAsia="仿宋_GB2312"/>
          <w:color w:val="000000"/>
          <w:sz w:val="32"/>
          <w:szCs w:val="32"/>
        </w:rPr>
        <w:t>万元，同比增加</w:t>
      </w:r>
      <w:r>
        <w:rPr>
          <w:rFonts w:ascii="仿宋_GB2312" w:eastAsia="仿宋_GB2312"/>
          <w:color w:val="000000"/>
          <w:sz w:val="32"/>
          <w:szCs w:val="32"/>
        </w:rPr>
        <w:t>0.13</w:t>
      </w:r>
      <w:r>
        <w:rPr>
          <w:rFonts w:hint="eastAsia" w:ascii="仿宋_GB2312" w:eastAsia="仿宋_GB2312"/>
          <w:color w:val="000000"/>
          <w:sz w:val="32"/>
          <w:szCs w:val="32"/>
        </w:rPr>
        <w:t>万元，同比增长</w:t>
      </w:r>
      <w:r>
        <w:rPr>
          <w:rFonts w:ascii="仿宋_GB2312" w:eastAsia="仿宋_GB2312"/>
          <w:color w:val="000000"/>
          <w:sz w:val="32"/>
          <w:szCs w:val="32"/>
        </w:rPr>
        <w:t>4.58%</w:t>
      </w:r>
      <w:r>
        <w:rPr>
          <w:rFonts w:hint="eastAsia" w:ascii="仿宋_GB2312" w:eastAsia="仿宋_GB2312"/>
          <w:color w:val="000000"/>
          <w:sz w:val="32"/>
          <w:szCs w:val="32"/>
        </w:rPr>
        <w:t>。增长的原因是：人员增加，公用经费配套的接待费用也相应增加。主要用于接待上级部门及各地法院来我市（含县区）参加各类会议、重大活动和调研考察活动的接待费用以及开展业务需要开支出的公务接待费。</w:t>
      </w:r>
    </w:p>
    <w:p>
      <w:pPr>
        <w:pStyle w:val="4"/>
        <w:shd w:val="clear" w:color="auto" w:fill="FFFFFF"/>
        <w:spacing w:before="0" w:beforeAutospacing="0" w:after="0" w:afterAutospacing="0" w:line="555" w:lineRule="atLeast"/>
        <w:ind w:firstLine="645"/>
        <w:jc w:val="both"/>
        <w:rPr>
          <w:rFonts w:ascii="仿宋_GB2312" w:eastAsia="仿宋_GB2312"/>
          <w:color w:val="000000"/>
          <w:sz w:val="32"/>
          <w:szCs w:val="32"/>
        </w:rPr>
      </w:pPr>
      <w:r>
        <w:rPr>
          <w:rFonts w:hint="eastAsia" w:ascii="仿宋_GB2312" w:eastAsia="仿宋_GB2312"/>
          <w:color w:val="000000"/>
          <w:sz w:val="32"/>
          <w:szCs w:val="32"/>
        </w:rPr>
        <w:t>（三）公务用车购置及运行费</w:t>
      </w:r>
      <w:r>
        <w:rPr>
          <w:rFonts w:ascii="仿宋_GB2312" w:eastAsia="仿宋_GB2312"/>
          <w:color w:val="000000"/>
          <w:sz w:val="32"/>
          <w:szCs w:val="32"/>
        </w:rPr>
        <w:t>2022</w:t>
      </w:r>
      <w:r>
        <w:rPr>
          <w:rFonts w:hint="eastAsia" w:ascii="仿宋_GB2312" w:eastAsia="仿宋_GB2312"/>
          <w:color w:val="000000"/>
          <w:sz w:val="32"/>
          <w:szCs w:val="32"/>
        </w:rPr>
        <w:t>年预算</w:t>
      </w:r>
      <w:r>
        <w:rPr>
          <w:rFonts w:ascii="仿宋_GB2312" w:eastAsia="仿宋_GB2312"/>
          <w:color w:val="000000"/>
          <w:sz w:val="32"/>
          <w:szCs w:val="32"/>
        </w:rPr>
        <w:t>0</w:t>
      </w:r>
      <w:r>
        <w:rPr>
          <w:rFonts w:hint="eastAsia" w:ascii="仿宋_GB2312" w:eastAsia="仿宋_GB2312"/>
          <w:color w:val="000000"/>
          <w:sz w:val="32"/>
          <w:szCs w:val="32"/>
        </w:rPr>
        <w:t>万元，同比上年持平。其中：</w:t>
      </w:r>
    </w:p>
    <w:p>
      <w:pPr>
        <w:pStyle w:val="4"/>
        <w:shd w:val="clear" w:color="auto" w:fill="FFFFFF"/>
        <w:spacing w:before="0" w:beforeAutospacing="0" w:after="0" w:afterAutospacing="0" w:line="555" w:lineRule="atLeast"/>
        <w:ind w:firstLine="645"/>
        <w:jc w:val="both"/>
        <w:rPr>
          <w:rFonts w:ascii="仿宋_GB2312" w:eastAsia="仿宋_GB2312"/>
          <w:color w:val="000000"/>
          <w:sz w:val="32"/>
          <w:szCs w:val="32"/>
        </w:rPr>
      </w:pPr>
      <w:r>
        <w:rPr>
          <w:rFonts w:hint="eastAsia" w:ascii="仿宋_GB2312" w:eastAsia="仿宋_GB2312"/>
          <w:color w:val="000000"/>
          <w:sz w:val="32"/>
          <w:szCs w:val="32"/>
        </w:rPr>
        <w:t>1.公务用车购置费2022年预算0万元，同比上年持平。</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2. 公务用车运行维护费2022年预算0万元，同比上年持平。</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八、政府性基金预算情况说明</w:t>
      </w:r>
    </w:p>
    <w:p>
      <w:pPr>
        <w:pStyle w:val="4"/>
        <w:shd w:val="clear" w:color="auto" w:fill="FFFFFF"/>
        <w:spacing w:before="0" w:beforeAutospacing="0" w:after="0" w:afterAutospacing="0" w:line="555" w:lineRule="atLeast"/>
        <w:ind w:firstLine="645"/>
        <w:rPr>
          <w:color w:val="000000"/>
          <w:sz w:val="27"/>
          <w:szCs w:val="27"/>
        </w:rPr>
      </w:pPr>
      <w:r>
        <w:rPr>
          <w:rFonts w:ascii="仿宋_GB2312" w:eastAsia="仿宋_GB2312"/>
          <w:color w:val="000000"/>
          <w:sz w:val="32"/>
          <w:szCs w:val="32"/>
        </w:rPr>
        <w:t>2022</w:t>
      </w:r>
      <w:r>
        <w:rPr>
          <w:rFonts w:hint="eastAsia" w:ascii="仿宋_GB2312" w:eastAsia="仿宋_GB2312"/>
          <w:color w:val="000000"/>
          <w:sz w:val="32"/>
          <w:szCs w:val="32"/>
        </w:rPr>
        <w:t>年本部门无政府性基金预算支出安排。</w:t>
      </w:r>
    </w:p>
    <w:p>
      <w:pPr>
        <w:pStyle w:val="4"/>
        <w:shd w:val="clear" w:color="auto" w:fill="FFFFFF"/>
        <w:spacing w:before="0" w:beforeAutospacing="0" w:after="0" w:afterAutospacing="0" w:line="555" w:lineRule="atLeast"/>
        <w:ind w:firstLine="645"/>
        <w:rPr>
          <w:color w:val="000000"/>
          <w:sz w:val="27"/>
          <w:szCs w:val="27"/>
        </w:rPr>
      </w:pPr>
      <w:r>
        <w:rPr>
          <w:rStyle w:val="7"/>
          <w:rFonts w:hint="eastAsia" w:ascii="黑体" w:eastAsia="黑体" w:cs="宋体"/>
          <w:color w:val="000000"/>
          <w:sz w:val="32"/>
          <w:szCs w:val="32"/>
        </w:rPr>
        <w:t>九、国有资本经营预算情况说明</w:t>
      </w:r>
    </w:p>
    <w:p>
      <w:pPr>
        <w:pStyle w:val="4"/>
        <w:shd w:val="clear" w:color="auto" w:fill="FFFFFF"/>
        <w:spacing w:before="0" w:beforeAutospacing="0" w:after="0" w:afterAutospacing="0" w:line="555" w:lineRule="atLeast"/>
        <w:ind w:firstLine="645"/>
        <w:rPr>
          <w:color w:val="000000"/>
          <w:sz w:val="27"/>
          <w:szCs w:val="27"/>
        </w:rPr>
      </w:pPr>
      <w:r>
        <w:rPr>
          <w:rFonts w:ascii="仿宋_GB2312" w:eastAsia="仿宋_GB2312"/>
          <w:color w:val="000000"/>
          <w:sz w:val="32"/>
          <w:szCs w:val="32"/>
        </w:rPr>
        <w:t>2021</w:t>
      </w:r>
      <w:r>
        <w:rPr>
          <w:rFonts w:hint="eastAsia" w:ascii="仿宋_GB2312" w:eastAsia="仿宋_GB2312"/>
          <w:color w:val="000000"/>
          <w:sz w:val="32"/>
          <w:szCs w:val="32"/>
        </w:rPr>
        <w:t>年本部门无国有资本经营预算支出安排。</w:t>
      </w:r>
    </w:p>
    <w:p>
      <w:pPr>
        <w:pStyle w:val="4"/>
        <w:shd w:val="clear" w:color="auto" w:fill="FFFFFF"/>
        <w:spacing w:before="0" w:beforeAutospacing="0" w:after="0" w:afterAutospacing="0" w:line="555" w:lineRule="atLeast"/>
        <w:ind w:firstLine="645"/>
        <w:rPr>
          <w:color w:val="000000"/>
          <w:sz w:val="27"/>
          <w:szCs w:val="27"/>
        </w:rPr>
      </w:pPr>
      <w:r>
        <w:rPr>
          <w:rStyle w:val="7"/>
          <w:rFonts w:hint="eastAsia" w:ascii="黑体" w:eastAsia="黑体" w:cs="宋体"/>
          <w:color w:val="000000"/>
          <w:sz w:val="32"/>
          <w:szCs w:val="32"/>
        </w:rPr>
        <w:t>十、政府采购预算情况说明</w:t>
      </w:r>
    </w:p>
    <w:p>
      <w:pPr>
        <w:pStyle w:val="4"/>
        <w:shd w:val="clear" w:color="auto" w:fill="FFFFFF"/>
        <w:spacing w:before="0" w:beforeAutospacing="0" w:after="0" w:afterAutospacing="0" w:line="555" w:lineRule="atLeast"/>
        <w:ind w:firstLine="645"/>
        <w:jc w:val="both"/>
        <w:rPr>
          <w:sz w:val="27"/>
          <w:szCs w:val="27"/>
        </w:rPr>
      </w:pPr>
      <w:r>
        <w:rPr>
          <w:rFonts w:ascii="仿宋_GB2312" w:eastAsia="仿宋_GB2312"/>
          <w:sz w:val="32"/>
          <w:szCs w:val="32"/>
        </w:rPr>
        <w:t>2022</w:t>
      </w:r>
      <w:r>
        <w:rPr>
          <w:rFonts w:hint="eastAsia" w:ascii="仿宋_GB2312" w:eastAsia="仿宋_GB2312"/>
          <w:sz w:val="32"/>
          <w:szCs w:val="32"/>
        </w:rPr>
        <w:t>年政府采购预算81.44万元，同比减少135.85万元，下降</w:t>
      </w:r>
      <w:r>
        <w:rPr>
          <w:rFonts w:ascii="仿宋_GB2312" w:eastAsia="仿宋_GB2312"/>
          <w:sz w:val="32"/>
          <w:szCs w:val="32"/>
        </w:rPr>
        <w:t>62.</w:t>
      </w:r>
      <w:r>
        <w:rPr>
          <w:rFonts w:hint="eastAsia" w:ascii="仿宋_GB2312" w:eastAsia="仿宋_GB2312"/>
          <w:sz w:val="32"/>
          <w:szCs w:val="32"/>
        </w:rPr>
        <w:t>52</w:t>
      </w:r>
      <w:r>
        <w:rPr>
          <w:rFonts w:ascii="仿宋_GB2312" w:eastAsia="仿宋_GB2312"/>
          <w:sz w:val="32"/>
          <w:szCs w:val="32"/>
        </w:rPr>
        <w:t>%</w:t>
      </w:r>
      <w:r>
        <w:rPr>
          <w:rFonts w:hint="eastAsia" w:ascii="仿宋_GB2312" w:eastAsia="仿宋_GB2312"/>
          <w:sz w:val="32"/>
          <w:szCs w:val="32"/>
        </w:rPr>
        <w:t>。</w:t>
      </w:r>
    </w:p>
    <w:p>
      <w:pPr>
        <w:pStyle w:val="4"/>
        <w:shd w:val="clear" w:color="auto" w:fill="FFFFFF"/>
        <w:spacing w:before="0" w:beforeAutospacing="0" w:after="0" w:afterAutospacing="0" w:line="555" w:lineRule="atLeast"/>
        <w:ind w:firstLine="645"/>
        <w:jc w:val="both"/>
        <w:rPr>
          <w:sz w:val="27"/>
          <w:szCs w:val="27"/>
        </w:rPr>
      </w:pPr>
      <w:r>
        <w:rPr>
          <w:rFonts w:hint="eastAsia" w:ascii="仿宋_GB2312" w:eastAsia="仿宋_GB2312"/>
          <w:sz w:val="32"/>
          <w:szCs w:val="32"/>
        </w:rPr>
        <w:t>（一）按政府采购项目类型划分</w:t>
      </w:r>
    </w:p>
    <w:p>
      <w:pPr>
        <w:pStyle w:val="4"/>
        <w:shd w:val="clear" w:color="auto" w:fill="FFFFFF"/>
        <w:spacing w:before="0" w:beforeAutospacing="0" w:after="0" w:afterAutospacing="0" w:line="555" w:lineRule="atLeast"/>
        <w:ind w:firstLine="645"/>
        <w:jc w:val="both"/>
        <w:rPr>
          <w:sz w:val="27"/>
          <w:szCs w:val="27"/>
        </w:rPr>
      </w:pPr>
      <w:r>
        <w:rPr>
          <w:rFonts w:hint="eastAsia" w:ascii="仿宋_GB2312" w:eastAsia="仿宋_GB2312"/>
          <w:sz w:val="32"/>
          <w:szCs w:val="32"/>
        </w:rPr>
        <w:t>政府集中采购预算81.44万元，同比减少135.85万元，下降</w:t>
      </w:r>
      <w:r>
        <w:rPr>
          <w:rFonts w:ascii="仿宋_GB2312" w:eastAsia="仿宋_GB2312"/>
          <w:sz w:val="32"/>
          <w:szCs w:val="32"/>
        </w:rPr>
        <w:t>62.</w:t>
      </w:r>
      <w:r>
        <w:rPr>
          <w:rFonts w:hint="eastAsia" w:ascii="仿宋_GB2312" w:eastAsia="仿宋_GB2312"/>
          <w:sz w:val="32"/>
          <w:szCs w:val="32"/>
        </w:rPr>
        <w:t>52</w:t>
      </w:r>
      <w:r>
        <w:rPr>
          <w:rFonts w:ascii="仿宋_GB2312" w:eastAsia="仿宋_GB2312"/>
          <w:sz w:val="32"/>
          <w:szCs w:val="32"/>
        </w:rPr>
        <w:t>%</w:t>
      </w:r>
      <w:r>
        <w:rPr>
          <w:rFonts w:hint="eastAsia" w:ascii="仿宋_GB2312" w:eastAsia="仿宋_GB2312"/>
          <w:sz w:val="32"/>
          <w:szCs w:val="32"/>
        </w:rPr>
        <w:t>。</w:t>
      </w:r>
    </w:p>
    <w:p>
      <w:pPr>
        <w:pStyle w:val="4"/>
        <w:shd w:val="clear" w:color="auto" w:fill="FFFFFF"/>
        <w:spacing w:before="0" w:beforeAutospacing="0" w:after="0" w:afterAutospacing="0" w:line="555" w:lineRule="atLeast"/>
        <w:ind w:firstLine="645"/>
        <w:rPr>
          <w:sz w:val="27"/>
          <w:szCs w:val="27"/>
        </w:rPr>
      </w:pPr>
      <w:r>
        <w:rPr>
          <w:rFonts w:hint="eastAsia" w:ascii="仿宋_GB2312" w:eastAsia="仿宋_GB2312"/>
          <w:sz w:val="32"/>
          <w:szCs w:val="32"/>
        </w:rPr>
        <w:t>分散采购预算</w:t>
      </w:r>
      <w:r>
        <w:rPr>
          <w:rFonts w:ascii="仿宋_GB2312" w:eastAsia="仿宋_GB2312"/>
          <w:sz w:val="32"/>
          <w:szCs w:val="32"/>
        </w:rPr>
        <w:t>0</w:t>
      </w:r>
      <w:r>
        <w:rPr>
          <w:rFonts w:hint="eastAsia" w:ascii="仿宋_GB2312" w:eastAsia="仿宋_GB2312"/>
          <w:sz w:val="32"/>
          <w:szCs w:val="32"/>
        </w:rPr>
        <w:t>万元，占政府采购预算的</w:t>
      </w:r>
      <w:r>
        <w:rPr>
          <w:rFonts w:ascii="仿宋_GB2312" w:eastAsia="仿宋_GB2312"/>
          <w:sz w:val="32"/>
          <w:szCs w:val="32"/>
        </w:rPr>
        <w:t>0%</w:t>
      </w:r>
      <w:r>
        <w:rPr>
          <w:rFonts w:hint="eastAsia" w:ascii="仿宋_GB2312" w:eastAsia="仿宋_GB2312"/>
          <w:sz w:val="32"/>
          <w:szCs w:val="32"/>
        </w:rPr>
        <w:t>。</w:t>
      </w:r>
    </w:p>
    <w:p>
      <w:pPr>
        <w:pStyle w:val="4"/>
        <w:shd w:val="clear" w:color="auto" w:fill="FFFFFF"/>
        <w:spacing w:before="0" w:beforeAutospacing="0" w:after="0" w:afterAutospacing="0" w:line="555" w:lineRule="atLeast"/>
        <w:ind w:firstLine="645"/>
        <w:jc w:val="both"/>
        <w:rPr>
          <w:sz w:val="27"/>
          <w:szCs w:val="27"/>
        </w:rPr>
      </w:pPr>
      <w:r>
        <w:rPr>
          <w:rFonts w:hint="eastAsia" w:ascii="仿宋_GB2312" w:eastAsia="仿宋_GB2312"/>
          <w:sz w:val="32"/>
          <w:szCs w:val="32"/>
        </w:rPr>
        <w:t>按政府采购项目类型分为货物类采购、工程类采购和服务类采购三种类型。货物类采购预算81.44万元，工程类采购预算</w:t>
      </w:r>
      <w:r>
        <w:rPr>
          <w:rFonts w:ascii="仿宋_GB2312" w:eastAsia="仿宋_GB2312"/>
          <w:sz w:val="32"/>
          <w:szCs w:val="32"/>
        </w:rPr>
        <w:t>0</w:t>
      </w:r>
      <w:r>
        <w:rPr>
          <w:rFonts w:hint="eastAsia" w:ascii="仿宋_GB2312" w:eastAsia="仿宋_GB2312"/>
          <w:sz w:val="32"/>
          <w:szCs w:val="32"/>
        </w:rPr>
        <w:t>万元，服务类采购</w:t>
      </w:r>
      <w:r>
        <w:rPr>
          <w:rFonts w:ascii="仿宋_GB2312" w:eastAsia="仿宋_GB2312"/>
          <w:sz w:val="32"/>
          <w:szCs w:val="32"/>
        </w:rPr>
        <w:t>0</w:t>
      </w:r>
      <w:r>
        <w:rPr>
          <w:rFonts w:hint="eastAsia" w:ascii="仿宋_GB2312" w:eastAsia="仿宋_GB2312"/>
          <w:sz w:val="32"/>
          <w:szCs w:val="32"/>
        </w:rPr>
        <w:t>万元。</w:t>
      </w:r>
    </w:p>
    <w:p>
      <w:pPr>
        <w:pStyle w:val="4"/>
        <w:shd w:val="clear" w:color="auto" w:fill="FFFFFF"/>
        <w:spacing w:before="0" w:beforeAutospacing="0" w:after="0" w:afterAutospacing="0" w:line="555" w:lineRule="atLeast"/>
        <w:ind w:firstLine="645"/>
        <w:jc w:val="both"/>
        <w:rPr>
          <w:sz w:val="27"/>
          <w:szCs w:val="27"/>
        </w:rPr>
      </w:pPr>
      <w:r>
        <w:rPr>
          <w:rFonts w:hint="eastAsia" w:ascii="仿宋_GB2312" w:eastAsia="仿宋_GB2312"/>
          <w:sz w:val="32"/>
          <w:szCs w:val="32"/>
        </w:rPr>
        <w:t>（二）按政府采购资金来源划分</w:t>
      </w:r>
    </w:p>
    <w:p>
      <w:pPr>
        <w:pStyle w:val="4"/>
        <w:shd w:val="clear" w:color="auto" w:fill="FFFFFF"/>
        <w:spacing w:before="0" w:beforeAutospacing="0" w:after="0" w:afterAutospacing="0" w:line="555" w:lineRule="atLeast"/>
        <w:ind w:firstLine="645"/>
        <w:jc w:val="both"/>
        <w:rPr>
          <w:sz w:val="27"/>
          <w:szCs w:val="27"/>
        </w:rPr>
      </w:pPr>
      <w:r>
        <w:rPr>
          <w:rFonts w:hint="eastAsia" w:ascii="仿宋_GB2312" w:eastAsia="仿宋_GB2312"/>
          <w:sz w:val="32"/>
          <w:szCs w:val="32"/>
        </w:rPr>
        <w:t>通过一般公共预算安排采购支出预算81.44万元，同比减少135.85万元，下降</w:t>
      </w:r>
      <w:r>
        <w:rPr>
          <w:rFonts w:ascii="仿宋_GB2312" w:eastAsia="仿宋_GB2312"/>
          <w:sz w:val="32"/>
          <w:szCs w:val="32"/>
        </w:rPr>
        <w:t>62.</w:t>
      </w:r>
      <w:r>
        <w:rPr>
          <w:rFonts w:hint="eastAsia" w:ascii="仿宋_GB2312" w:eastAsia="仿宋_GB2312"/>
          <w:sz w:val="32"/>
          <w:szCs w:val="32"/>
        </w:rPr>
        <w:t>52</w:t>
      </w:r>
      <w:r>
        <w:rPr>
          <w:rFonts w:ascii="仿宋_GB2312" w:eastAsia="仿宋_GB2312"/>
          <w:sz w:val="32"/>
          <w:szCs w:val="32"/>
        </w:rPr>
        <w:t>%</w:t>
      </w:r>
      <w:r>
        <w:rPr>
          <w:rFonts w:hint="eastAsia" w:ascii="仿宋_GB2312" w:eastAsia="仿宋_GB2312"/>
          <w:sz w:val="32"/>
          <w:szCs w:val="32"/>
        </w:rPr>
        <w:t>。</w:t>
      </w:r>
    </w:p>
    <w:p>
      <w:pPr>
        <w:pStyle w:val="4"/>
        <w:shd w:val="clear" w:color="auto" w:fill="FFFFFF"/>
        <w:spacing w:before="0" w:beforeAutospacing="0" w:after="0" w:afterAutospacing="0" w:line="555" w:lineRule="atLeast"/>
        <w:ind w:firstLine="645"/>
        <w:rPr>
          <w:color w:val="000000"/>
          <w:sz w:val="27"/>
          <w:szCs w:val="27"/>
        </w:rPr>
      </w:pPr>
      <w:r>
        <w:rPr>
          <w:rFonts w:hint="eastAsia" w:ascii="黑体" w:eastAsia="黑体"/>
          <w:b/>
          <w:bCs/>
          <w:color w:val="000000"/>
          <w:sz w:val="32"/>
          <w:szCs w:val="32"/>
        </w:rPr>
        <w:t>十一、</w:t>
      </w:r>
      <w:r>
        <w:rPr>
          <w:rStyle w:val="7"/>
          <w:rFonts w:hint="eastAsia" w:ascii="黑体" w:eastAsia="黑体" w:cs="宋体"/>
          <w:color w:val="000000"/>
          <w:sz w:val="32"/>
          <w:szCs w:val="32"/>
        </w:rPr>
        <w:t>政府购买服务预算情况说明</w:t>
      </w:r>
    </w:p>
    <w:p>
      <w:pPr>
        <w:pStyle w:val="4"/>
        <w:shd w:val="clear" w:color="auto" w:fill="FFFFFF"/>
        <w:spacing w:before="0" w:beforeAutospacing="0" w:after="0" w:afterAutospacing="0" w:line="555" w:lineRule="atLeast"/>
        <w:ind w:firstLine="645"/>
        <w:jc w:val="both"/>
        <w:rPr>
          <w:color w:val="000000"/>
          <w:sz w:val="27"/>
          <w:szCs w:val="27"/>
        </w:rPr>
      </w:pPr>
      <w:r>
        <w:rPr>
          <w:rFonts w:ascii="仿宋_GB2312" w:eastAsia="仿宋_GB2312"/>
          <w:color w:val="000000"/>
          <w:sz w:val="32"/>
          <w:szCs w:val="32"/>
        </w:rPr>
        <w:t>2022</w:t>
      </w:r>
      <w:r>
        <w:rPr>
          <w:rFonts w:hint="eastAsia" w:ascii="仿宋_GB2312" w:eastAsia="仿宋_GB2312"/>
          <w:color w:val="000000"/>
          <w:sz w:val="32"/>
          <w:szCs w:val="32"/>
        </w:rPr>
        <w:t>年本单位无政府购买服务预算。</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十二、</w:t>
      </w:r>
      <w:r>
        <w:rPr>
          <w:rStyle w:val="7"/>
          <w:rFonts w:ascii="黑体" w:eastAsia="黑体" w:cs="宋体"/>
          <w:color w:val="000000"/>
          <w:sz w:val="32"/>
          <w:szCs w:val="32"/>
        </w:rPr>
        <w:t>2022</w:t>
      </w:r>
      <w:r>
        <w:rPr>
          <w:rStyle w:val="7"/>
          <w:rFonts w:hint="eastAsia" w:ascii="黑体" w:eastAsia="黑体" w:cs="宋体"/>
          <w:color w:val="000000"/>
          <w:sz w:val="32"/>
          <w:szCs w:val="32"/>
        </w:rPr>
        <w:t>年单位预算其他</w:t>
      </w:r>
      <w:r>
        <w:rPr>
          <w:rStyle w:val="7"/>
          <w:rFonts w:hint="eastAsia" w:ascii="黑体" w:eastAsia="黑体" w:cs="宋体"/>
          <w:strike/>
          <w:color w:val="000000"/>
          <w:sz w:val="32"/>
          <w:szCs w:val="32"/>
        </w:rPr>
        <w:t>重要</w:t>
      </w:r>
      <w:r>
        <w:rPr>
          <w:rStyle w:val="7"/>
          <w:rFonts w:hint="eastAsia" w:ascii="黑体" w:eastAsia="黑体" w:cs="宋体"/>
          <w:color w:val="000000"/>
          <w:sz w:val="32"/>
          <w:szCs w:val="32"/>
        </w:rPr>
        <w:t>事项情况说明</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楷体_GB2312" w:eastAsia="楷体_GB2312" w:cs="宋体"/>
          <w:color w:val="000000"/>
          <w:sz w:val="32"/>
          <w:szCs w:val="32"/>
        </w:rPr>
        <w:t>（一）机关运行经费安排情况说明</w:t>
      </w:r>
    </w:p>
    <w:p>
      <w:pPr>
        <w:pStyle w:val="4"/>
        <w:shd w:val="clear" w:color="auto" w:fill="FFFFFF"/>
        <w:spacing w:before="0" w:beforeAutospacing="0" w:after="0" w:afterAutospacing="0" w:line="555" w:lineRule="atLeast"/>
        <w:ind w:firstLine="645"/>
        <w:jc w:val="both"/>
        <w:rPr>
          <w:color w:val="000000"/>
          <w:sz w:val="27"/>
          <w:szCs w:val="27"/>
        </w:rPr>
      </w:pPr>
      <w:r>
        <w:rPr>
          <w:rFonts w:ascii="仿宋_GB2312" w:eastAsia="仿宋_GB2312"/>
          <w:color w:val="000000"/>
          <w:sz w:val="32"/>
          <w:szCs w:val="32"/>
        </w:rPr>
        <w:t>2022</w:t>
      </w:r>
      <w:r>
        <w:rPr>
          <w:rFonts w:hint="eastAsia" w:ascii="仿宋_GB2312" w:eastAsia="仿宋_GB2312"/>
          <w:color w:val="000000"/>
          <w:sz w:val="32"/>
          <w:szCs w:val="32"/>
        </w:rPr>
        <w:t>年行政运行预算</w:t>
      </w:r>
      <w:r>
        <w:rPr>
          <w:rFonts w:ascii="仿宋_GB2312" w:eastAsia="仿宋_GB2312"/>
          <w:color w:val="000000"/>
          <w:sz w:val="32"/>
          <w:szCs w:val="32"/>
        </w:rPr>
        <w:t>217.27</w:t>
      </w:r>
      <w:r>
        <w:rPr>
          <w:rFonts w:hint="eastAsia" w:ascii="仿宋_GB2312" w:eastAsia="仿宋_GB2312"/>
          <w:color w:val="000000"/>
          <w:sz w:val="32"/>
          <w:szCs w:val="32"/>
        </w:rPr>
        <w:t>万元，同比增加</w:t>
      </w:r>
      <w:r>
        <w:rPr>
          <w:rFonts w:ascii="仿宋_GB2312" w:eastAsia="仿宋_GB2312"/>
          <w:color w:val="000000"/>
          <w:sz w:val="32"/>
          <w:szCs w:val="32"/>
        </w:rPr>
        <w:t>16.76</w:t>
      </w:r>
      <w:r>
        <w:rPr>
          <w:rFonts w:hint="eastAsia" w:ascii="仿宋_GB2312" w:eastAsia="仿宋_GB2312"/>
          <w:color w:val="000000"/>
          <w:sz w:val="32"/>
          <w:szCs w:val="32"/>
        </w:rPr>
        <w:t>万元，同比增长</w:t>
      </w:r>
      <w:r>
        <w:rPr>
          <w:rFonts w:ascii="仿宋_GB2312" w:eastAsia="仿宋_GB2312"/>
          <w:color w:val="000000"/>
          <w:sz w:val="32"/>
          <w:szCs w:val="32"/>
        </w:rPr>
        <w:t>8.36%</w:t>
      </w:r>
      <w:r>
        <w:rPr>
          <w:rFonts w:hint="eastAsia" w:ascii="仿宋_GB2312" w:eastAsia="仿宋_GB2312"/>
          <w:color w:val="000000"/>
          <w:sz w:val="32"/>
          <w:szCs w:val="32"/>
        </w:rPr>
        <w:t>，主要用于为保障法院运行用于购买货物和服务的各项支出。行政运行经费增加的原因</w:t>
      </w:r>
      <w:r>
        <w:rPr>
          <w:rFonts w:ascii="仿宋_GB2312" w:eastAsia="仿宋_GB2312"/>
          <w:color w:val="000000"/>
          <w:sz w:val="32"/>
          <w:szCs w:val="32"/>
        </w:rPr>
        <w:t>:</w:t>
      </w:r>
      <w:r>
        <w:rPr>
          <w:rFonts w:hint="eastAsia" w:ascii="仿宋_GB2312" w:eastAsia="仿宋_GB2312"/>
          <w:color w:val="000000"/>
          <w:sz w:val="32"/>
          <w:szCs w:val="32"/>
        </w:rPr>
        <w:t>随人员增加而相应增长。</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楷体_GB2312" w:eastAsia="楷体_GB2312" w:cs="宋体"/>
          <w:color w:val="000000"/>
          <w:sz w:val="32"/>
          <w:szCs w:val="32"/>
        </w:rPr>
        <w:t>（二）国有资产占用情况说明</w:t>
      </w:r>
    </w:p>
    <w:p>
      <w:pPr>
        <w:pStyle w:val="4"/>
        <w:shd w:val="clear" w:color="auto" w:fill="FFFFFF"/>
        <w:spacing w:before="0" w:beforeAutospacing="0" w:after="0" w:afterAutospacing="0" w:line="555" w:lineRule="atLeast"/>
        <w:ind w:firstLine="645"/>
        <w:rPr>
          <w:color w:val="000000"/>
          <w:sz w:val="27"/>
          <w:szCs w:val="27"/>
        </w:rPr>
      </w:pPr>
      <w:r>
        <w:rPr>
          <w:rFonts w:ascii="仿宋_GB2312" w:eastAsia="仿宋_GB2312"/>
          <w:color w:val="000000"/>
          <w:sz w:val="32"/>
          <w:szCs w:val="32"/>
        </w:rPr>
        <w:t>2021</w:t>
      </w:r>
      <w:r>
        <w:rPr>
          <w:rFonts w:hint="eastAsia" w:ascii="仿宋_GB2312" w:eastAsia="仿宋_GB2312"/>
          <w:color w:val="000000"/>
          <w:sz w:val="32"/>
          <w:szCs w:val="32"/>
        </w:rPr>
        <w:t>年本部门实有在编车辆保有量为</w:t>
      </w:r>
      <w:r>
        <w:rPr>
          <w:rFonts w:ascii="仿宋_GB2312" w:eastAsia="仿宋_GB2312"/>
          <w:color w:val="000000"/>
          <w:sz w:val="32"/>
          <w:szCs w:val="32"/>
        </w:rPr>
        <w:t>0</w:t>
      </w:r>
      <w:r>
        <w:rPr>
          <w:rFonts w:hint="eastAsia" w:ascii="仿宋_GB2312" w:eastAsia="仿宋_GB2312"/>
          <w:color w:val="000000"/>
          <w:sz w:val="32"/>
          <w:szCs w:val="32"/>
        </w:rPr>
        <w:t>辆，我院所使用车辆为柳州市中级人民法院所有。说明：根据柳州市机关事务管理局《关于申请将基层法院的公车编制划转至市中级人民法院的复函》，从</w:t>
      </w:r>
      <w:r>
        <w:rPr>
          <w:rFonts w:ascii="仿宋_GB2312" w:eastAsia="仿宋_GB2312"/>
          <w:color w:val="000000"/>
          <w:sz w:val="32"/>
          <w:szCs w:val="32"/>
        </w:rPr>
        <w:t>2020</w:t>
      </w:r>
      <w:r>
        <w:rPr>
          <w:rFonts w:hint="eastAsia" w:ascii="仿宋_GB2312" w:eastAsia="仿宋_GB2312"/>
          <w:color w:val="000000"/>
          <w:sz w:val="32"/>
          <w:szCs w:val="32"/>
        </w:rPr>
        <w:t>年起，柳州县区基层法院的公车编制全部划转至柳州市中级人民法院管理。</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楷体_GB2312" w:eastAsia="楷体_GB2312" w:cs="宋体"/>
          <w:color w:val="000000"/>
          <w:sz w:val="32"/>
          <w:szCs w:val="32"/>
        </w:rPr>
        <w:t>（三）</w:t>
      </w:r>
      <w:r>
        <w:rPr>
          <w:rStyle w:val="7"/>
          <w:rFonts w:ascii="楷体_GB2312" w:eastAsia="楷体_GB2312" w:cs="宋体"/>
          <w:color w:val="000000"/>
          <w:sz w:val="32"/>
          <w:szCs w:val="32"/>
        </w:rPr>
        <w:t>200</w:t>
      </w:r>
      <w:r>
        <w:rPr>
          <w:rStyle w:val="7"/>
          <w:rFonts w:hint="eastAsia" w:ascii="楷体_GB2312" w:eastAsia="楷体_GB2312" w:cs="宋体"/>
          <w:color w:val="000000"/>
          <w:sz w:val="32"/>
          <w:szCs w:val="32"/>
        </w:rPr>
        <w:t>万元以上项目预算绩效情况说明</w:t>
      </w:r>
    </w:p>
    <w:p>
      <w:pPr>
        <w:pStyle w:val="4"/>
        <w:shd w:val="clear" w:color="auto" w:fill="FFFFFF"/>
        <w:spacing w:before="0" w:beforeAutospacing="0" w:after="0" w:afterAutospacing="0" w:line="555" w:lineRule="atLeast"/>
        <w:ind w:firstLine="645"/>
        <w:jc w:val="both"/>
        <w:rPr>
          <w:color w:val="000000"/>
          <w:sz w:val="27"/>
          <w:szCs w:val="27"/>
        </w:rPr>
      </w:pPr>
      <w:r>
        <w:rPr>
          <w:rFonts w:hint="eastAsia" w:ascii="仿宋_GB2312" w:eastAsia="仿宋_GB2312"/>
          <w:color w:val="000000"/>
          <w:sz w:val="32"/>
          <w:szCs w:val="32"/>
        </w:rPr>
        <w:t>柳州市城中区人民法院</w:t>
      </w:r>
      <w:r>
        <w:rPr>
          <w:rFonts w:ascii="仿宋_GB2312" w:eastAsia="仿宋_GB2312"/>
          <w:color w:val="000000"/>
          <w:sz w:val="32"/>
          <w:szCs w:val="32"/>
        </w:rPr>
        <w:t>2022</w:t>
      </w:r>
      <w:r>
        <w:rPr>
          <w:rFonts w:hint="eastAsia" w:ascii="仿宋_GB2312" w:eastAsia="仿宋_GB2312"/>
          <w:color w:val="000000"/>
          <w:sz w:val="32"/>
          <w:szCs w:val="32"/>
        </w:rPr>
        <w:t>年单位预算有</w:t>
      </w:r>
      <w:r>
        <w:rPr>
          <w:rFonts w:ascii="仿宋_GB2312" w:eastAsia="仿宋_GB2312"/>
          <w:color w:val="000000"/>
          <w:sz w:val="32"/>
          <w:szCs w:val="32"/>
        </w:rPr>
        <w:t>1</w:t>
      </w:r>
      <w:r>
        <w:rPr>
          <w:rFonts w:hint="eastAsia" w:ascii="仿宋_GB2312" w:eastAsia="仿宋_GB2312"/>
          <w:color w:val="000000"/>
          <w:sz w:val="32"/>
          <w:szCs w:val="32"/>
        </w:rPr>
        <w:t>个</w:t>
      </w:r>
      <w:r>
        <w:rPr>
          <w:rFonts w:ascii="仿宋_GB2312" w:eastAsia="仿宋_GB2312"/>
          <w:color w:val="000000"/>
          <w:sz w:val="32"/>
          <w:szCs w:val="32"/>
        </w:rPr>
        <w:t>200</w:t>
      </w:r>
      <w:r>
        <w:rPr>
          <w:rFonts w:hint="eastAsia" w:ascii="仿宋_GB2312" w:eastAsia="仿宋_GB2312"/>
          <w:color w:val="000000"/>
          <w:sz w:val="32"/>
          <w:szCs w:val="32"/>
        </w:rPr>
        <w:t>万元以上的项目列入绩效考核范围，涉及一般公共预算拨款支</w:t>
      </w:r>
      <w:r>
        <w:rPr>
          <w:rFonts w:hint="eastAsia" w:ascii="仿宋_GB2312" w:eastAsia="仿宋_GB2312"/>
          <w:sz w:val="32"/>
          <w:szCs w:val="32"/>
        </w:rPr>
        <w:t>出</w:t>
      </w:r>
      <w:r>
        <w:rPr>
          <w:rFonts w:ascii="仿宋_GB2312" w:eastAsia="仿宋_GB2312"/>
          <w:sz w:val="32"/>
          <w:szCs w:val="32"/>
        </w:rPr>
        <w:t>682.32</w:t>
      </w:r>
      <w:r>
        <w:rPr>
          <w:rFonts w:hint="eastAsia" w:ascii="仿宋_GB2312" w:eastAsia="仿宋_GB2312"/>
          <w:sz w:val="32"/>
          <w:szCs w:val="32"/>
        </w:rPr>
        <w:t>万元。其中：机关本级有</w:t>
      </w:r>
      <w:r>
        <w:rPr>
          <w:rFonts w:ascii="仿宋_GB2312" w:eastAsia="仿宋_GB2312"/>
          <w:sz w:val="32"/>
          <w:szCs w:val="32"/>
        </w:rPr>
        <w:t>1</w:t>
      </w:r>
      <w:r>
        <w:rPr>
          <w:rFonts w:hint="eastAsia" w:ascii="仿宋_GB2312" w:eastAsia="仿宋_GB2312"/>
          <w:sz w:val="32"/>
          <w:szCs w:val="32"/>
        </w:rPr>
        <w:t>个绩效考核项目为聘用人员费用，预算金额</w:t>
      </w:r>
      <w:r>
        <w:rPr>
          <w:rFonts w:ascii="仿宋_GB2312" w:eastAsia="仿宋_GB2312"/>
          <w:sz w:val="32"/>
          <w:szCs w:val="32"/>
        </w:rPr>
        <w:t>682.32</w:t>
      </w:r>
      <w:r>
        <w:rPr>
          <w:rFonts w:hint="eastAsia" w:ascii="仿宋_GB2312" w:eastAsia="仿宋_GB2312"/>
          <w:sz w:val="32"/>
          <w:szCs w:val="32"/>
        </w:rPr>
        <w:t>万元。</w:t>
      </w:r>
    </w:p>
    <w:p>
      <w:pPr>
        <w:pStyle w:val="4"/>
        <w:shd w:val="clear" w:color="auto" w:fill="FFFFFF"/>
        <w:spacing w:before="0" w:beforeAutospacing="0" w:after="0" w:afterAutospacing="0" w:line="555" w:lineRule="atLeast"/>
        <w:jc w:val="center"/>
        <w:rPr>
          <w:color w:val="000000"/>
          <w:sz w:val="27"/>
          <w:szCs w:val="27"/>
        </w:rPr>
      </w:pPr>
      <w:r>
        <w:rPr>
          <w:rStyle w:val="7"/>
          <w:rFonts w:ascii="仿宋_GB2312" w:eastAsia="仿宋_GB2312" w:cs="宋体"/>
          <w:color w:val="000000"/>
          <w:sz w:val="32"/>
          <w:szCs w:val="32"/>
        </w:rPr>
        <w:t> </w:t>
      </w:r>
    </w:p>
    <w:p>
      <w:pPr>
        <w:pStyle w:val="4"/>
        <w:shd w:val="clear" w:color="auto" w:fill="FFFFFF"/>
        <w:spacing w:before="0" w:beforeAutospacing="0" w:after="0" w:afterAutospacing="0" w:line="555" w:lineRule="atLeast"/>
        <w:jc w:val="center"/>
        <w:rPr>
          <w:color w:val="000000"/>
          <w:sz w:val="27"/>
          <w:szCs w:val="27"/>
        </w:rPr>
      </w:pPr>
      <w:r>
        <w:rPr>
          <w:rStyle w:val="7"/>
          <w:rFonts w:hint="eastAsia" w:ascii="仿宋_GB2312" w:eastAsia="仿宋_GB2312" w:cs="宋体"/>
          <w:color w:val="000000"/>
          <w:sz w:val="32"/>
          <w:szCs w:val="32"/>
        </w:rPr>
        <w:t>第四部分：名词解释</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一、财政拨款收入</w:t>
      </w:r>
      <w:r>
        <w:rPr>
          <w:rFonts w:hint="eastAsia" w:ascii="仿宋_GB2312" w:eastAsia="仿宋_GB2312"/>
          <w:color w:val="000000"/>
          <w:sz w:val="32"/>
          <w:szCs w:val="32"/>
        </w:rPr>
        <w:t>：指市本级财政部门当年拨付的资金。</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二、基本支出</w:t>
      </w:r>
      <w:r>
        <w:rPr>
          <w:rFonts w:hint="eastAsia" w:ascii="仿宋_GB2312" w:eastAsia="仿宋_GB2312"/>
          <w:color w:val="000000"/>
          <w:sz w:val="32"/>
          <w:szCs w:val="32"/>
        </w:rPr>
        <w:t>：指为保障机构正常运转、完成日常工作任务而发生的人员支出和公用支出。</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三、项目支出</w:t>
      </w:r>
      <w:r>
        <w:rPr>
          <w:rFonts w:hint="eastAsia" w:ascii="仿宋_GB2312" w:eastAsia="仿宋_GB2312"/>
          <w:color w:val="000000"/>
          <w:sz w:val="32"/>
          <w:szCs w:val="32"/>
        </w:rPr>
        <w:t>：指在基本支出之外为完成特定行政任务和事业发展目标所发生的支出。</w:t>
      </w:r>
      <w:r>
        <w:rPr>
          <w:rFonts w:ascii="仿宋_GB2312" w:eastAsia="仿宋_GB2312"/>
          <w:color w:val="000000"/>
          <w:sz w:val="32"/>
          <w:szCs w:val="32"/>
        </w:rPr>
        <w:t>  </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四、“三公”经费</w:t>
      </w:r>
      <w:r>
        <w:rPr>
          <w:rFonts w:hint="eastAsia" w:ascii="仿宋_GB2312" w:eastAsia="仿宋_GB2312"/>
          <w:color w:val="000000"/>
          <w:sz w:val="32"/>
          <w:szCs w:val="32"/>
        </w:rPr>
        <w:t>：纳入市财政预决算管理的“三公”经费，是指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4"/>
        <w:shd w:val="clear" w:color="auto" w:fill="FFFFFF"/>
        <w:spacing w:before="0" w:beforeAutospacing="0" w:after="0" w:afterAutospacing="0" w:line="555" w:lineRule="atLeast"/>
        <w:ind w:firstLine="645"/>
        <w:jc w:val="both"/>
        <w:rPr>
          <w:color w:val="000000"/>
          <w:sz w:val="27"/>
          <w:szCs w:val="27"/>
        </w:rPr>
      </w:pPr>
      <w:r>
        <w:rPr>
          <w:rStyle w:val="7"/>
          <w:rFonts w:hint="eastAsia" w:ascii="黑体" w:eastAsia="黑体" w:cs="宋体"/>
          <w:color w:val="000000"/>
          <w:sz w:val="32"/>
          <w:szCs w:val="32"/>
        </w:rPr>
        <w:t>五、机关运行经费</w:t>
      </w:r>
      <w:r>
        <w:rPr>
          <w:rFonts w:hint="eastAsia" w:ascii="仿宋_GB2312" w:eastAsia="仿宋_GB2312"/>
          <w:color w:val="000000"/>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0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zNWNhYzUwOTIyNDg3NzlkMWVjMGY4YWE5OGZhZDMifQ=="/>
  </w:docVars>
  <w:rsids>
    <w:rsidRoot w:val="00563359"/>
    <w:rsid w:val="0000001D"/>
    <w:rsid w:val="00002C50"/>
    <w:rsid w:val="00013A09"/>
    <w:rsid w:val="000611B3"/>
    <w:rsid w:val="00071E81"/>
    <w:rsid w:val="000973A1"/>
    <w:rsid w:val="00097906"/>
    <w:rsid w:val="000A3827"/>
    <w:rsid w:val="000A4EBC"/>
    <w:rsid w:val="000C1672"/>
    <w:rsid w:val="000D72EB"/>
    <w:rsid w:val="000E05AA"/>
    <w:rsid w:val="000F3EA7"/>
    <w:rsid w:val="00117292"/>
    <w:rsid w:val="001175EC"/>
    <w:rsid w:val="00133DBB"/>
    <w:rsid w:val="00144F95"/>
    <w:rsid w:val="001531E2"/>
    <w:rsid w:val="00173D40"/>
    <w:rsid w:val="00175637"/>
    <w:rsid w:val="00191A65"/>
    <w:rsid w:val="001A0143"/>
    <w:rsid w:val="001A2794"/>
    <w:rsid w:val="001B2252"/>
    <w:rsid w:val="001B3F86"/>
    <w:rsid w:val="001E2D95"/>
    <w:rsid w:val="001F2322"/>
    <w:rsid w:val="002028C4"/>
    <w:rsid w:val="00203444"/>
    <w:rsid w:val="00205798"/>
    <w:rsid w:val="00225193"/>
    <w:rsid w:val="0023485B"/>
    <w:rsid w:val="0025723E"/>
    <w:rsid w:val="00263ACE"/>
    <w:rsid w:val="0026428B"/>
    <w:rsid w:val="00264A5C"/>
    <w:rsid w:val="00272AE1"/>
    <w:rsid w:val="00274C0C"/>
    <w:rsid w:val="00281918"/>
    <w:rsid w:val="00292444"/>
    <w:rsid w:val="00292F7D"/>
    <w:rsid w:val="002B587E"/>
    <w:rsid w:val="002C0B16"/>
    <w:rsid w:val="002C2DFD"/>
    <w:rsid w:val="002E3522"/>
    <w:rsid w:val="002E5FD6"/>
    <w:rsid w:val="002F2213"/>
    <w:rsid w:val="003151C6"/>
    <w:rsid w:val="003270D9"/>
    <w:rsid w:val="0033006A"/>
    <w:rsid w:val="003324E1"/>
    <w:rsid w:val="00343CAC"/>
    <w:rsid w:val="00350A87"/>
    <w:rsid w:val="003533FD"/>
    <w:rsid w:val="00363178"/>
    <w:rsid w:val="00367F61"/>
    <w:rsid w:val="00394189"/>
    <w:rsid w:val="003C5A1B"/>
    <w:rsid w:val="003C6623"/>
    <w:rsid w:val="003C6BDE"/>
    <w:rsid w:val="003D5610"/>
    <w:rsid w:val="003E29C0"/>
    <w:rsid w:val="00405153"/>
    <w:rsid w:val="00406B73"/>
    <w:rsid w:val="00421165"/>
    <w:rsid w:val="00425FF2"/>
    <w:rsid w:val="0044021A"/>
    <w:rsid w:val="004435FC"/>
    <w:rsid w:val="0044681F"/>
    <w:rsid w:val="0045114C"/>
    <w:rsid w:val="00454E4F"/>
    <w:rsid w:val="0047094A"/>
    <w:rsid w:val="00476B5E"/>
    <w:rsid w:val="004772AA"/>
    <w:rsid w:val="00480FCF"/>
    <w:rsid w:val="00484165"/>
    <w:rsid w:val="00493C5A"/>
    <w:rsid w:val="004A47D0"/>
    <w:rsid w:val="004B2879"/>
    <w:rsid w:val="004D3503"/>
    <w:rsid w:val="004D3CAB"/>
    <w:rsid w:val="004E1858"/>
    <w:rsid w:val="00500FBB"/>
    <w:rsid w:val="00513495"/>
    <w:rsid w:val="005135F0"/>
    <w:rsid w:val="00524939"/>
    <w:rsid w:val="00531AEB"/>
    <w:rsid w:val="00535A4C"/>
    <w:rsid w:val="00542570"/>
    <w:rsid w:val="00552DC4"/>
    <w:rsid w:val="005539F2"/>
    <w:rsid w:val="00563359"/>
    <w:rsid w:val="005652D0"/>
    <w:rsid w:val="00586BC8"/>
    <w:rsid w:val="005920E1"/>
    <w:rsid w:val="005B6F39"/>
    <w:rsid w:val="005C249D"/>
    <w:rsid w:val="005C52B5"/>
    <w:rsid w:val="005E407C"/>
    <w:rsid w:val="005E5C09"/>
    <w:rsid w:val="005F1B7D"/>
    <w:rsid w:val="005F7A98"/>
    <w:rsid w:val="006160C7"/>
    <w:rsid w:val="00616317"/>
    <w:rsid w:val="00623BF3"/>
    <w:rsid w:val="0062797D"/>
    <w:rsid w:val="0064057A"/>
    <w:rsid w:val="00641BF2"/>
    <w:rsid w:val="00651564"/>
    <w:rsid w:val="006516F2"/>
    <w:rsid w:val="00664B7B"/>
    <w:rsid w:val="00680517"/>
    <w:rsid w:val="00686DCA"/>
    <w:rsid w:val="0069689B"/>
    <w:rsid w:val="006B4490"/>
    <w:rsid w:val="006B63FE"/>
    <w:rsid w:val="006B7542"/>
    <w:rsid w:val="006C66DE"/>
    <w:rsid w:val="006E18FA"/>
    <w:rsid w:val="006F307A"/>
    <w:rsid w:val="006F509E"/>
    <w:rsid w:val="00714D28"/>
    <w:rsid w:val="00733B3F"/>
    <w:rsid w:val="00750232"/>
    <w:rsid w:val="00751E1A"/>
    <w:rsid w:val="0075435E"/>
    <w:rsid w:val="00755470"/>
    <w:rsid w:val="00772134"/>
    <w:rsid w:val="00790F06"/>
    <w:rsid w:val="00792087"/>
    <w:rsid w:val="00796618"/>
    <w:rsid w:val="007A04D9"/>
    <w:rsid w:val="007A641F"/>
    <w:rsid w:val="007F460B"/>
    <w:rsid w:val="00820812"/>
    <w:rsid w:val="00836228"/>
    <w:rsid w:val="008B2CE3"/>
    <w:rsid w:val="008B42F6"/>
    <w:rsid w:val="008C7DA7"/>
    <w:rsid w:val="008E1D29"/>
    <w:rsid w:val="009330D5"/>
    <w:rsid w:val="00934EF5"/>
    <w:rsid w:val="00942881"/>
    <w:rsid w:val="009477F1"/>
    <w:rsid w:val="00957B52"/>
    <w:rsid w:val="00957BFC"/>
    <w:rsid w:val="00975D74"/>
    <w:rsid w:val="00987292"/>
    <w:rsid w:val="00993D7E"/>
    <w:rsid w:val="009A0ACC"/>
    <w:rsid w:val="009A3F07"/>
    <w:rsid w:val="009B1845"/>
    <w:rsid w:val="009B224A"/>
    <w:rsid w:val="009B56AD"/>
    <w:rsid w:val="009B7AB0"/>
    <w:rsid w:val="009C5489"/>
    <w:rsid w:val="009D4677"/>
    <w:rsid w:val="009D499A"/>
    <w:rsid w:val="009D57F2"/>
    <w:rsid w:val="009E2460"/>
    <w:rsid w:val="009F216C"/>
    <w:rsid w:val="00A00101"/>
    <w:rsid w:val="00A035DD"/>
    <w:rsid w:val="00A27067"/>
    <w:rsid w:val="00A27974"/>
    <w:rsid w:val="00A32ABC"/>
    <w:rsid w:val="00A43980"/>
    <w:rsid w:val="00A47201"/>
    <w:rsid w:val="00A516E2"/>
    <w:rsid w:val="00A52FA4"/>
    <w:rsid w:val="00A65B68"/>
    <w:rsid w:val="00A83DAA"/>
    <w:rsid w:val="00A85A51"/>
    <w:rsid w:val="00AA0C0F"/>
    <w:rsid w:val="00AD7D48"/>
    <w:rsid w:val="00AF16A3"/>
    <w:rsid w:val="00AF52EA"/>
    <w:rsid w:val="00B04566"/>
    <w:rsid w:val="00B119A8"/>
    <w:rsid w:val="00B36779"/>
    <w:rsid w:val="00B475E0"/>
    <w:rsid w:val="00B50106"/>
    <w:rsid w:val="00B5682B"/>
    <w:rsid w:val="00B7721B"/>
    <w:rsid w:val="00BB4781"/>
    <w:rsid w:val="00BE0041"/>
    <w:rsid w:val="00BE4717"/>
    <w:rsid w:val="00BE4A71"/>
    <w:rsid w:val="00BF1856"/>
    <w:rsid w:val="00BF7C71"/>
    <w:rsid w:val="00C06D24"/>
    <w:rsid w:val="00C171AB"/>
    <w:rsid w:val="00C42EA2"/>
    <w:rsid w:val="00C53D03"/>
    <w:rsid w:val="00C542F2"/>
    <w:rsid w:val="00C6359F"/>
    <w:rsid w:val="00CB0290"/>
    <w:rsid w:val="00CB14B2"/>
    <w:rsid w:val="00CC30CB"/>
    <w:rsid w:val="00CC6278"/>
    <w:rsid w:val="00CD7029"/>
    <w:rsid w:val="00D07F4A"/>
    <w:rsid w:val="00D22AE9"/>
    <w:rsid w:val="00D246AB"/>
    <w:rsid w:val="00D43CF4"/>
    <w:rsid w:val="00D468E8"/>
    <w:rsid w:val="00D518BA"/>
    <w:rsid w:val="00D74FA2"/>
    <w:rsid w:val="00D80826"/>
    <w:rsid w:val="00D91158"/>
    <w:rsid w:val="00D94588"/>
    <w:rsid w:val="00DA06E4"/>
    <w:rsid w:val="00DA341B"/>
    <w:rsid w:val="00DB2D1C"/>
    <w:rsid w:val="00DB73FD"/>
    <w:rsid w:val="00DC2371"/>
    <w:rsid w:val="00DD0C45"/>
    <w:rsid w:val="00DF46F3"/>
    <w:rsid w:val="00E13B76"/>
    <w:rsid w:val="00E17509"/>
    <w:rsid w:val="00E176F8"/>
    <w:rsid w:val="00E205A5"/>
    <w:rsid w:val="00E334FB"/>
    <w:rsid w:val="00E40C66"/>
    <w:rsid w:val="00E43843"/>
    <w:rsid w:val="00E53A51"/>
    <w:rsid w:val="00E576BC"/>
    <w:rsid w:val="00E63511"/>
    <w:rsid w:val="00E64C1B"/>
    <w:rsid w:val="00E67248"/>
    <w:rsid w:val="00E71080"/>
    <w:rsid w:val="00E833D4"/>
    <w:rsid w:val="00EA7928"/>
    <w:rsid w:val="00EB4A49"/>
    <w:rsid w:val="00EB6CCC"/>
    <w:rsid w:val="00EE3D4A"/>
    <w:rsid w:val="00EF085C"/>
    <w:rsid w:val="00F00CC8"/>
    <w:rsid w:val="00F02F12"/>
    <w:rsid w:val="00F03A55"/>
    <w:rsid w:val="00F13FE5"/>
    <w:rsid w:val="00F159A2"/>
    <w:rsid w:val="00F21A1F"/>
    <w:rsid w:val="00F25A3E"/>
    <w:rsid w:val="00F319BD"/>
    <w:rsid w:val="00F42E5C"/>
    <w:rsid w:val="00F43D09"/>
    <w:rsid w:val="00F44501"/>
    <w:rsid w:val="00F47E67"/>
    <w:rsid w:val="00F51FD6"/>
    <w:rsid w:val="00F62E8F"/>
    <w:rsid w:val="00F7209C"/>
    <w:rsid w:val="00FC6C21"/>
    <w:rsid w:val="00FC7341"/>
    <w:rsid w:val="00FD4D65"/>
    <w:rsid w:val="00FD7C0D"/>
    <w:rsid w:val="0C00102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99"/>
    <w:pPr>
      <w:widowControl/>
      <w:spacing w:before="100" w:beforeAutospacing="1" w:after="100" w:afterAutospacing="1"/>
      <w:jc w:val="left"/>
    </w:pPr>
    <w:rPr>
      <w:rFonts w:ascii="宋体" w:hAnsi="宋体" w:cs="宋体"/>
      <w:kern w:val="0"/>
      <w:sz w:val="24"/>
    </w:rPr>
  </w:style>
  <w:style w:type="character" w:styleId="7">
    <w:name w:val="Strong"/>
    <w:basedOn w:val="6"/>
    <w:qFormat/>
    <w:uiPriority w:val="99"/>
    <w:rPr>
      <w:rFonts w:cs="Times New Roman"/>
      <w:b/>
      <w:bCs/>
    </w:rPr>
  </w:style>
  <w:style w:type="character" w:customStyle="1" w:styleId="8">
    <w:name w:val="页脚 Char"/>
    <w:basedOn w:val="6"/>
    <w:link w:val="2"/>
    <w:locked/>
    <w:uiPriority w:val="99"/>
    <w:rPr>
      <w:rFonts w:ascii="Times New Roman" w:hAnsi="Times New Roman" w:eastAsia="宋体" w:cs="Times New Roman"/>
      <w:sz w:val="18"/>
      <w:szCs w:val="18"/>
    </w:rPr>
  </w:style>
  <w:style w:type="character" w:customStyle="1" w:styleId="9">
    <w:name w:val="页眉 Char"/>
    <w:basedOn w:val="6"/>
    <w:link w:val="3"/>
    <w:uiPriority w:val="99"/>
    <w:rPr>
      <w:rFonts w:ascii="Times New Roman" w:hAnsi="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12</Pages>
  <Words>4409</Words>
  <Characters>5000</Characters>
  <Lines>36</Lines>
  <Paragraphs>10</Paragraphs>
  <TotalTime>11</TotalTime>
  <ScaleCrop>false</ScaleCrop>
  <LinksUpToDate>false</LinksUpToDate>
  <CharactersWithSpaces>5059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2022-02-26T07:25:00Z</dcterms:created>
  <dc:creator>微软用户</dc:creator>
  <cp:lastModifiedBy>ちひろ</cp:lastModifiedBy>
  <dcterms:modified xsi:type="dcterms:W3CDTF">2023-05-16T07:32:29Z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DD50EBBC619242E3B898444055C37F92_12</vt:lpwstr>
  </property>
</Properties>
</file>