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60" w:lineRule="exact"/>
        <w:jc w:val="center"/>
        <w:rPr>
          <w:rFonts w:ascii="Times New Roman" w:hAnsi="Times New Roman" w:eastAsia="方正小标宋简体" w:cs="Times New Roman"/>
          <w:b/>
          <w:bCs/>
          <w:color w:val="000000"/>
          <w:sz w:val="44"/>
          <w:szCs w:val="44"/>
        </w:rPr>
      </w:pPr>
      <w:r>
        <w:rPr>
          <w:rFonts w:ascii="Times New Roman" w:hAnsi="Times New Roman" w:eastAsia="方正小标宋简体" w:cs="Times New Roman"/>
          <w:b/>
          <w:bCs/>
          <w:color w:val="000000"/>
          <w:sz w:val="44"/>
          <w:szCs w:val="44"/>
        </w:rPr>
        <w:t>柳州市不动产登记中心</w:t>
      </w:r>
      <w:r>
        <w:rPr>
          <w:rFonts w:ascii="Times New Roman" w:hAnsi="Times New Roman" w:eastAsia="方正小标宋简体" w:cs="Times New Roman"/>
          <w:bCs/>
          <w:color w:val="000000"/>
          <w:sz w:val="44"/>
          <w:szCs w:val="44"/>
        </w:rPr>
        <w:t>2021</w:t>
      </w:r>
      <w:r>
        <w:rPr>
          <w:rFonts w:ascii="Times New Roman" w:hAnsi="Times New Roman" w:eastAsia="方正小标宋简体" w:cs="Times New Roman"/>
          <w:b/>
          <w:bCs/>
          <w:color w:val="000000"/>
          <w:sz w:val="44"/>
          <w:szCs w:val="44"/>
        </w:rPr>
        <w:t>年单位预算</w:t>
      </w:r>
    </w:p>
    <w:p>
      <w:pPr>
        <w:pStyle w:val="4"/>
        <w:spacing w:before="0" w:beforeAutospacing="0" w:after="0" w:afterAutospacing="0" w:line="560" w:lineRule="exact"/>
        <w:jc w:val="center"/>
        <w:rPr>
          <w:rFonts w:ascii="仿宋_GB2312" w:hAnsi="华文仿宋" w:eastAsia="仿宋_GB2312"/>
          <w:b/>
          <w:bCs/>
          <w:color w:val="000000"/>
          <w:sz w:val="32"/>
          <w:szCs w:val="32"/>
        </w:rPr>
      </w:pPr>
    </w:p>
    <w:p>
      <w:pPr>
        <w:pStyle w:val="4"/>
        <w:spacing w:before="0" w:beforeAutospacing="0" w:after="0" w:afterAutospacing="0" w:line="600" w:lineRule="exact"/>
        <w:jc w:val="center"/>
        <w:rPr>
          <w:rFonts w:ascii="黑体" w:hAnsi="黑体" w:eastAsia="黑体"/>
          <w:bCs/>
          <w:color w:val="000000"/>
          <w:sz w:val="32"/>
          <w:szCs w:val="32"/>
        </w:rPr>
      </w:pPr>
      <w:r>
        <w:rPr>
          <w:rFonts w:hint="eastAsia" w:ascii="黑体" w:hAnsi="黑体" w:eastAsia="黑体"/>
          <w:bCs/>
          <w:color w:val="000000"/>
          <w:sz w:val="32"/>
          <w:szCs w:val="32"/>
        </w:rPr>
        <w:t>目 录</w:t>
      </w:r>
      <w:bookmarkStart w:id="0" w:name="_GoBack"/>
      <w:bookmarkEnd w:id="0"/>
    </w:p>
    <w:p>
      <w:pPr>
        <w:pStyle w:val="4"/>
        <w:spacing w:before="0" w:beforeAutospacing="0" w:after="0" w:afterAutospacing="0" w:line="600" w:lineRule="exact"/>
        <w:ind w:firstLine="643" w:firstLineChars="200"/>
        <w:rPr>
          <w:rFonts w:ascii="楷体" w:hAnsi="楷体" w:eastAsia="楷体"/>
          <w:b/>
          <w:bCs/>
          <w:color w:val="000000"/>
          <w:sz w:val="32"/>
          <w:szCs w:val="32"/>
        </w:rPr>
      </w:pPr>
      <w:r>
        <w:rPr>
          <w:rFonts w:hint="eastAsia" w:ascii="楷体" w:hAnsi="楷体" w:eastAsia="楷体"/>
          <w:b/>
          <w:bCs/>
          <w:color w:val="000000"/>
          <w:sz w:val="32"/>
          <w:szCs w:val="32"/>
        </w:rPr>
        <w:t>第一部分：单位概况</w:t>
      </w:r>
    </w:p>
    <w:p>
      <w:pPr>
        <w:pStyle w:val="4"/>
        <w:numPr>
          <w:ilvl w:val="0"/>
          <w:numId w:val="1"/>
        </w:numPr>
        <w:spacing w:before="0" w:beforeAutospacing="0" w:after="0" w:afterAutospacing="0" w:line="600" w:lineRule="exact"/>
        <w:rPr>
          <w:rFonts w:ascii="仿宋_GB2312" w:hAnsi="华文仿宋" w:eastAsia="仿宋_GB2312"/>
          <w:bCs/>
          <w:color w:val="000000"/>
          <w:sz w:val="32"/>
          <w:szCs w:val="32"/>
        </w:rPr>
      </w:pPr>
      <w:r>
        <w:rPr>
          <w:rFonts w:hint="eastAsia" w:ascii="仿宋_GB2312" w:hAnsi="华文仿宋" w:eastAsia="仿宋_GB2312"/>
          <w:bCs/>
          <w:color w:val="000000"/>
          <w:sz w:val="32"/>
          <w:szCs w:val="32"/>
        </w:rPr>
        <w:t>主要职责</w:t>
      </w:r>
    </w:p>
    <w:p>
      <w:pPr>
        <w:pStyle w:val="4"/>
        <w:numPr>
          <w:ilvl w:val="0"/>
          <w:numId w:val="1"/>
        </w:numPr>
        <w:spacing w:before="0" w:beforeAutospacing="0" w:after="0" w:afterAutospacing="0" w:line="600" w:lineRule="exact"/>
        <w:rPr>
          <w:rFonts w:ascii="仿宋_GB2312" w:hAnsi="华文仿宋" w:eastAsia="仿宋_GB2312"/>
          <w:bCs/>
          <w:color w:val="000000"/>
          <w:sz w:val="32"/>
          <w:szCs w:val="32"/>
        </w:rPr>
      </w:pPr>
      <w:r>
        <w:rPr>
          <w:rFonts w:hint="eastAsia" w:ascii="仿宋_GB2312" w:hAnsi="华文仿宋" w:eastAsia="仿宋_GB2312"/>
          <w:bCs/>
          <w:color w:val="000000"/>
          <w:sz w:val="32"/>
          <w:szCs w:val="32"/>
        </w:rPr>
        <w:t>机构设置情况</w:t>
      </w:r>
    </w:p>
    <w:p>
      <w:pPr>
        <w:pStyle w:val="4"/>
        <w:numPr>
          <w:ilvl w:val="0"/>
          <w:numId w:val="1"/>
        </w:numPr>
        <w:spacing w:before="0" w:beforeAutospacing="0" w:after="0" w:afterAutospacing="0" w:line="600" w:lineRule="exact"/>
        <w:rPr>
          <w:rFonts w:ascii="仿宋_GB2312" w:hAnsi="华文仿宋" w:eastAsia="仿宋_GB2312"/>
          <w:bCs/>
          <w:color w:val="000000"/>
          <w:sz w:val="32"/>
          <w:szCs w:val="32"/>
        </w:rPr>
      </w:pPr>
      <w:r>
        <w:rPr>
          <w:rFonts w:hint="eastAsia" w:ascii="仿宋_GB2312" w:hAnsi="华文仿宋" w:eastAsia="仿宋_GB2312"/>
          <w:bCs/>
          <w:color w:val="000000"/>
          <w:sz w:val="32"/>
          <w:szCs w:val="32"/>
        </w:rPr>
        <w:t>编制现状及人员构成</w:t>
      </w:r>
    </w:p>
    <w:p>
      <w:pPr>
        <w:pStyle w:val="4"/>
        <w:spacing w:before="0" w:beforeAutospacing="0" w:after="0" w:afterAutospacing="0" w:line="600" w:lineRule="exact"/>
        <w:ind w:firstLine="643" w:firstLineChars="200"/>
        <w:rPr>
          <w:rFonts w:ascii="楷体" w:hAnsi="楷体" w:eastAsia="楷体"/>
          <w:b/>
          <w:bCs/>
          <w:color w:val="000000"/>
          <w:sz w:val="32"/>
          <w:szCs w:val="32"/>
        </w:rPr>
      </w:pPr>
      <w:r>
        <w:rPr>
          <w:rFonts w:hint="eastAsia" w:ascii="楷体" w:hAnsi="楷体" w:eastAsia="楷体"/>
          <w:b/>
          <w:bCs/>
          <w:color w:val="000000"/>
          <w:sz w:val="32"/>
          <w:szCs w:val="32"/>
        </w:rPr>
        <w:t>第二部分：柳州市不动产登记中心2021年单位预算报表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一、单位收支总体情况表（预算公开01表）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二、单位收入总体情况表（预算公开02表）</w:t>
      </w:r>
    </w:p>
    <w:p>
      <w:pPr>
        <w:pStyle w:val="4"/>
        <w:spacing w:before="0" w:beforeAutospacing="0" w:after="0" w:afterAutospacing="0" w:line="600" w:lineRule="exact"/>
        <w:ind w:firstLine="640" w:firstLineChars="200"/>
        <w:rPr>
          <w:rFonts w:ascii="Times New Roman" w:hAnsi="Times New Roman" w:eastAsia="仿宋_GB2312" w:cs="Times New Roman"/>
          <w:b/>
          <w:bCs/>
          <w:color w:val="000000"/>
          <w:sz w:val="32"/>
          <w:szCs w:val="32"/>
        </w:rPr>
      </w:pPr>
      <w:r>
        <w:rPr>
          <w:rFonts w:ascii="Times New Roman" w:hAnsi="Times New Roman" w:eastAsia="仿宋_GB2312" w:cs="Times New Roman"/>
          <w:bCs/>
          <w:color w:val="000000"/>
          <w:sz w:val="32"/>
          <w:szCs w:val="32"/>
        </w:rPr>
        <w:t>三、单位支出总体情况表（预算公开03表）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四、财政拨款收支总体情况表（预算公开04表）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五、一般公共预算支出情况表（预算公开05表）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六、一般公共预算基本支出情况表（预算公开06表）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七、一般公共预算“三公”经费支出情况表（预算公开07表）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八、政府性基金预算支出情况表（预算公开08表）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九、国有资本经营预算支出情况表（预算公开09表）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十、政府采购预算表（预算公开10表）</w:t>
      </w:r>
    </w:p>
    <w:p>
      <w:pPr>
        <w:pStyle w:val="4"/>
        <w:spacing w:before="0" w:beforeAutospacing="0" w:after="0" w:afterAutospacing="0" w:line="600" w:lineRule="exact"/>
        <w:ind w:firstLine="640" w:firstLineChars="200"/>
        <w:rPr>
          <w:rFonts w:ascii="Times New Roman" w:hAnsi="Times New Roman" w:eastAsia="仿宋_GB2312" w:cs="Times New Roman"/>
          <w:bCs/>
          <w:color w:val="000000"/>
          <w:sz w:val="32"/>
          <w:szCs w:val="32"/>
        </w:rPr>
      </w:pPr>
      <w:r>
        <w:rPr>
          <w:rFonts w:ascii="Times New Roman" w:hAnsi="Times New Roman" w:eastAsia="仿宋_GB2312" w:cs="Times New Roman"/>
          <w:bCs/>
          <w:color w:val="000000"/>
          <w:sz w:val="32"/>
          <w:szCs w:val="32"/>
        </w:rPr>
        <w:t>十一、政府购买服务预算表（预算公开11表）</w:t>
      </w:r>
    </w:p>
    <w:p>
      <w:pPr>
        <w:pStyle w:val="4"/>
        <w:spacing w:before="0" w:beforeAutospacing="0" w:after="0" w:afterAutospacing="0" w:line="600" w:lineRule="exact"/>
        <w:ind w:firstLine="1446" w:firstLineChars="450"/>
        <w:rPr>
          <w:rFonts w:ascii="仿宋_GB2312" w:hAnsi="华文仿宋" w:eastAsia="仿宋_GB2312"/>
          <w:bCs/>
          <w:color w:val="000000"/>
          <w:sz w:val="32"/>
          <w:szCs w:val="32"/>
        </w:rPr>
      </w:pPr>
      <w:r>
        <w:rPr>
          <w:rFonts w:hint="eastAsia" w:ascii="仿宋_GB2312" w:hAnsi="华文仿宋" w:eastAsia="仿宋_GB2312"/>
          <w:b/>
          <w:bCs/>
          <w:sz w:val="32"/>
          <w:szCs w:val="32"/>
        </w:rPr>
        <w:t>上述报表详见附件。</w:t>
      </w:r>
    </w:p>
    <w:p>
      <w:pPr>
        <w:pStyle w:val="4"/>
        <w:spacing w:before="0" w:beforeAutospacing="0" w:after="0" w:afterAutospacing="0" w:line="600" w:lineRule="exact"/>
        <w:ind w:firstLine="643" w:firstLineChars="200"/>
        <w:rPr>
          <w:rFonts w:ascii="仿宋_GB2312" w:hAnsi="华文仿宋" w:eastAsia="仿宋_GB2312"/>
          <w:bCs/>
          <w:color w:val="000000"/>
          <w:sz w:val="32"/>
          <w:szCs w:val="32"/>
        </w:rPr>
      </w:pPr>
      <w:r>
        <w:rPr>
          <w:rFonts w:hint="eastAsia" w:ascii="楷体" w:hAnsi="楷体" w:eastAsia="楷体"/>
          <w:b/>
          <w:sz w:val="32"/>
          <w:szCs w:val="32"/>
        </w:rPr>
        <w:t>第三部分：</w:t>
      </w:r>
      <w:r>
        <w:rPr>
          <w:rFonts w:ascii="Times New Roman" w:hAnsi="Times New Roman" w:eastAsia="楷体" w:cs="Times New Roman"/>
          <w:sz w:val="32"/>
          <w:szCs w:val="32"/>
        </w:rPr>
        <w:t>2021</w:t>
      </w:r>
      <w:r>
        <w:rPr>
          <w:rFonts w:hint="eastAsia" w:ascii="楷体" w:hAnsi="楷体" w:eastAsia="楷体"/>
          <w:b/>
          <w:sz w:val="32"/>
          <w:szCs w:val="32"/>
        </w:rPr>
        <w:t>年单位预算情况说明</w:t>
      </w:r>
    </w:p>
    <w:p>
      <w:pPr>
        <w:adjustRightInd w:val="0"/>
        <w:snapToGrid w:val="0"/>
        <w:spacing w:line="600" w:lineRule="exact"/>
        <w:ind w:firstLine="643" w:firstLineChars="200"/>
        <w:rPr>
          <w:rStyle w:val="7"/>
          <w:rFonts w:ascii="楷体" w:hAnsi="楷体" w:eastAsia="楷体"/>
          <w:color w:val="000000"/>
          <w:sz w:val="32"/>
          <w:szCs w:val="32"/>
        </w:rPr>
      </w:pPr>
      <w:r>
        <w:rPr>
          <w:rStyle w:val="7"/>
          <w:rFonts w:hint="eastAsia" w:ascii="楷体" w:hAnsi="楷体" w:eastAsia="楷体"/>
          <w:color w:val="000000"/>
          <w:sz w:val="32"/>
          <w:szCs w:val="32"/>
        </w:rPr>
        <w:t>第四部分：名词解释</w:t>
      </w:r>
    </w:p>
    <w:p>
      <w:pPr>
        <w:adjustRightInd w:val="0"/>
        <w:snapToGrid w:val="0"/>
        <w:spacing w:line="600" w:lineRule="exact"/>
        <w:ind w:right="-218" w:rightChars="-104"/>
        <w:jc w:val="center"/>
        <w:rPr>
          <w:rStyle w:val="7"/>
          <w:rFonts w:ascii="方正小标宋简体" w:hAnsi="楷体" w:eastAsia="方正小标宋简体"/>
          <w:color w:val="000000"/>
          <w:sz w:val="32"/>
          <w:szCs w:val="32"/>
        </w:rPr>
      </w:pPr>
      <w:r>
        <w:rPr>
          <w:rStyle w:val="7"/>
          <w:rFonts w:hint="eastAsia" w:ascii="方正小标宋简体" w:hAnsi="楷体" w:eastAsia="方正小标宋简体"/>
          <w:color w:val="000000"/>
          <w:sz w:val="32"/>
          <w:szCs w:val="32"/>
        </w:rPr>
        <w:t>第一部分：柳州市不动产登记中心单位概况</w:t>
      </w:r>
    </w:p>
    <w:p>
      <w:pPr>
        <w:pStyle w:val="4"/>
        <w:spacing w:before="0" w:beforeAutospacing="0" w:after="0" w:afterAutospacing="0" w:line="600" w:lineRule="exact"/>
        <w:ind w:firstLine="640" w:firstLineChars="200"/>
        <w:jc w:val="both"/>
        <w:rPr>
          <w:rFonts w:ascii="黑体" w:hAnsi="黑体" w:eastAsia="黑体" w:cs="黑体"/>
          <w:bCs/>
          <w:sz w:val="32"/>
          <w:szCs w:val="32"/>
        </w:rPr>
      </w:pPr>
    </w:p>
    <w:p>
      <w:pPr>
        <w:pStyle w:val="4"/>
        <w:spacing w:before="0" w:beforeAutospacing="0" w:after="0" w:afterAutospacing="0" w:line="60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一、主要职责</w:t>
      </w:r>
    </w:p>
    <w:p>
      <w:pPr>
        <w:spacing w:line="600" w:lineRule="exact"/>
        <w:ind w:firstLine="643" w:firstLineChars="200"/>
        <w:rPr>
          <w:rFonts w:ascii="楷体" w:hAnsi="楷体" w:eastAsia="楷体" w:cs="楷体_GB2312"/>
          <w:b/>
          <w:bCs/>
          <w:sz w:val="32"/>
          <w:szCs w:val="32"/>
        </w:rPr>
      </w:pPr>
      <w:r>
        <w:rPr>
          <w:rFonts w:hint="eastAsia" w:ascii="楷体" w:hAnsi="楷体" w:eastAsia="楷体" w:cs="楷体_GB2312"/>
          <w:b/>
          <w:bCs/>
          <w:sz w:val="32"/>
          <w:szCs w:val="32"/>
        </w:rPr>
        <w:t>（一）单位基本职能</w:t>
      </w:r>
    </w:p>
    <w:p>
      <w:pPr>
        <w:spacing w:line="600" w:lineRule="exact"/>
        <w:ind w:firstLine="640" w:firstLineChars="200"/>
        <w:rPr>
          <w:rFonts w:eastAsia="仿宋_GB2312"/>
          <w:bCs/>
          <w:kern w:val="0"/>
          <w:sz w:val="32"/>
          <w:szCs w:val="32"/>
        </w:rPr>
      </w:pPr>
      <w:r>
        <w:rPr>
          <w:rFonts w:hint="eastAsia" w:eastAsia="仿宋_GB2312"/>
          <w:bCs/>
          <w:kern w:val="0"/>
          <w:sz w:val="32"/>
          <w:szCs w:val="32"/>
        </w:rPr>
        <w:t>我中心承办市本级国有土地、集体土地、房屋等建筑物及构筑物不动产登记业务。负责法律规定需要登记的其他不动产权利登记工作。负责市本级不动产登记信息的收集、统计、汇总、分析及报送等工作。负责是本级不动产登记数据库、不动产登记信息基础平台的建设和管理。负责不动产登记数据的整理、保管、备份及日常维护工作。</w:t>
      </w:r>
    </w:p>
    <w:p>
      <w:pPr>
        <w:spacing w:line="600" w:lineRule="exact"/>
        <w:ind w:firstLine="643" w:firstLineChars="200"/>
        <w:rPr>
          <w:rFonts w:ascii="楷体" w:hAnsi="楷体" w:eastAsia="楷体" w:cs="楷体_GB2312"/>
          <w:b/>
          <w:bCs/>
          <w:sz w:val="32"/>
          <w:szCs w:val="32"/>
        </w:rPr>
      </w:pPr>
      <w:r>
        <w:rPr>
          <w:rFonts w:hint="eastAsia" w:ascii="楷体" w:hAnsi="楷体" w:eastAsia="楷体" w:cs="楷体_GB2312"/>
          <w:b/>
          <w:bCs/>
          <w:sz w:val="32"/>
          <w:szCs w:val="32"/>
        </w:rPr>
        <w:t>（二）单位主要工作目标</w:t>
      </w:r>
    </w:p>
    <w:p>
      <w:pPr>
        <w:spacing w:line="600" w:lineRule="exact"/>
        <w:ind w:firstLine="640" w:firstLineChars="200"/>
        <w:rPr>
          <w:rFonts w:eastAsia="仿宋_GB2312"/>
          <w:bCs/>
          <w:kern w:val="0"/>
          <w:sz w:val="32"/>
          <w:szCs w:val="32"/>
        </w:rPr>
      </w:pPr>
      <w:r>
        <w:rPr>
          <w:rFonts w:hint="eastAsia" w:eastAsia="仿宋_GB2312"/>
          <w:bCs/>
          <w:kern w:val="0"/>
          <w:sz w:val="32"/>
          <w:szCs w:val="32"/>
        </w:rPr>
        <w:t>1.及时完成不动产登记工作，加强不动产登记管理，方便人民办理不动产登记，保护权利人合法利益，促进社会经济秩序良好发展，加强不动产登记管理制度化、规范化、科学化，加强不动产登记法制宣传，提高全社会不动产登记</w:t>
      </w:r>
      <w:r>
        <w:rPr>
          <w:rFonts w:hint="eastAsia" w:eastAsia="仿宋_GB2312"/>
          <w:bCs/>
          <w:kern w:val="0"/>
          <w:sz w:val="32"/>
          <w:szCs w:val="32"/>
          <w:lang w:eastAsia="zh-CN"/>
        </w:rPr>
        <w:t>法治意识</w:t>
      </w:r>
      <w:r>
        <w:rPr>
          <w:rFonts w:hint="eastAsia" w:eastAsia="仿宋_GB2312"/>
          <w:bCs/>
          <w:kern w:val="0"/>
          <w:sz w:val="32"/>
          <w:szCs w:val="32"/>
        </w:rPr>
        <w:t>，促进社会各项事业发展。</w:t>
      </w:r>
    </w:p>
    <w:p>
      <w:pPr>
        <w:spacing w:line="600" w:lineRule="exact"/>
        <w:ind w:firstLine="640" w:firstLineChars="200"/>
        <w:rPr>
          <w:rFonts w:eastAsia="仿宋_GB2312"/>
          <w:bCs/>
          <w:kern w:val="0"/>
          <w:sz w:val="32"/>
          <w:szCs w:val="32"/>
        </w:rPr>
      </w:pPr>
      <w:r>
        <w:rPr>
          <w:rFonts w:hint="eastAsia" w:eastAsia="仿宋_GB2312"/>
          <w:bCs/>
          <w:kern w:val="0"/>
          <w:sz w:val="32"/>
          <w:szCs w:val="32"/>
        </w:rPr>
        <w:t>2.持续优化不动产登记营商环境，进一步优化登记窗口服务，实现贷款申请、不动产抵押登记及注销的一站式服务，通过购买服务方式实现不动产权证书证明EMS免费送达；对小微企业免收登记费，多维服务满足群众企业所需，坚持以群众企业的需求为导向，精确把握登记服务的新趋势。</w:t>
      </w:r>
    </w:p>
    <w:p>
      <w:pPr>
        <w:pStyle w:val="4"/>
        <w:spacing w:before="0" w:beforeAutospacing="0" w:after="0" w:afterAutospacing="0" w:line="600" w:lineRule="exact"/>
        <w:ind w:firstLine="800" w:firstLineChars="250"/>
        <w:jc w:val="both"/>
        <w:rPr>
          <w:rFonts w:ascii="黑体" w:hAnsi="黑体" w:eastAsia="黑体" w:cs="黑体"/>
          <w:bCs/>
          <w:sz w:val="32"/>
          <w:szCs w:val="32"/>
        </w:rPr>
      </w:pPr>
      <w:r>
        <w:rPr>
          <w:rFonts w:hint="eastAsia" w:ascii="黑体" w:hAnsi="黑体" w:eastAsia="黑体" w:cs="黑体"/>
          <w:bCs/>
          <w:sz w:val="32"/>
          <w:szCs w:val="32"/>
        </w:rPr>
        <w:t>二、机构设置情况</w:t>
      </w:r>
    </w:p>
    <w:p>
      <w:pPr>
        <w:adjustRightInd w:val="0"/>
        <w:snapToGrid w:val="0"/>
        <w:spacing w:line="600" w:lineRule="exact"/>
        <w:ind w:right="-218" w:rightChars="-104" w:firstLine="640" w:firstLineChars="200"/>
        <w:rPr>
          <w:rFonts w:eastAsia="仿宋_GB2312"/>
          <w:bCs/>
          <w:kern w:val="0"/>
          <w:sz w:val="32"/>
          <w:szCs w:val="32"/>
        </w:rPr>
      </w:pPr>
      <w:r>
        <w:rPr>
          <w:rFonts w:hint="eastAsia" w:eastAsia="仿宋_GB2312"/>
          <w:bCs/>
          <w:kern w:val="0"/>
          <w:sz w:val="32"/>
          <w:szCs w:val="32"/>
        </w:rPr>
        <w:t>柳州市不动产登记中心为柳州市自然资源和规划局管理的副处级公益一类全额拨款事业单位。本单位内设十二个科室，分别为：综合科、党务人事科、财务科、受理科、审核一科、审核二科、审核三科、审核四科、发证科、信息科、权籍数据管理科、法规信访科。</w:t>
      </w:r>
    </w:p>
    <w:p>
      <w:pPr>
        <w:pStyle w:val="4"/>
        <w:spacing w:before="0" w:beforeAutospacing="0" w:after="0" w:afterAutospacing="0" w:line="600" w:lineRule="exact"/>
        <w:ind w:firstLine="800" w:firstLineChars="250"/>
        <w:jc w:val="both"/>
        <w:rPr>
          <w:rFonts w:ascii="仿宋_GB2312" w:hAnsi="华文仿宋" w:eastAsia="仿宋_GB2312"/>
          <w:b/>
          <w:sz w:val="32"/>
          <w:szCs w:val="32"/>
        </w:rPr>
      </w:pPr>
      <w:r>
        <w:rPr>
          <w:rFonts w:hint="eastAsia" w:ascii="黑体" w:hAnsi="黑体" w:eastAsia="黑体" w:cs="黑体"/>
          <w:bCs/>
          <w:sz w:val="32"/>
          <w:szCs w:val="32"/>
        </w:rPr>
        <w:t xml:space="preserve">三、编制现状及人员构成   </w:t>
      </w:r>
      <w:r>
        <w:rPr>
          <w:rFonts w:hint="eastAsia" w:ascii="仿宋_GB2312" w:hAnsi="华文仿宋" w:eastAsia="仿宋_GB2312"/>
          <w:b/>
          <w:sz w:val="32"/>
          <w:szCs w:val="32"/>
        </w:rPr>
        <w:t xml:space="preserve"> </w:t>
      </w:r>
    </w:p>
    <w:p>
      <w:pPr>
        <w:adjustRightInd w:val="0"/>
        <w:snapToGrid w:val="0"/>
        <w:spacing w:line="600" w:lineRule="exact"/>
        <w:ind w:right="-218" w:rightChars="-104" w:firstLine="640" w:firstLineChars="200"/>
        <w:rPr>
          <w:rFonts w:eastAsia="仿宋_GB2312"/>
          <w:bCs/>
          <w:kern w:val="0"/>
          <w:sz w:val="32"/>
          <w:szCs w:val="32"/>
        </w:rPr>
      </w:pPr>
      <w:r>
        <w:rPr>
          <w:rFonts w:hint="eastAsia" w:eastAsia="仿宋_GB2312"/>
          <w:bCs/>
          <w:kern w:val="0"/>
          <w:sz w:val="32"/>
          <w:szCs w:val="32"/>
        </w:rPr>
        <w:t>单位人员编制为75人，实际在职62人。退休补助10人。由人社局核定的聘用人员132人。</w:t>
      </w:r>
    </w:p>
    <w:p>
      <w:pPr>
        <w:pStyle w:val="4"/>
        <w:spacing w:before="0" w:beforeAutospacing="0" w:after="0" w:afterAutospacing="0" w:line="600" w:lineRule="exact"/>
        <w:ind w:firstLine="643" w:firstLineChars="200"/>
        <w:rPr>
          <w:rFonts w:ascii="仿宋_GB2312" w:hAnsi="华文仿宋" w:eastAsia="仿宋_GB2312"/>
          <w:b/>
          <w:bCs/>
          <w:sz w:val="32"/>
          <w:szCs w:val="32"/>
        </w:rPr>
      </w:pPr>
    </w:p>
    <w:p>
      <w:pPr>
        <w:pStyle w:val="4"/>
        <w:spacing w:before="0" w:beforeAutospacing="0" w:after="0" w:afterAutospacing="0" w:line="600" w:lineRule="exact"/>
        <w:jc w:val="center"/>
        <w:rPr>
          <w:rFonts w:ascii="Times New Roman" w:hAnsi="Times New Roman" w:eastAsia="方正小标宋简体" w:cs="Times New Roman"/>
          <w:b/>
          <w:bCs/>
          <w:sz w:val="32"/>
          <w:szCs w:val="32"/>
        </w:rPr>
      </w:pPr>
      <w:r>
        <w:rPr>
          <w:rFonts w:ascii="Times New Roman" w:hAnsi="Times New Roman" w:eastAsia="方正小标宋简体" w:cs="Times New Roman"/>
          <w:b/>
          <w:bCs/>
          <w:sz w:val="32"/>
          <w:szCs w:val="32"/>
        </w:rPr>
        <w:t>第二部分：柳州市不动产登记中心</w:t>
      </w:r>
      <w:r>
        <w:rPr>
          <w:rFonts w:ascii="Times New Roman" w:hAnsi="Times New Roman" w:eastAsia="方正小标宋简体" w:cs="Times New Roman"/>
          <w:bCs/>
          <w:sz w:val="32"/>
          <w:szCs w:val="32"/>
        </w:rPr>
        <w:t>2021</w:t>
      </w:r>
      <w:r>
        <w:rPr>
          <w:rFonts w:ascii="Times New Roman" w:hAnsi="Times New Roman" w:eastAsia="方正小标宋简体" w:cs="Times New Roman"/>
          <w:b/>
          <w:bCs/>
          <w:sz w:val="32"/>
          <w:szCs w:val="32"/>
        </w:rPr>
        <w:t>年单位预算表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一、单位收支总体情况表（预算公开01表）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二、单位收入总体情况表（预算公开02表）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三、单位支出总体情况表（预算公开03表）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四、财政拨款收支总体情况表（预算公开04表）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五、一般公共预算支出情况表（预算公开05表）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六、一般公共预算基本支出情况表（预算公开06表）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七、一般公共预算“三公”经费支出情况表（预算公开07表）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八、政府性基金预算支出情况表（预算公开08表）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九、国有资本经营预算支出情况表（预算公开09表）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十、政府采购预算表（预算公开10表）</w:t>
      </w:r>
    </w:p>
    <w:p>
      <w:pPr>
        <w:pStyle w:val="4"/>
        <w:spacing w:before="0" w:beforeAutospacing="0" w:after="0" w:afterAutospacing="0"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十一、政府购买服务预算表（预算公开11表）</w:t>
      </w:r>
    </w:p>
    <w:p>
      <w:pPr>
        <w:pStyle w:val="4"/>
        <w:spacing w:before="0" w:beforeAutospacing="0" w:after="0" w:afterAutospacing="0" w:line="600" w:lineRule="exact"/>
        <w:ind w:firstLine="1446" w:firstLineChars="450"/>
        <w:rPr>
          <w:rFonts w:ascii="仿宋_GB2312" w:hAnsi="华文仿宋" w:eastAsia="仿宋_GB2312"/>
          <w:bCs/>
          <w:sz w:val="32"/>
          <w:szCs w:val="32"/>
        </w:rPr>
      </w:pPr>
      <w:r>
        <w:rPr>
          <w:rFonts w:hint="eastAsia" w:ascii="仿宋_GB2312" w:hAnsi="华文仿宋" w:eastAsia="仿宋_GB2312"/>
          <w:b/>
          <w:bCs/>
          <w:sz w:val="32"/>
          <w:szCs w:val="32"/>
        </w:rPr>
        <w:t>上述报表详见附件。</w:t>
      </w:r>
    </w:p>
    <w:p>
      <w:pPr>
        <w:adjustRightInd w:val="0"/>
        <w:snapToGrid w:val="0"/>
        <w:spacing w:line="600" w:lineRule="exact"/>
        <w:ind w:right="-218" w:rightChars="-104"/>
        <w:rPr>
          <w:rFonts w:ascii="仿宋_GB2312" w:hAnsi="华文仿宋" w:eastAsia="仿宋_GB2312"/>
          <w:sz w:val="32"/>
          <w:szCs w:val="32"/>
          <w:highlight w:val="cyan"/>
        </w:rPr>
      </w:pPr>
    </w:p>
    <w:p>
      <w:pPr>
        <w:pStyle w:val="4"/>
        <w:spacing w:before="0" w:beforeAutospacing="0" w:after="0" w:afterAutospacing="0" w:line="600" w:lineRule="exact"/>
        <w:jc w:val="center"/>
        <w:rPr>
          <w:rFonts w:ascii="Times New Roman" w:hAnsi="Times New Roman" w:eastAsia="方正小标宋简体" w:cs="Times New Roman"/>
          <w:bCs/>
          <w:kern w:val="2"/>
          <w:sz w:val="32"/>
          <w:szCs w:val="32"/>
        </w:rPr>
      </w:pPr>
      <w:r>
        <w:rPr>
          <w:rFonts w:ascii="Times New Roman" w:hAnsi="Times New Roman" w:eastAsia="方正小标宋简体" w:cs="Times New Roman"/>
          <w:bCs/>
          <w:kern w:val="2"/>
          <w:sz w:val="32"/>
          <w:szCs w:val="32"/>
        </w:rPr>
        <w:t xml:space="preserve">  第三部分：柳州市不动产登记中心2021年预算情况说明</w:t>
      </w:r>
    </w:p>
    <w:p>
      <w:pPr>
        <w:adjustRightInd w:val="0"/>
        <w:snapToGrid w:val="0"/>
        <w:spacing w:line="600" w:lineRule="exact"/>
        <w:ind w:right="-218" w:rightChars="-104"/>
        <w:rPr>
          <w:rFonts w:ascii="仿宋_GB2312" w:hAnsi="华文仿宋" w:eastAsia="仿宋_GB2312"/>
          <w:sz w:val="32"/>
          <w:szCs w:val="32"/>
        </w:rPr>
      </w:pPr>
    </w:p>
    <w:p>
      <w:pPr>
        <w:tabs>
          <w:tab w:val="center" w:pos="4475"/>
        </w:tabs>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一、单位收支预算情况说明</w:t>
      </w:r>
    </w:p>
    <w:p>
      <w:pPr>
        <w:pStyle w:val="4"/>
        <w:spacing w:before="0" w:beforeAutospacing="0" w:after="0" w:afterAutospacing="0" w:line="600" w:lineRule="exact"/>
        <w:ind w:firstLine="640" w:firstLineChars="200"/>
        <w:rPr>
          <w:rFonts w:ascii="Times New Roman" w:hAnsi="Times New Roman" w:eastAsia="仿宋_GB2312" w:cs="Times New Roman"/>
          <w:strike/>
          <w:kern w:val="2"/>
          <w:sz w:val="32"/>
          <w:szCs w:val="32"/>
        </w:rPr>
      </w:pPr>
      <w:r>
        <w:rPr>
          <w:rFonts w:ascii="Times New Roman" w:hAnsi="Times New Roman" w:eastAsia="仿宋_GB2312" w:cs="Times New Roman"/>
          <w:kern w:val="2"/>
          <w:sz w:val="32"/>
          <w:szCs w:val="32"/>
        </w:rPr>
        <w:t>2021年单位收支总预算2854.61万元，同比增加122.82万元，同比增长4.5%，收入包括：一般公共财政预算拨款2854.61万元、无上年结余;支出包括：社会保障和就业支出191.63万元、卫生健康支出58.57万元、自然资源海洋气象等支出2514.98万元、住房保障支出89.43万元。</w:t>
      </w:r>
    </w:p>
    <w:p>
      <w:pPr>
        <w:tabs>
          <w:tab w:val="center" w:pos="4475"/>
        </w:tabs>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二、单位收入预算情况说明</w:t>
      </w:r>
    </w:p>
    <w:p>
      <w:pPr>
        <w:spacing w:line="600" w:lineRule="exact"/>
        <w:ind w:firstLine="640" w:firstLineChars="200"/>
        <w:rPr>
          <w:rFonts w:eastAsia="仿宋_GB2312"/>
          <w:sz w:val="32"/>
          <w:szCs w:val="32"/>
        </w:rPr>
      </w:pPr>
      <w:r>
        <w:rPr>
          <w:rFonts w:hint="eastAsia" w:eastAsia="仿宋_GB2312"/>
          <w:sz w:val="32"/>
          <w:szCs w:val="32"/>
        </w:rPr>
        <w:t>2021年单位收入总预算2854.61万元，同比增加122.82万元，同比增长4.5%。其中：</w:t>
      </w:r>
    </w:p>
    <w:p>
      <w:pPr>
        <w:spacing w:line="600" w:lineRule="exact"/>
        <w:ind w:firstLine="640" w:firstLineChars="200"/>
        <w:rPr>
          <w:rFonts w:eastAsia="仿宋_GB2312"/>
          <w:sz w:val="32"/>
          <w:szCs w:val="32"/>
        </w:rPr>
      </w:pPr>
      <w:r>
        <w:rPr>
          <w:rFonts w:hint="eastAsia" w:eastAsia="仿宋_GB2312"/>
          <w:sz w:val="32"/>
          <w:szCs w:val="32"/>
        </w:rPr>
        <w:t>（一）一般公共财政预算拨款2854.61万元，占收入总预算100%,同比增加122.82万元，同比增长4.5%。</w:t>
      </w:r>
    </w:p>
    <w:p>
      <w:pPr>
        <w:spacing w:line="600" w:lineRule="exact"/>
        <w:ind w:firstLine="640" w:firstLineChars="200"/>
        <w:rPr>
          <w:rFonts w:eastAsia="仿宋_GB2312"/>
          <w:sz w:val="32"/>
          <w:szCs w:val="32"/>
        </w:rPr>
      </w:pPr>
      <w:r>
        <w:rPr>
          <w:rFonts w:hint="eastAsia" w:eastAsia="仿宋_GB2312"/>
          <w:sz w:val="32"/>
          <w:szCs w:val="32"/>
        </w:rPr>
        <w:t>（二）本年无上年结余（结转）收入</w:t>
      </w:r>
    </w:p>
    <w:p>
      <w:pPr>
        <w:spacing w:line="600" w:lineRule="exact"/>
        <w:ind w:firstLine="640" w:firstLineChars="200"/>
        <w:rPr>
          <w:rFonts w:eastAsia="仿宋_GB2312"/>
          <w:sz w:val="32"/>
          <w:szCs w:val="32"/>
        </w:rPr>
      </w:pPr>
      <w:r>
        <w:rPr>
          <w:rFonts w:hint="eastAsia" w:eastAsia="仿宋_GB2312"/>
          <w:sz w:val="32"/>
          <w:szCs w:val="32"/>
        </w:rPr>
        <w:t>2021年收入预算总体增加主要是人员经费增加，增加的主要原因：</w:t>
      </w:r>
      <w:r>
        <w:rPr>
          <w:rFonts w:hint="eastAsia" w:eastAsia="仿宋_GB2312"/>
          <w:bCs/>
          <w:kern w:val="0"/>
          <w:sz w:val="32"/>
          <w:szCs w:val="32"/>
        </w:rPr>
        <w:t>一是</w:t>
      </w:r>
      <w:r>
        <w:rPr>
          <w:rFonts w:hint="eastAsia" w:eastAsia="仿宋_GB2312"/>
          <w:sz w:val="32"/>
          <w:szCs w:val="32"/>
        </w:rPr>
        <w:t>项目支出增加的主要原因是聘用人员相比2020年人数增多，工资基数提高。</w:t>
      </w:r>
      <w:r>
        <w:rPr>
          <w:rFonts w:hint="eastAsia" w:eastAsia="仿宋_GB2312"/>
          <w:bCs/>
          <w:kern w:val="0"/>
          <w:sz w:val="32"/>
          <w:szCs w:val="32"/>
        </w:rPr>
        <w:t>二是</w:t>
      </w:r>
      <w:r>
        <w:rPr>
          <w:rFonts w:hint="eastAsia" w:eastAsia="仿宋_GB2312"/>
          <w:sz w:val="32"/>
          <w:szCs w:val="32"/>
        </w:rPr>
        <w:t>人员工资增加，相应社保保障费及公积金增加。</w:t>
      </w:r>
    </w:p>
    <w:p>
      <w:pPr>
        <w:tabs>
          <w:tab w:val="center" w:pos="4475"/>
        </w:tabs>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三、单位支出预算情况说明</w:t>
      </w:r>
    </w:p>
    <w:p>
      <w:pPr>
        <w:spacing w:line="600" w:lineRule="exact"/>
        <w:ind w:firstLine="640" w:firstLineChars="200"/>
        <w:rPr>
          <w:rFonts w:eastAsia="仿宋_GB2312"/>
          <w:sz w:val="32"/>
          <w:szCs w:val="32"/>
        </w:rPr>
      </w:pPr>
      <w:r>
        <w:rPr>
          <w:rFonts w:hint="eastAsia" w:eastAsia="仿宋_GB2312"/>
          <w:sz w:val="32"/>
          <w:szCs w:val="32"/>
        </w:rPr>
        <w:t>2021年单位支出总预算2854.61万元，基本支出预算1222.46万元，占支出总预算的42.8%,同比增加94.22万元，同比增长8.4%。项目支出预算1632.15万元，占支出总预算的57.2%,同比增加28.6万元，同比1.8增长%。</w:t>
      </w:r>
    </w:p>
    <w:p>
      <w:pPr>
        <w:pStyle w:val="4"/>
        <w:numPr>
          <w:ilvl w:val="0"/>
          <w:numId w:val="2"/>
        </w:numPr>
        <w:spacing w:before="0" w:beforeAutospacing="0" w:after="0" w:afterAutospacing="0" w:line="600" w:lineRule="exact"/>
        <w:ind w:firstLine="643" w:firstLineChars="200"/>
        <w:jc w:val="both"/>
        <w:rPr>
          <w:rFonts w:ascii="楷体" w:hAnsi="楷体" w:eastAsia="楷体" w:cs="Times New Roman"/>
          <w:b/>
          <w:kern w:val="2"/>
          <w:sz w:val="32"/>
          <w:szCs w:val="32"/>
        </w:rPr>
      </w:pPr>
      <w:r>
        <w:rPr>
          <w:rFonts w:hint="eastAsia" w:ascii="楷体" w:hAnsi="楷体" w:eastAsia="楷体" w:cs="Times New Roman"/>
          <w:b/>
          <w:kern w:val="2"/>
          <w:sz w:val="32"/>
          <w:szCs w:val="32"/>
        </w:rPr>
        <w:t>按支出功能分类科目划分，共分为八类，其中：</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1.事业单位离退休11.42万元，占支出预算0.4%，同比增加4.66万元，同比增长68.9%，增长的主要原因是新增加退休人员。</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2.机关事业单位基本养老保险缴费支出119.24万元，占支出预算4.2%，同比增加10.34万元，同比增长9.5%，增长的主要原因是人员工资增加，社保按相应比率增加。</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3.机关事业单位职业年金缴费支出59.62万元，占支出预算2.1%，同比增加5.17万元，同比增长9.5%，增长的主要原因是人员工资增加，社保按相应比率增加。</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4.其他社会保障和就业支出1.35万元，占支出预算0.1%，同比增加0万元，同比增长100%，增长的原因是从原来的事业运行中分离出来。</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5.事业单位医疗58.57万元，占支出预算2.1%，同比增加7.04万元，同比增长13.7%，增长的主要原因是人员工资增加，社保按相应比率增加。</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6.事业运行882.83万元，占支出预算30.9%，同比增加57.88万元，同比增长7%，人员工资增加。</w:t>
      </w:r>
    </w:p>
    <w:p>
      <w:pPr>
        <w:spacing w:line="600" w:lineRule="exact"/>
        <w:ind w:firstLine="640" w:firstLineChars="200"/>
        <w:rPr>
          <w:rFonts w:eastAsia="仿宋_GB2312"/>
          <w:sz w:val="32"/>
          <w:szCs w:val="32"/>
        </w:rPr>
      </w:pPr>
      <w:r>
        <w:rPr>
          <w:rFonts w:hint="eastAsia" w:eastAsia="仿宋_GB2312"/>
          <w:sz w:val="32"/>
          <w:szCs w:val="32"/>
        </w:rPr>
        <w:t>7.其他自然资源事务支出1632.15万元占支出预算57.1%，同比增加28.6万元，同比增长1.8%，主要原因是聘用人员相比2020年人数增多，工资人社局最低基数提高。</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8.住房公积金89.43万元，占支出预算3.1%，同比增加7.76万元，同比增9.5长%，增长的主要原因是人员工资增加，公积金按相应比率增加。</w:t>
      </w:r>
    </w:p>
    <w:p>
      <w:pPr>
        <w:pStyle w:val="4"/>
        <w:spacing w:before="0" w:beforeAutospacing="0" w:after="0" w:afterAutospacing="0" w:line="600" w:lineRule="exact"/>
        <w:ind w:firstLine="482" w:firstLineChars="150"/>
        <w:jc w:val="both"/>
        <w:rPr>
          <w:rFonts w:ascii="楷体" w:hAnsi="楷体" w:eastAsia="楷体" w:cs="Times New Roman"/>
          <w:b/>
          <w:kern w:val="2"/>
          <w:sz w:val="32"/>
          <w:szCs w:val="32"/>
        </w:rPr>
      </w:pPr>
      <w:r>
        <w:rPr>
          <w:rFonts w:hint="eastAsia" w:ascii="楷体" w:hAnsi="楷体" w:eastAsia="楷体" w:cs="Times New Roman"/>
          <w:b/>
          <w:kern w:val="2"/>
          <w:sz w:val="32"/>
          <w:szCs w:val="32"/>
        </w:rPr>
        <w:t>（二）按支出结构分类划分，分为基本支出预算和项目支出预算。</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基本支出预算1222.46万元，占一般公共预算拨款支出预算42.8%，同比增加94.22万元，同比增长8.4%。主要用于机关事业单位基本养老保险缴费支出、医疗缴费支出、公积金支出、人员工资等方面的支出、基本公用支出。</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项目支出预算1632.15万元；占支出总预算57.2%，同比增加28.6万元，同比增长1.8%。主要用于聘用人员工资及社保支出，办证大厅运行，遗产继承查验、数据库及网络优化服务、群众EMS邮寄证书、CA电子催人签章和时间戳服务等项目的支出。</w:t>
      </w:r>
    </w:p>
    <w:p>
      <w:pPr>
        <w:spacing w:line="600" w:lineRule="exact"/>
        <w:ind w:firstLine="640" w:firstLineChars="200"/>
        <w:rPr>
          <w:rFonts w:eastAsia="仿宋_GB2312"/>
          <w:sz w:val="32"/>
          <w:szCs w:val="32"/>
        </w:rPr>
      </w:pPr>
      <w:r>
        <w:rPr>
          <w:rFonts w:hint="eastAsia" w:eastAsia="仿宋_GB2312"/>
          <w:sz w:val="32"/>
          <w:szCs w:val="32"/>
        </w:rPr>
        <w:t>2021年支出预算总体增加主要是基本支出增加94.22万元，增加的主要原因：一是职工人员工资增加62.72万元，相应社保、公积金增加31.5万元；二是项目支出增加28.6万元，主要原因是聘用人员相比2020年人员增多，工资基数提高。</w:t>
      </w:r>
    </w:p>
    <w:p>
      <w:pPr>
        <w:tabs>
          <w:tab w:val="center" w:pos="4475"/>
        </w:tabs>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四、财政拨款收支预算情况说明</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2021年单位财政拨款收支总预算2854.61万元。</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收入来源一是财政经费拨款（补助）1222.46万元。支出包括：按支出功能科目分类名称一、事业单位离退休11.42万元；.机关事业单位基本养老保险缴费支出119.24万元；机关事业单位职业年金缴费支出59.62万元；其他社会保障和就业支出1.35万元；事业单位医疗58.57万元；事业运行882.83万元；住房公积金89.43万元。</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收入来源二是纳入预算管理的非税收入安排的资金1632.15万元，主要用于其他自然资源事务支出。</w:t>
      </w:r>
    </w:p>
    <w:p>
      <w:pPr>
        <w:pStyle w:val="4"/>
        <w:spacing w:before="0" w:beforeAutospacing="0" w:after="0" w:afterAutospacing="0" w:line="60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五、一般公共预算支出情况说明</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2021年单位一般公共预算拨款支出2854.61万元，其中：基本支出1222.46万元，项目支出1632.15万元，具体支出预算如下：</w:t>
      </w:r>
    </w:p>
    <w:p>
      <w:pPr>
        <w:pStyle w:val="4"/>
        <w:spacing w:before="0" w:beforeAutospacing="0" w:after="0" w:afterAutospacing="0" w:line="600" w:lineRule="exact"/>
        <w:ind w:firstLine="643" w:firstLineChars="200"/>
        <w:jc w:val="both"/>
        <w:rPr>
          <w:rFonts w:ascii="楷体" w:hAnsi="楷体" w:eastAsia="楷体" w:cs="Times New Roman"/>
          <w:b/>
          <w:kern w:val="2"/>
          <w:sz w:val="32"/>
          <w:szCs w:val="32"/>
        </w:rPr>
      </w:pPr>
      <w:r>
        <w:rPr>
          <w:rFonts w:hint="eastAsia" w:ascii="楷体" w:hAnsi="楷体" w:eastAsia="楷体" w:cs="Times New Roman"/>
          <w:b/>
          <w:kern w:val="2"/>
          <w:sz w:val="32"/>
          <w:szCs w:val="32"/>
        </w:rPr>
        <w:t>按支出功能科目分类</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1.事业单位离退休11.42万元，全部为基本支出，主要用于符合政策领取退休人员独生子女补助费用的支出及生活补助支出。</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2.机关事业单位基本养老保险缴费支出119.24万元，全部为基本支出，主要用于缴纳职工的养老保险费用。</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3.机关事业单位职业年金缴费支出59.62万元，全部为基本支出，主要用于缴纳职工职业年金。</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4.其他社会保障和就业支出1.35万元，全部为基本支出，主要用于缴纳职工其他社会保障缴费。</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5.事业单位医疗58.57万元，全部为基本支出，主要用于缴纳职工医疗保险费用。</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6.事业运行882.83万元，全部为基本支出，主要用于职工工资及保障机构正常运转、完成日常工作任务的公用经费支出。</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7.其他自然资源事务支出1632.15万元，全部为项目支出，主要用于聘用人员工资及社保支出，办证大厅运行，遗产继承查验、数据库及网络优化服务、群众EMS邮寄证书、CA电子催人签章和时间戳服务等。</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8.住房公积金89.43万元，全部为基本支出，主要用于缴纳职工的住房公积金。</w:t>
      </w:r>
    </w:p>
    <w:p>
      <w:pPr>
        <w:tabs>
          <w:tab w:val="center" w:pos="4475"/>
        </w:tabs>
        <w:spacing w:line="600" w:lineRule="exact"/>
        <w:ind w:firstLine="480" w:firstLineChars="150"/>
        <w:rPr>
          <w:rFonts w:ascii="黑体" w:hAnsi="黑体" w:eastAsia="黑体" w:cs="黑体"/>
          <w:bCs/>
          <w:kern w:val="0"/>
          <w:sz w:val="32"/>
          <w:szCs w:val="32"/>
        </w:rPr>
      </w:pPr>
      <w:r>
        <w:rPr>
          <w:rFonts w:hint="eastAsia" w:ascii="黑体" w:hAnsi="黑体" w:eastAsia="黑体" w:cs="黑体"/>
          <w:bCs/>
          <w:kern w:val="0"/>
          <w:sz w:val="32"/>
          <w:szCs w:val="32"/>
        </w:rPr>
        <w:t>六、一般公共预算基本支出情况说明</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2021年单位一般公共预算基本支出1222.46万元，其中：</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1.人员经费1108.22万元，主要包括：事业单位离退休费、机关事业单位基本养老保险缴费支出、机关事业单位职业年金缴费支出、其他社会保障和就业支出、事业单位医疗、事业运行、住房公积金。</w:t>
      </w:r>
    </w:p>
    <w:p>
      <w:pPr>
        <w:pStyle w:val="4"/>
        <w:spacing w:before="0" w:beforeAutospacing="0" w:after="0" w:afterAutospacing="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2.公用经费114.24万元，主要包括：事业单位离退休、事业运行费。</w:t>
      </w:r>
    </w:p>
    <w:p>
      <w:pPr>
        <w:tabs>
          <w:tab w:val="center" w:pos="4475"/>
        </w:tabs>
        <w:adjustRightInd w:val="0"/>
        <w:snapToGrid w:val="0"/>
        <w:spacing w:line="600" w:lineRule="exact"/>
        <w:ind w:right="-218" w:rightChars="-104"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七、一般公共预算“三公”经费情况说明</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2021年一般公共预算安排的“三公”经费支出预算12.17万元，比2020 年（上一年）预算12.35万元，同比减少0.18万元，同比下降1.5%。</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（一）因公出国（境）经费2021年预算0万元，与上年持平。</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（二）公务接待费2021年预算2.17万元，同比减少0.18万元，同比下降1.5%，减少原因：本单位严格控制“三公”经费支出，压缩“三公”经费，切实做到时只减不增。                                          </w:t>
      </w:r>
    </w:p>
    <w:p>
      <w:pPr>
        <w:spacing w:line="600" w:lineRule="exact"/>
        <w:ind w:firstLine="643" w:firstLineChars="200"/>
        <w:rPr>
          <w:rFonts w:eastAsia="楷体"/>
          <w:b/>
          <w:sz w:val="32"/>
          <w:szCs w:val="32"/>
        </w:rPr>
      </w:pPr>
      <w:r>
        <w:rPr>
          <w:rFonts w:eastAsia="楷体"/>
          <w:b/>
          <w:sz w:val="32"/>
          <w:szCs w:val="32"/>
        </w:rPr>
        <w:t>（</w:t>
      </w:r>
      <w:r>
        <w:rPr>
          <w:rFonts w:hint="eastAsia" w:eastAsia="楷体"/>
          <w:b/>
          <w:sz w:val="32"/>
          <w:szCs w:val="32"/>
        </w:rPr>
        <w:t>三</w:t>
      </w:r>
      <w:r>
        <w:rPr>
          <w:rFonts w:eastAsia="楷体"/>
          <w:b/>
          <w:sz w:val="32"/>
          <w:szCs w:val="32"/>
        </w:rPr>
        <w:t>）公务用车购置及运行费</w:t>
      </w:r>
      <w:r>
        <w:rPr>
          <w:rFonts w:eastAsia="楷体"/>
          <w:sz w:val="32"/>
          <w:szCs w:val="32"/>
        </w:rPr>
        <w:t>2021</w:t>
      </w:r>
      <w:r>
        <w:rPr>
          <w:rFonts w:eastAsia="楷体"/>
          <w:b/>
          <w:sz w:val="32"/>
          <w:szCs w:val="32"/>
        </w:rPr>
        <w:t>年预算</w:t>
      </w:r>
      <w:r>
        <w:rPr>
          <w:rFonts w:eastAsia="楷体"/>
          <w:sz w:val="32"/>
          <w:szCs w:val="32"/>
        </w:rPr>
        <w:t>10</w:t>
      </w:r>
      <w:r>
        <w:rPr>
          <w:rFonts w:eastAsia="楷体"/>
          <w:b/>
          <w:sz w:val="32"/>
          <w:szCs w:val="32"/>
        </w:rPr>
        <w:t>万元。</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1.公务用车购置费2021年预算0万元，与上年持平。</w:t>
      </w:r>
    </w:p>
    <w:p>
      <w:pPr>
        <w:pStyle w:val="4"/>
        <w:spacing w:before="0" w:beforeAutospacing="0" w:after="0" w:afterAutospacing="0" w:line="600" w:lineRule="exact"/>
        <w:ind w:firstLine="640" w:firstLineChars="20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2.公务用车运行维护费2021年预算10万元，与上年持平。</w:t>
      </w:r>
    </w:p>
    <w:p>
      <w:pPr>
        <w:tabs>
          <w:tab w:val="center" w:pos="4475"/>
        </w:tabs>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八、政府性基金预算情况说明</w:t>
      </w:r>
    </w:p>
    <w:p>
      <w:pPr>
        <w:tabs>
          <w:tab w:val="center" w:pos="4475"/>
        </w:tabs>
        <w:spacing w:line="600" w:lineRule="exact"/>
        <w:ind w:firstLine="640" w:firstLineChars="200"/>
        <w:rPr>
          <w:rFonts w:eastAsia="仿宋_GB2312"/>
          <w:sz w:val="32"/>
          <w:szCs w:val="32"/>
        </w:rPr>
      </w:pPr>
      <w:r>
        <w:rPr>
          <w:rFonts w:hint="eastAsia" w:eastAsia="仿宋_GB2312"/>
          <w:sz w:val="32"/>
          <w:szCs w:val="32"/>
        </w:rPr>
        <w:t>2021年本单位无政府性基金预算支出安排。</w:t>
      </w:r>
    </w:p>
    <w:p>
      <w:pPr>
        <w:tabs>
          <w:tab w:val="center" w:pos="4475"/>
        </w:tabs>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九、国有资本经营预算情况说明</w:t>
      </w:r>
    </w:p>
    <w:p>
      <w:pPr>
        <w:tabs>
          <w:tab w:val="center" w:pos="4475"/>
        </w:tabs>
        <w:spacing w:line="600" w:lineRule="exact"/>
        <w:ind w:firstLine="640" w:firstLineChars="200"/>
        <w:rPr>
          <w:rFonts w:eastAsia="仿宋_GB2312"/>
          <w:sz w:val="32"/>
          <w:szCs w:val="32"/>
        </w:rPr>
      </w:pPr>
      <w:r>
        <w:rPr>
          <w:rFonts w:hint="eastAsia" w:eastAsia="仿宋_GB2312"/>
          <w:sz w:val="32"/>
          <w:szCs w:val="32"/>
        </w:rPr>
        <w:t>2021年本单位无国有资本性预算支出安排。</w:t>
      </w:r>
    </w:p>
    <w:p>
      <w:pPr>
        <w:tabs>
          <w:tab w:val="center" w:pos="4475"/>
        </w:tabs>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十、政府采购预算情况说明</w:t>
      </w:r>
    </w:p>
    <w:p>
      <w:pPr>
        <w:spacing w:line="600" w:lineRule="exact"/>
        <w:ind w:firstLine="640" w:firstLineChars="200"/>
        <w:rPr>
          <w:rFonts w:eastAsia="仿宋_GB2312"/>
          <w:sz w:val="32"/>
          <w:szCs w:val="32"/>
        </w:rPr>
      </w:pPr>
      <w:r>
        <w:rPr>
          <w:rFonts w:hint="eastAsia" w:eastAsia="仿宋_GB2312"/>
          <w:sz w:val="32"/>
          <w:szCs w:val="32"/>
        </w:rPr>
        <w:t>2021年政府采购预算97.1万元，主要用于采购数据库及网络优化服务费、办公设备购置费及复印纸张及印刷服务。同2020年比减少253.82万元，下降72.3%。减少的主要原因一是比2020年减少了专用设备购置；二是根据新的政府采购政策，提高了部分政府采购项目的限额，为切实推行政府采购制度，限额下的项目不再放置 在政府采购预算表中反映 。</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（一）按政府采购项目类型划分</w:t>
      </w:r>
    </w:p>
    <w:p>
      <w:pPr>
        <w:spacing w:line="600" w:lineRule="exact"/>
        <w:ind w:firstLine="640" w:firstLineChars="200"/>
        <w:rPr>
          <w:rFonts w:eastAsia="仿宋_GB2312"/>
          <w:sz w:val="32"/>
          <w:szCs w:val="32"/>
        </w:rPr>
      </w:pPr>
      <w:r>
        <w:rPr>
          <w:rFonts w:hint="eastAsia" w:eastAsia="仿宋_GB2312"/>
          <w:sz w:val="32"/>
          <w:szCs w:val="32"/>
        </w:rPr>
        <w:t>政府集中采购预算69.63万元,占政府采购预算的71.7%，同比减少281.29万元，下降80.1%。</w:t>
      </w:r>
    </w:p>
    <w:p>
      <w:pPr>
        <w:spacing w:line="600" w:lineRule="exact"/>
        <w:ind w:firstLine="640" w:firstLineChars="200"/>
        <w:rPr>
          <w:rFonts w:eastAsia="仿宋_GB2312"/>
          <w:sz w:val="32"/>
          <w:szCs w:val="32"/>
        </w:rPr>
      </w:pPr>
      <w:r>
        <w:rPr>
          <w:rFonts w:hint="eastAsia" w:eastAsia="仿宋_GB2312"/>
          <w:sz w:val="32"/>
          <w:szCs w:val="32"/>
        </w:rPr>
        <w:t>分散采购预算27.47万元，占政府采购预算的28.3%，同比增加27.47万元，增长100%。</w:t>
      </w:r>
    </w:p>
    <w:p>
      <w:pPr>
        <w:spacing w:line="600" w:lineRule="exact"/>
        <w:ind w:firstLine="643" w:firstLineChars="200"/>
        <w:rPr>
          <w:rFonts w:ascii="楷体" w:hAnsi="楷体" w:eastAsia="楷体"/>
          <w:b/>
          <w:sz w:val="32"/>
          <w:szCs w:val="32"/>
        </w:rPr>
      </w:pPr>
      <w:r>
        <w:rPr>
          <w:rFonts w:hint="eastAsia" w:ascii="楷体" w:hAnsi="楷体" w:eastAsia="楷体"/>
          <w:b/>
          <w:sz w:val="32"/>
          <w:szCs w:val="32"/>
        </w:rPr>
        <w:t>（二）按政府采购资金来源划分</w:t>
      </w:r>
    </w:p>
    <w:p>
      <w:pPr>
        <w:spacing w:line="600" w:lineRule="exact"/>
        <w:ind w:firstLine="640" w:firstLineChars="200"/>
        <w:rPr>
          <w:rFonts w:eastAsia="仿宋_GB2312"/>
          <w:sz w:val="32"/>
          <w:szCs w:val="32"/>
        </w:rPr>
      </w:pPr>
      <w:r>
        <w:rPr>
          <w:rFonts w:hint="eastAsia" w:eastAsia="仿宋_GB2312"/>
          <w:sz w:val="32"/>
          <w:szCs w:val="32"/>
        </w:rPr>
        <w:t>政府采购资金来源是通过一般公共预算中纳入预算管理的非税收入安排的采购支出预算。</w:t>
      </w:r>
    </w:p>
    <w:p>
      <w:pPr>
        <w:tabs>
          <w:tab w:val="center" w:pos="4475"/>
        </w:tabs>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十一、政府购买服务预算情况说明</w:t>
      </w:r>
    </w:p>
    <w:p>
      <w:pPr>
        <w:spacing w:line="600" w:lineRule="exact"/>
        <w:ind w:firstLine="640" w:firstLineChars="200"/>
        <w:rPr>
          <w:rFonts w:eastAsia="仿宋_GB2312"/>
          <w:sz w:val="32"/>
          <w:szCs w:val="32"/>
        </w:rPr>
      </w:pPr>
      <w:r>
        <w:rPr>
          <w:rFonts w:hint="eastAsia" w:eastAsia="仿宋_GB2312"/>
          <w:sz w:val="32"/>
          <w:szCs w:val="32"/>
        </w:rPr>
        <w:t>2021年纳入政府购买服务预算支出282万元，全部是通过一般公共预算安排购买服务支出预算，主要用于CA电子签章和时间戳服务，不动产权籍复核服务项目，基础数据建设.宗地图及分层分户图配图项目，继承公证服务，群众EMS邮寄证书证明项目，人脸核身AI智能对比服务。</w:t>
      </w:r>
    </w:p>
    <w:p>
      <w:pPr>
        <w:pStyle w:val="4"/>
        <w:spacing w:before="0" w:beforeAutospacing="0" w:after="0" w:afterAutospacing="0" w:line="600" w:lineRule="exact"/>
        <w:ind w:firstLine="480" w:firstLineChars="150"/>
        <w:jc w:val="both"/>
        <w:rPr>
          <w:rFonts w:ascii="黑体" w:hAnsi="黑体" w:eastAsia="黑体" w:cs="黑体"/>
          <w:bCs/>
          <w:sz w:val="32"/>
          <w:szCs w:val="32"/>
        </w:rPr>
      </w:pPr>
      <w:r>
        <w:rPr>
          <w:rFonts w:hint="eastAsia" w:ascii="黑体" w:hAnsi="黑体" w:eastAsia="黑体" w:cs="黑体"/>
          <w:bCs/>
          <w:sz w:val="32"/>
          <w:szCs w:val="32"/>
        </w:rPr>
        <w:t>十二、2021年单位预算其他</w:t>
      </w:r>
      <w:r>
        <w:rPr>
          <w:rFonts w:hint="eastAsia" w:ascii="黑体" w:hAnsi="黑体" w:eastAsia="黑体" w:cs="黑体"/>
          <w:bCs/>
          <w:strike/>
          <w:sz w:val="32"/>
          <w:szCs w:val="32"/>
        </w:rPr>
        <w:t>重要</w:t>
      </w:r>
      <w:r>
        <w:rPr>
          <w:rFonts w:hint="eastAsia" w:ascii="黑体" w:hAnsi="黑体" w:eastAsia="黑体" w:cs="黑体"/>
          <w:bCs/>
          <w:sz w:val="32"/>
          <w:szCs w:val="32"/>
        </w:rPr>
        <w:t>事项情况说明</w:t>
      </w:r>
    </w:p>
    <w:p>
      <w:pPr>
        <w:tabs>
          <w:tab w:val="center" w:pos="4475"/>
        </w:tabs>
        <w:spacing w:line="600" w:lineRule="exact"/>
        <w:ind w:firstLine="645"/>
        <w:rPr>
          <w:rFonts w:ascii="仿宋_GB2312" w:hAnsi="华文仿宋" w:eastAsia="仿宋_GB2312"/>
          <w:sz w:val="32"/>
          <w:szCs w:val="32"/>
        </w:rPr>
      </w:pPr>
      <w:r>
        <w:rPr>
          <w:rFonts w:hint="eastAsia" w:ascii="楷体_GB2312" w:hAnsi="华文仿宋" w:eastAsia="楷体_GB2312"/>
          <w:b/>
          <w:sz w:val="32"/>
          <w:szCs w:val="32"/>
        </w:rPr>
        <w:t>（一）事业运行经费安排情况说明</w:t>
      </w:r>
    </w:p>
    <w:p>
      <w:pPr>
        <w:pStyle w:val="4"/>
        <w:spacing w:before="0" w:beforeAutospacing="0" w:after="0" w:afterAutospacing="0" w:line="600" w:lineRule="exact"/>
        <w:ind w:firstLine="480" w:firstLineChars="150"/>
        <w:jc w:val="both"/>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2021年事业运行预算882.83万元，同比增加57.88万元，同比增长7%，主要用于人员工资及保障机构正常运转、完成日常工作任务的公用经费支出。</w:t>
      </w:r>
    </w:p>
    <w:p>
      <w:pPr>
        <w:pStyle w:val="4"/>
        <w:spacing w:before="0" w:beforeAutospacing="0" w:after="0" w:afterAutospacing="0" w:line="600" w:lineRule="exact"/>
        <w:ind w:firstLine="482" w:firstLineChars="150"/>
        <w:jc w:val="both"/>
        <w:rPr>
          <w:rFonts w:ascii="楷体_GB2312" w:hAnsi="华文仿宋" w:eastAsia="楷体_GB2312"/>
          <w:b/>
          <w:sz w:val="32"/>
          <w:szCs w:val="32"/>
        </w:rPr>
      </w:pPr>
      <w:r>
        <w:rPr>
          <w:rFonts w:hint="eastAsia" w:ascii="楷体_GB2312" w:hAnsi="华文仿宋" w:eastAsia="楷体_GB2312"/>
          <w:b/>
          <w:sz w:val="32"/>
          <w:szCs w:val="32"/>
        </w:rPr>
        <w:t>（二）国有资产占用情况说明</w:t>
      </w:r>
    </w:p>
    <w:p>
      <w:pPr>
        <w:spacing w:line="600" w:lineRule="exact"/>
        <w:ind w:firstLine="640" w:firstLineChars="200"/>
        <w:rPr>
          <w:rFonts w:eastAsia="仿宋_GB2312"/>
          <w:sz w:val="32"/>
          <w:szCs w:val="32"/>
        </w:rPr>
      </w:pPr>
      <w:r>
        <w:rPr>
          <w:rFonts w:hint="eastAsia" w:eastAsia="仿宋_GB2312"/>
          <w:sz w:val="32"/>
          <w:szCs w:val="32"/>
        </w:rPr>
        <w:t>2021年本单位实有在编车辆5辆，车辆为本单位所有，全部是公务用车。</w:t>
      </w:r>
    </w:p>
    <w:p>
      <w:pPr>
        <w:tabs>
          <w:tab w:val="center" w:pos="4475"/>
        </w:tabs>
        <w:spacing w:line="600" w:lineRule="exact"/>
        <w:ind w:firstLine="645"/>
        <w:rPr>
          <w:rFonts w:ascii="楷体_GB2312" w:hAnsi="华文仿宋" w:eastAsia="楷体_GB2312"/>
          <w:b/>
          <w:sz w:val="32"/>
          <w:szCs w:val="32"/>
        </w:rPr>
      </w:pPr>
      <w:r>
        <w:rPr>
          <w:rFonts w:hint="eastAsia" w:ascii="楷体_GB2312" w:hAnsi="华文仿宋" w:eastAsia="楷体_GB2312"/>
          <w:b/>
          <w:sz w:val="32"/>
          <w:szCs w:val="32"/>
        </w:rPr>
        <w:t>（三）200万元以上项目预算绩效情况说明</w:t>
      </w:r>
    </w:p>
    <w:p>
      <w:pPr>
        <w:spacing w:line="600" w:lineRule="exact"/>
        <w:ind w:firstLine="640" w:firstLineChars="200"/>
        <w:rPr>
          <w:rFonts w:eastAsia="仿宋_GB2312"/>
          <w:sz w:val="32"/>
          <w:szCs w:val="32"/>
        </w:rPr>
      </w:pPr>
      <w:r>
        <w:rPr>
          <w:rFonts w:hint="eastAsia" w:eastAsia="仿宋_GB2312"/>
          <w:sz w:val="32"/>
          <w:szCs w:val="32"/>
        </w:rPr>
        <w:t>柳州市不动产登记中心2021年单位预算有3个200万元以上的项目列入绩效考核范围，涉及一般公共预算拨款支出1300.15万元。其中：本级有3个绩效考核项目，分别是：1.聘用人员经费，预算金额784.07万元，随着不动产登记业务工作量的不断增长，我中心在编人员已不能满足业务需要，为此我单位2021年有聘用人员132人，其所需人员经费根据柳编办通〔2018〕42号文件规定计算由财政部门核拨的事业单位聘用人员的费用是784.07万元。2.成本性支出，预算金额235万元主要为办证业务所需的业务表格的印刷、各类纸张、打印耗材、报刊书籍、法务</w:t>
      </w:r>
      <w:r>
        <w:rPr>
          <w:rFonts w:hint="eastAsia" w:ascii="仿宋_GB2312" w:eastAsia="仿宋_GB2312"/>
          <w:b/>
          <w:sz w:val="28"/>
          <w:szCs w:val="28"/>
        </w:rPr>
        <w:t>、</w:t>
      </w:r>
      <w:r>
        <w:rPr>
          <w:rFonts w:hint="eastAsia" w:eastAsia="仿宋_GB2312"/>
          <w:sz w:val="32"/>
          <w:szCs w:val="32"/>
        </w:rPr>
        <w:t>职工工作服等费用开支。3.登记业务大厅运行费281.08万元，我中心为柳州市政务服务中心房产交易和不动产登记分中心，办理不动产登记工作，办公场所大，办事人员多，各类设施的使用及维护所消耗的费用巨大，须保障我中心不动产登记服务大厅所需的设施维护及管理，保证不动产登记各项工作的正常运行。</w:t>
      </w:r>
    </w:p>
    <w:p>
      <w:pPr>
        <w:pStyle w:val="4"/>
        <w:spacing w:before="0" w:beforeAutospacing="0" w:after="0" w:afterAutospacing="0" w:line="600" w:lineRule="exact"/>
        <w:jc w:val="center"/>
        <w:rPr>
          <w:rFonts w:ascii="仿宋_GB2312" w:hAnsi="华文仿宋" w:eastAsia="仿宋_GB2312"/>
          <w:b/>
          <w:bCs/>
          <w:sz w:val="32"/>
          <w:szCs w:val="32"/>
        </w:rPr>
      </w:pPr>
    </w:p>
    <w:p>
      <w:pPr>
        <w:adjustRightInd w:val="0"/>
        <w:snapToGrid w:val="0"/>
        <w:spacing w:line="600" w:lineRule="exact"/>
        <w:ind w:right="-218" w:rightChars="-104"/>
        <w:jc w:val="center"/>
        <w:rPr>
          <w:rStyle w:val="7"/>
          <w:rFonts w:ascii="方正小标宋简体" w:hAnsi="华文仿宋" w:eastAsia="方正小标宋简体"/>
          <w:b w:val="0"/>
          <w:sz w:val="32"/>
          <w:szCs w:val="32"/>
        </w:rPr>
      </w:pPr>
      <w:r>
        <w:rPr>
          <w:rStyle w:val="7"/>
          <w:rFonts w:hint="eastAsia" w:ascii="方正小标宋简体" w:hAnsi="华文仿宋" w:eastAsia="方正小标宋简体"/>
          <w:b w:val="0"/>
          <w:sz w:val="32"/>
          <w:szCs w:val="32"/>
        </w:rPr>
        <w:t>第四部分：名词解释</w:t>
      </w:r>
    </w:p>
    <w:p>
      <w:pPr>
        <w:spacing w:line="600" w:lineRule="exact"/>
        <w:rPr>
          <w:rFonts w:ascii="仿宋_GB2312" w:hAnsi="华文仿宋" w:eastAsia="仿宋_GB2312"/>
          <w:b/>
          <w:bCs/>
          <w:sz w:val="32"/>
          <w:szCs w:val="32"/>
        </w:rPr>
      </w:pPr>
    </w:p>
    <w:p>
      <w:pPr>
        <w:spacing w:line="600" w:lineRule="exact"/>
        <w:ind w:firstLine="640" w:firstLineChars="200"/>
        <w:rPr>
          <w:rFonts w:ascii="仿宋_GB2312" w:hAnsi="华文仿宋" w:eastAsia="仿宋_GB2312" w:cs="宋体"/>
          <w:bCs/>
          <w:kern w:val="0"/>
          <w:sz w:val="32"/>
          <w:szCs w:val="32"/>
        </w:rPr>
      </w:pPr>
      <w:r>
        <w:rPr>
          <w:rFonts w:hint="eastAsia" w:ascii="黑体" w:hAnsi="黑体" w:eastAsia="黑体" w:cs="黑体"/>
          <w:bCs/>
          <w:kern w:val="0"/>
          <w:sz w:val="32"/>
          <w:szCs w:val="32"/>
        </w:rPr>
        <w:t>一、财政拨款收入</w:t>
      </w:r>
      <w:r>
        <w:rPr>
          <w:rFonts w:hint="eastAsia" w:ascii="黑体" w:hAnsi="黑体" w:eastAsia="黑体" w:cs="宋体"/>
          <w:bCs/>
          <w:kern w:val="0"/>
          <w:sz w:val="32"/>
          <w:szCs w:val="32"/>
        </w:rPr>
        <w:t>：</w:t>
      </w:r>
      <w:r>
        <w:rPr>
          <w:rFonts w:hint="eastAsia" w:eastAsia="仿宋_GB2312"/>
          <w:sz w:val="32"/>
          <w:szCs w:val="32"/>
        </w:rPr>
        <w:t>指市本级财政部门当年拨付的资金。</w:t>
      </w:r>
      <w:r>
        <w:rPr>
          <w:rFonts w:hint="eastAsia" w:ascii="仿宋_GB2312" w:hAnsi="华文仿宋" w:eastAsia="仿宋_GB2312" w:cs="宋体"/>
          <w:bCs/>
          <w:kern w:val="0"/>
          <w:sz w:val="32"/>
          <w:szCs w:val="32"/>
        </w:rPr>
        <w:t xml:space="preserve"> </w:t>
      </w:r>
    </w:p>
    <w:p>
      <w:pPr>
        <w:spacing w:line="600" w:lineRule="exact"/>
        <w:ind w:firstLine="640" w:firstLineChars="200"/>
        <w:rPr>
          <w:rFonts w:ascii="仿宋_GB2312" w:hAnsi="华文仿宋" w:eastAsia="仿宋_GB2312" w:cs="宋体"/>
          <w:bCs/>
          <w:kern w:val="0"/>
          <w:sz w:val="32"/>
          <w:szCs w:val="32"/>
        </w:rPr>
      </w:pPr>
      <w:r>
        <w:rPr>
          <w:rFonts w:hint="eastAsia" w:ascii="黑体" w:hAnsi="黑体" w:eastAsia="黑体" w:cs="黑体"/>
          <w:bCs/>
          <w:kern w:val="0"/>
          <w:sz w:val="32"/>
          <w:szCs w:val="32"/>
        </w:rPr>
        <w:t>二、事业收入：</w:t>
      </w:r>
      <w:r>
        <w:rPr>
          <w:rFonts w:hint="eastAsia" w:eastAsia="仿宋_GB2312"/>
          <w:sz w:val="32"/>
          <w:szCs w:val="32"/>
        </w:rPr>
        <w:t>指事业单位开展专业业务活动及辅助活动所得的收入。</w:t>
      </w:r>
    </w:p>
    <w:p>
      <w:pPr>
        <w:spacing w:line="600" w:lineRule="exact"/>
        <w:ind w:firstLine="640" w:firstLineChars="200"/>
        <w:rPr>
          <w:rFonts w:ascii="仿宋_GB2312" w:hAnsi="华文仿宋" w:eastAsia="仿宋_GB2312" w:cs="宋体"/>
          <w:bCs/>
          <w:kern w:val="0"/>
          <w:sz w:val="32"/>
          <w:szCs w:val="32"/>
        </w:rPr>
      </w:pPr>
      <w:r>
        <w:rPr>
          <w:rFonts w:hint="eastAsia" w:ascii="黑体" w:hAnsi="黑体" w:eastAsia="黑体" w:cs="黑体"/>
          <w:bCs/>
          <w:kern w:val="0"/>
          <w:sz w:val="32"/>
          <w:szCs w:val="32"/>
        </w:rPr>
        <w:t>三、基本支出：</w:t>
      </w:r>
      <w:r>
        <w:rPr>
          <w:rFonts w:hint="eastAsia" w:eastAsia="仿宋_GB2312"/>
          <w:sz w:val="32"/>
          <w:szCs w:val="32"/>
        </w:rPr>
        <w:t>指为保障机构正常运转、完成日常工作任务而发生的人员支出和公用支出。</w:t>
      </w:r>
    </w:p>
    <w:p>
      <w:pPr>
        <w:spacing w:line="600" w:lineRule="exact"/>
        <w:ind w:firstLine="640" w:firstLineChars="200"/>
        <w:rPr>
          <w:rFonts w:ascii="仿宋_GB2312" w:hAnsi="华文仿宋" w:eastAsia="仿宋_GB2312" w:cs="宋体"/>
          <w:bCs/>
          <w:kern w:val="0"/>
          <w:sz w:val="32"/>
          <w:szCs w:val="32"/>
        </w:rPr>
      </w:pPr>
      <w:r>
        <w:rPr>
          <w:rFonts w:hint="eastAsia" w:ascii="黑体" w:hAnsi="黑体" w:eastAsia="黑体" w:cs="黑体"/>
          <w:bCs/>
          <w:kern w:val="0"/>
          <w:sz w:val="32"/>
          <w:szCs w:val="32"/>
        </w:rPr>
        <w:t>四、项目支出：</w:t>
      </w:r>
      <w:r>
        <w:rPr>
          <w:rFonts w:hint="eastAsia" w:eastAsia="仿宋_GB2312"/>
          <w:sz w:val="32"/>
          <w:szCs w:val="32"/>
        </w:rPr>
        <w:t xml:space="preserve">指在基本支出之外为完成特定行政任务和事业发展目标所发生的支出。 </w:t>
      </w:r>
      <w:r>
        <w:rPr>
          <w:rFonts w:hint="eastAsia" w:ascii="仿宋_GB2312" w:hAnsi="华文仿宋" w:eastAsia="仿宋_GB2312" w:cs="宋体"/>
          <w:bCs/>
          <w:kern w:val="0"/>
          <w:sz w:val="32"/>
          <w:szCs w:val="32"/>
        </w:rPr>
        <w:t xml:space="preserve"> </w:t>
      </w:r>
    </w:p>
    <w:p>
      <w:pPr>
        <w:spacing w:line="600" w:lineRule="exact"/>
        <w:ind w:firstLine="640" w:firstLineChars="200"/>
        <w:rPr>
          <w:rFonts w:ascii="仿宋_GB2312" w:hAnsi="华文仿宋" w:eastAsia="仿宋_GB2312" w:cs="宋体"/>
          <w:bCs/>
          <w:kern w:val="0"/>
          <w:sz w:val="32"/>
          <w:szCs w:val="32"/>
        </w:rPr>
      </w:pPr>
      <w:r>
        <w:rPr>
          <w:rFonts w:hint="eastAsia" w:ascii="黑体" w:hAnsi="黑体" w:eastAsia="黑体" w:cs="黑体"/>
          <w:bCs/>
          <w:kern w:val="0"/>
          <w:sz w:val="32"/>
          <w:szCs w:val="32"/>
        </w:rPr>
        <w:t>五、“三公”经费：</w:t>
      </w:r>
      <w:r>
        <w:rPr>
          <w:rFonts w:hint="eastAsia" w:eastAsia="仿宋_GB2312"/>
          <w:sz w:val="32"/>
          <w:szCs w:val="32"/>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pPr>
      <w:r>
        <w:rPr>
          <w:rFonts w:hint="eastAsia"/>
        </w:rPr>
        <w:t xml:space="preserve"> </w:t>
      </w:r>
    </w:p>
    <w:sectPr>
      <w:footerReference r:id="rId3" w:type="default"/>
      <w:footerReference r:id="rId4" w:type="even"/>
      <w:pgSz w:w="11906" w:h="16838"/>
      <w:pgMar w:top="2155" w:right="1418"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separate"/>
    </w:r>
    <w:r>
      <w:rPr>
        <w:rStyle w:val="8"/>
      </w:rPr>
      <w:t>9</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83FD"/>
    <w:multiLevelType w:val="singleLevel"/>
    <w:tmpl w:val="E8F683FD"/>
    <w:lvl w:ilvl="0" w:tentative="0">
      <w:start w:val="1"/>
      <w:numFmt w:val="chineseCounting"/>
      <w:suff w:val="nothing"/>
      <w:lvlText w:val="（%1）"/>
      <w:lvlJc w:val="left"/>
      <w:rPr>
        <w:rFonts w:hint="eastAsia"/>
      </w:rPr>
    </w:lvl>
  </w:abstractNum>
  <w:abstractNum w:abstractNumId="1">
    <w:nsid w:val="02191F2F"/>
    <w:multiLevelType w:val="multilevel"/>
    <w:tmpl w:val="02191F2F"/>
    <w:lvl w:ilvl="0" w:tentative="0">
      <w:start w:val="1"/>
      <w:numFmt w:val="japaneseCounting"/>
      <w:lvlText w:val="%1、"/>
      <w:lvlJc w:val="left"/>
      <w:pPr>
        <w:ind w:left="2000" w:hanging="720"/>
      </w:pPr>
      <w:rPr>
        <w:rFonts w:hint="default"/>
      </w:rPr>
    </w:lvl>
    <w:lvl w:ilvl="1" w:tentative="0">
      <w:start w:val="1"/>
      <w:numFmt w:val="lowerLetter"/>
      <w:lvlText w:val="%2)"/>
      <w:lvlJc w:val="left"/>
      <w:pPr>
        <w:ind w:left="2120" w:hanging="420"/>
      </w:pPr>
    </w:lvl>
    <w:lvl w:ilvl="2" w:tentative="0">
      <w:start w:val="1"/>
      <w:numFmt w:val="lowerRoman"/>
      <w:lvlText w:val="%3."/>
      <w:lvlJc w:val="right"/>
      <w:pPr>
        <w:ind w:left="2540" w:hanging="420"/>
      </w:pPr>
    </w:lvl>
    <w:lvl w:ilvl="3" w:tentative="0">
      <w:start w:val="1"/>
      <w:numFmt w:val="decimal"/>
      <w:lvlText w:val="%4."/>
      <w:lvlJc w:val="left"/>
      <w:pPr>
        <w:ind w:left="2960" w:hanging="420"/>
      </w:pPr>
    </w:lvl>
    <w:lvl w:ilvl="4" w:tentative="0">
      <w:start w:val="1"/>
      <w:numFmt w:val="lowerLetter"/>
      <w:lvlText w:val="%5)"/>
      <w:lvlJc w:val="left"/>
      <w:pPr>
        <w:ind w:left="3380" w:hanging="420"/>
      </w:pPr>
    </w:lvl>
    <w:lvl w:ilvl="5" w:tentative="0">
      <w:start w:val="1"/>
      <w:numFmt w:val="lowerRoman"/>
      <w:lvlText w:val="%6."/>
      <w:lvlJc w:val="right"/>
      <w:pPr>
        <w:ind w:left="3800" w:hanging="420"/>
      </w:pPr>
    </w:lvl>
    <w:lvl w:ilvl="6" w:tentative="0">
      <w:start w:val="1"/>
      <w:numFmt w:val="decimal"/>
      <w:lvlText w:val="%7."/>
      <w:lvlJc w:val="left"/>
      <w:pPr>
        <w:ind w:left="4220" w:hanging="420"/>
      </w:pPr>
    </w:lvl>
    <w:lvl w:ilvl="7" w:tentative="0">
      <w:start w:val="1"/>
      <w:numFmt w:val="lowerLetter"/>
      <w:lvlText w:val="%8)"/>
      <w:lvlJc w:val="left"/>
      <w:pPr>
        <w:ind w:left="4640" w:hanging="420"/>
      </w:pPr>
    </w:lvl>
    <w:lvl w:ilvl="8" w:tentative="0">
      <w:start w:val="1"/>
      <w:numFmt w:val="lowerRoman"/>
      <w:lvlText w:val="%9."/>
      <w:lvlJc w:val="right"/>
      <w:pPr>
        <w:ind w:left="50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IzNWNhYzUwOTIyNDg3NzlkMWVjMGY4YWE5OGZhZDMifQ=="/>
  </w:docVars>
  <w:rsids>
    <w:rsidRoot w:val="004A6182"/>
    <w:rsid w:val="0000586E"/>
    <w:rsid w:val="0002463A"/>
    <w:rsid w:val="00032CB7"/>
    <w:rsid w:val="00040272"/>
    <w:rsid w:val="0004173F"/>
    <w:rsid w:val="0005130C"/>
    <w:rsid w:val="00055019"/>
    <w:rsid w:val="000769FA"/>
    <w:rsid w:val="00094811"/>
    <w:rsid w:val="000A0A18"/>
    <w:rsid w:val="000C4CF2"/>
    <w:rsid w:val="000C4EB7"/>
    <w:rsid w:val="000E62BE"/>
    <w:rsid w:val="000E6F44"/>
    <w:rsid w:val="000F15C4"/>
    <w:rsid w:val="00105D71"/>
    <w:rsid w:val="00107D6E"/>
    <w:rsid w:val="00124791"/>
    <w:rsid w:val="001309CF"/>
    <w:rsid w:val="00132218"/>
    <w:rsid w:val="00137C9B"/>
    <w:rsid w:val="001408DF"/>
    <w:rsid w:val="00147B9D"/>
    <w:rsid w:val="0015675F"/>
    <w:rsid w:val="00160C82"/>
    <w:rsid w:val="00172D95"/>
    <w:rsid w:val="00172DD5"/>
    <w:rsid w:val="00182449"/>
    <w:rsid w:val="0018369A"/>
    <w:rsid w:val="001877FC"/>
    <w:rsid w:val="001A18A8"/>
    <w:rsid w:val="001B1456"/>
    <w:rsid w:val="001C732E"/>
    <w:rsid w:val="001D5DC5"/>
    <w:rsid w:val="001F2616"/>
    <w:rsid w:val="001F4202"/>
    <w:rsid w:val="001F7C3C"/>
    <w:rsid w:val="00217E0D"/>
    <w:rsid w:val="002A2F75"/>
    <w:rsid w:val="002B7F15"/>
    <w:rsid w:val="002C2FBE"/>
    <w:rsid w:val="002C4A90"/>
    <w:rsid w:val="002E17B0"/>
    <w:rsid w:val="002E3A2B"/>
    <w:rsid w:val="002E4596"/>
    <w:rsid w:val="002F61A8"/>
    <w:rsid w:val="00302D69"/>
    <w:rsid w:val="00303CEC"/>
    <w:rsid w:val="00323072"/>
    <w:rsid w:val="0034346C"/>
    <w:rsid w:val="00345535"/>
    <w:rsid w:val="003521C6"/>
    <w:rsid w:val="0035224E"/>
    <w:rsid w:val="003633E9"/>
    <w:rsid w:val="003670DC"/>
    <w:rsid w:val="00367522"/>
    <w:rsid w:val="003A3F8B"/>
    <w:rsid w:val="003A741A"/>
    <w:rsid w:val="003B4EBD"/>
    <w:rsid w:val="003F0F86"/>
    <w:rsid w:val="00403C38"/>
    <w:rsid w:val="00424461"/>
    <w:rsid w:val="00425899"/>
    <w:rsid w:val="00426E71"/>
    <w:rsid w:val="004425F2"/>
    <w:rsid w:val="0044290E"/>
    <w:rsid w:val="00445EAC"/>
    <w:rsid w:val="00455DF2"/>
    <w:rsid w:val="00457793"/>
    <w:rsid w:val="00457E45"/>
    <w:rsid w:val="00463AAE"/>
    <w:rsid w:val="00471291"/>
    <w:rsid w:val="00476250"/>
    <w:rsid w:val="00476915"/>
    <w:rsid w:val="00476FDE"/>
    <w:rsid w:val="00483393"/>
    <w:rsid w:val="00494B9B"/>
    <w:rsid w:val="00497635"/>
    <w:rsid w:val="004A6182"/>
    <w:rsid w:val="004B0C1A"/>
    <w:rsid w:val="004B21B2"/>
    <w:rsid w:val="004D0B5B"/>
    <w:rsid w:val="004D7906"/>
    <w:rsid w:val="00530324"/>
    <w:rsid w:val="00532207"/>
    <w:rsid w:val="0053645A"/>
    <w:rsid w:val="00537A01"/>
    <w:rsid w:val="0057605B"/>
    <w:rsid w:val="005778EA"/>
    <w:rsid w:val="005865FF"/>
    <w:rsid w:val="005B5AA5"/>
    <w:rsid w:val="005D1882"/>
    <w:rsid w:val="005E59F8"/>
    <w:rsid w:val="005F3A6D"/>
    <w:rsid w:val="005F69F4"/>
    <w:rsid w:val="005F71C7"/>
    <w:rsid w:val="00604DF2"/>
    <w:rsid w:val="006071F7"/>
    <w:rsid w:val="006142D7"/>
    <w:rsid w:val="006329A9"/>
    <w:rsid w:val="0063652E"/>
    <w:rsid w:val="00642801"/>
    <w:rsid w:val="006467DE"/>
    <w:rsid w:val="00647132"/>
    <w:rsid w:val="006517F6"/>
    <w:rsid w:val="00652C6D"/>
    <w:rsid w:val="00672172"/>
    <w:rsid w:val="00680D34"/>
    <w:rsid w:val="006843C4"/>
    <w:rsid w:val="006845F5"/>
    <w:rsid w:val="006864CB"/>
    <w:rsid w:val="00687968"/>
    <w:rsid w:val="006916AD"/>
    <w:rsid w:val="006B5537"/>
    <w:rsid w:val="006C0C3F"/>
    <w:rsid w:val="006C3398"/>
    <w:rsid w:val="006C5E91"/>
    <w:rsid w:val="006C636D"/>
    <w:rsid w:val="006F1E07"/>
    <w:rsid w:val="00701385"/>
    <w:rsid w:val="0070605D"/>
    <w:rsid w:val="007244B9"/>
    <w:rsid w:val="00740DF6"/>
    <w:rsid w:val="00752BA2"/>
    <w:rsid w:val="00754C1A"/>
    <w:rsid w:val="0075624A"/>
    <w:rsid w:val="00773415"/>
    <w:rsid w:val="00773CDA"/>
    <w:rsid w:val="0079429E"/>
    <w:rsid w:val="00794E61"/>
    <w:rsid w:val="007A4167"/>
    <w:rsid w:val="007A4F8C"/>
    <w:rsid w:val="007C0627"/>
    <w:rsid w:val="007D67ED"/>
    <w:rsid w:val="007D682A"/>
    <w:rsid w:val="007F3347"/>
    <w:rsid w:val="007F7D85"/>
    <w:rsid w:val="008168A5"/>
    <w:rsid w:val="008226BA"/>
    <w:rsid w:val="0082478D"/>
    <w:rsid w:val="00825A47"/>
    <w:rsid w:val="00834A04"/>
    <w:rsid w:val="00845581"/>
    <w:rsid w:val="0085035B"/>
    <w:rsid w:val="008531D1"/>
    <w:rsid w:val="0085457E"/>
    <w:rsid w:val="00890B73"/>
    <w:rsid w:val="008C10EC"/>
    <w:rsid w:val="008F23CC"/>
    <w:rsid w:val="00905804"/>
    <w:rsid w:val="00905A35"/>
    <w:rsid w:val="00911417"/>
    <w:rsid w:val="00923B2E"/>
    <w:rsid w:val="00925B81"/>
    <w:rsid w:val="00927A6B"/>
    <w:rsid w:val="0093078F"/>
    <w:rsid w:val="00931218"/>
    <w:rsid w:val="00946A84"/>
    <w:rsid w:val="009537A5"/>
    <w:rsid w:val="0095658E"/>
    <w:rsid w:val="00992091"/>
    <w:rsid w:val="00992892"/>
    <w:rsid w:val="00995D4E"/>
    <w:rsid w:val="00996BB8"/>
    <w:rsid w:val="009A187D"/>
    <w:rsid w:val="009A1A19"/>
    <w:rsid w:val="009B00BD"/>
    <w:rsid w:val="009B199E"/>
    <w:rsid w:val="009B509E"/>
    <w:rsid w:val="009B6FA9"/>
    <w:rsid w:val="009B7A9A"/>
    <w:rsid w:val="009D1839"/>
    <w:rsid w:val="009E7D5C"/>
    <w:rsid w:val="009F2BDA"/>
    <w:rsid w:val="00A01B74"/>
    <w:rsid w:val="00A20518"/>
    <w:rsid w:val="00A364C2"/>
    <w:rsid w:val="00A512B6"/>
    <w:rsid w:val="00A726BC"/>
    <w:rsid w:val="00A831C7"/>
    <w:rsid w:val="00A872C7"/>
    <w:rsid w:val="00AC025A"/>
    <w:rsid w:val="00AC0993"/>
    <w:rsid w:val="00AE36A6"/>
    <w:rsid w:val="00AE3B37"/>
    <w:rsid w:val="00AF58E3"/>
    <w:rsid w:val="00B0313C"/>
    <w:rsid w:val="00B118A4"/>
    <w:rsid w:val="00B24B2B"/>
    <w:rsid w:val="00B3186D"/>
    <w:rsid w:val="00B33BEA"/>
    <w:rsid w:val="00B605A5"/>
    <w:rsid w:val="00B712AC"/>
    <w:rsid w:val="00B80930"/>
    <w:rsid w:val="00B85E1B"/>
    <w:rsid w:val="00B92C1B"/>
    <w:rsid w:val="00B97283"/>
    <w:rsid w:val="00BA3824"/>
    <w:rsid w:val="00BB1FCA"/>
    <w:rsid w:val="00BC02E3"/>
    <w:rsid w:val="00BD3852"/>
    <w:rsid w:val="00C017A5"/>
    <w:rsid w:val="00C03DD1"/>
    <w:rsid w:val="00C049B4"/>
    <w:rsid w:val="00C26D1C"/>
    <w:rsid w:val="00C27353"/>
    <w:rsid w:val="00C27B46"/>
    <w:rsid w:val="00C33FAB"/>
    <w:rsid w:val="00C50EB7"/>
    <w:rsid w:val="00C55A4B"/>
    <w:rsid w:val="00C63D05"/>
    <w:rsid w:val="00C669AD"/>
    <w:rsid w:val="00C86B0A"/>
    <w:rsid w:val="00CA1875"/>
    <w:rsid w:val="00CA43CF"/>
    <w:rsid w:val="00CC1A32"/>
    <w:rsid w:val="00CF1793"/>
    <w:rsid w:val="00CF40CE"/>
    <w:rsid w:val="00CF75F8"/>
    <w:rsid w:val="00D06C0F"/>
    <w:rsid w:val="00D105DC"/>
    <w:rsid w:val="00D10772"/>
    <w:rsid w:val="00D2243E"/>
    <w:rsid w:val="00D34AA1"/>
    <w:rsid w:val="00D35E46"/>
    <w:rsid w:val="00D35E97"/>
    <w:rsid w:val="00D37B7A"/>
    <w:rsid w:val="00D46CFA"/>
    <w:rsid w:val="00D56C9A"/>
    <w:rsid w:val="00D57964"/>
    <w:rsid w:val="00D8293C"/>
    <w:rsid w:val="00D84308"/>
    <w:rsid w:val="00D94BA4"/>
    <w:rsid w:val="00DA012D"/>
    <w:rsid w:val="00DA3727"/>
    <w:rsid w:val="00DA79A5"/>
    <w:rsid w:val="00DB0479"/>
    <w:rsid w:val="00DC0C00"/>
    <w:rsid w:val="00DC2125"/>
    <w:rsid w:val="00DE3614"/>
    <w:rsid w:val="00DE403E"/>
    <w:rsid w:val="00DF1AEC"/>
    <w:rsid w:val="00E018BD"/>
    <w:rsid w:val="00E1507A"/>
    <w:rsid w:val="00E32AC7"/>
    <w:rsid w:val="00E53131"/>
    <w:rsid w:val="00E64ED7"/>
    <w:rsid w:val="00E7574F"/>
    <w:rsid w:val="00EB5D7E"/>
    <w:rsid w:val="00EC3925"/>
    <w:rsid w:val="00EC4087"/>
    <w:rsid w:val="00F204BD"/>
    <w:rsid w:val="00F206E6"/>
    <w:rsid w:val="00F219CA"/>
    <w:rsid w:val="00F567A8"/>
    <w:rsid w:val="00F610AF"/>
    <w:rsid w:val="00F671E2"/>
    <w:rsid w:val="00F90E21"/>
    <w:rsid w:val="00F91CEA"/>
    <w:rsid w:val="00F96E54"/>
    <w:rsid w:val="00F97B2D"/>
    <w:rsid w:val="00FA0FC2"/>
    <w:rsid w:val="00FA2990"/>
    <w:rsid w:val="00FB4070"/>
    <w:rsid w:val="00FE4C19"/>
    <w:rsid w:val="00FE55E2"/>
    <w:rsid w:val="00FE7914"/>
    <w:rsid w:val="4D626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styleId="7">
    <w:name w:val="Strong"/>
    <w:qFormat/>
    <w:uiPriority w:val="0"/>
    <w:rPr>
      <w:b/>
      <w:bCs/>
    </w:rPr>
  </w:style>
  <w:style w:type="character" w:styleId="8">
    <w:name w:val="page number"/>
    <w:basedOn w:val="6"/>
    <w:uiPriority w:val="0"/>
  </w:style>
  <w:style w:type="character" w:customStyle="1" w:styleId="9">
    <w:name w:val="页脚 Char"/>
    <w:basedOn w:val="6"/>
    <w:link w:val="2"/>
    <w:uiPriority w:val="0"/>
    <w:rPr>
      <w:rFonts w:ascii="Times New Roman" w:hAnsi="Times New Roman" w:eastAsia="宋体" w:cs="Times New Roman"/>
      <w:sz w:val="18"/>
      <w:szCs w:val="18"/>
    </w:rPr>
  </w:style>
  <w:style w:type="character" w:customStyle="1" w:styleId="10">
    <w:name w:val="页眉 Char"/>
    <w:basedOn w:val="6"/>
    <w:link w:val="3"/>
    <w:semiHidden/>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4829</Words>
  <Characters>5493</Characters>
  <Lines>40</Lines>
  <Paragraphs>11</Paragraphs>
  <TotalTime>20</TotalTime>
  <ScaleCrop>false</ScaleCrop>
  <LinksUpToDate>false</LinksUpToDate>
  <CharactersWithSpaces>5549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2021-04-26T07:13:00Z</dcterms:created>
  <dc:creator>Administrator</dc:creator>
  <cp:lastModifiedBy>ちひろ</cp:lastModifiedBy>
  <dcterms:modified xsi:type="dcterms:W3CDTF">2023-07-26T01:51:25Z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34BD296C9C314C71A39C6DC6DDE1A7C1_12</vt:lpwstr>
  </property>
</Properties>
</file>