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eastAsia="zh-CN"/>
        </w:rPr>
      </w:pPr>
      <w:r>
        <w:rPr>
          <w:rFonts w:hint="eastAsia" w:ascii="方正小标宋简体" w:hAnsi="华文仿宋" w:eastAsia="方正小标宋简体"/>
          <w:sz w:val="44"/>
          <w:szCs w:val="44"/>
          <w:lang w:val="en-US" w:eastAsia="zh-CN"/>
        </w:rPr>
        <w:t>中国国际贸易促进委员会柳州市支会2021年部</w:t>
      </w:r>
      <w:r>
        <w:rPr>
          <w:rFonts w:hint="eastAsia" w:ascii="方正小标宋简体" w:hAnsi="华文仿宋" w:eastAsia="方正小标宋简体"/>
          <w:sz w:val="44"/>
          <w:szCs w:val="44"/>
        </w:rPr>
        <w:t>门预算</w:t>
      </w:r>
      <w:r>
        <w:rPr>
          <w:rFonts w:hint="eastAsia" w:ascii="方正小标宋简体" w:hAnsi="华文仿宋" w:eastAsia="方正小标宋简体"/>
          <w:sz w:val="44"/>
          <w:szCs w:val="44"/>
          <w:lang w:eastAsia="zh-CN"/>
        </w:rPr>
        <w:t>公开说明</w:t>
      </w:r>
    </w:p>
    <w:p>
      <w:pPr>
        <w:keepNext w:val="0"/>
        <w:keepLines w:val="0"/>
        <w:pageBreakBefore w:val="0"/>
        <w:kinsoku/>
        <w:wordWrap/>
        <w:overflowPunct/>
        <w:topLinePunct w:val="0"/>
        <w:autoSpaceDE/>
        <w:autoSpaceDN/>
        <w:bidi w:val="0"/>
        <w:spacing w:line="560" w:lineRule="exact"/>
        <w:jc w:val="center"/>
        <w:textAlignment w:val="auto"/>
        <w:rPr>
          <w:rStyle w:val="7"/>
          <w:rFonts w:hint="eastAsia" w:ascii="方正小标宋简体" w:hAnsi="华文仿宋" w:eastAsia="方正小标宋简体"/>
          <w:bCs w:val="0"/>
          <w:sz w:val="44"/>
          <w:szCs w:val="44"/>
        </w:rPr>
      </w:pPr>
    </w:p>
    <w:p>
      <w:pPr>
        <w:keepNext w:val="0"/>
        <w:keepLines w:val="0"/>
        <w:pageBreakBefore w:val="0"/>
        <w:kinsoku/>
        <w:wordWrap/>
        <w:overflowPunct/>
        <w:topLinePunct w:val="0"/>
        <w:autoSpaceDE/>
        <w:autoSpaceDN/>
        <w:bidi w:val="0"/>
        <w:spacing w:line="560" w:lineRule="exact"/>
        <w:jc w:val="center"/>
        <w:textAlignment w:val="auto"/>
        <w:rPr>
          <w:rStyle w:val="7"/>
          <w:rFonts w:hint="eastAsia" w:ascii="方正小标宋简体" w:hAnsi="华文仿宋" w:eastAsia="方正小标宋简体"/>
          <w:bCs w:val="0"/>
          <w:sz w:val="44"/>
          <w:szCs w:val="44"/>
        </w:rPr>
      </w:pPr>
      <w:r>
        <w:rPr>
          <w:rStyle w:val="7"/>
          <w:rFonts w:hint="eastAsia" w:ascii="方正小标宋简体" w:hAnsi="华文仿宋" w:eastAsia="方正小标宋简体"/>
          <w:bCs w:val="0"/>
          <w:sz w:val="44"/>
          <w:szCs w:val="44"/>
        </w:rPr>
        <w:t>目 录</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中国国际贸易促进委员会柳州市支会</w:t>
      </w:r>
      <w:r>
        <w:rPr>
          <w:rFonts w:hint="eastAsia" w:ascii="仿宋_GB2312" w:hAnsi="华文仿宋" w:eastAsia="仿宋_GB2312"/>
          <w:b/>
          <w:bCs/>
          <w:color w:val="000000"/>
          <w:sz w:val="32"/>
          <w:szCs w:val="32"/>
        </w:rPr>
        <w:t>概况</w:t>
      </w:r>
    </w:p>
    <w:p>
      <w:pPr>
        <w:pStyle w:val="5"/>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主要职责</w:t>
      </w:r>
    </w:p>
    <w:p>
      <w:pPr>
        <w:pStyle w:val="5"/>
        <w:spacing w:before="0" w:beforeAutospacing="0" w:after="0" w:afterAutospacing="0" w:line="560" w:lineRule="exact"/>
        <w:ind w:firstLine="480" w:firstLineChars="150"/>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bCs/>
          <w:color w:val="000000"/>
          <w:sz w:val="32"/>
          <w:szCs w:val="32"/>
        </w:rPr>
        <w:t>（一）主要职能</w:t>
      </w:r>
    </w:p>
    <w:p>
      <w:pPr>
        <w:pStyle w:val="5"/>
        <w:spacing w:before="0" w:beforeAutospacing="0" w:after="0" w:afterAutospacing="0" w:line="560" w:lineRule="exact"/>
        <w:ind w:firstLine="480" w:firstLineChars="15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w:t>
      </w:r>
      <w:r>
        <w:rPr>
          <w:rFonts w:ascii="仿宋_GB2312" w:hAnsi="华文仿宋" w:eastAsia="仿宋_GB2312"/>
          <w:bCs/>
          <w:color w:val="000000"/>
          <w:sz w:val="32"/>
          <w:szCs w:val="32"/>
        </w:rPr>
        <w:t>主要工作目标</w:t>
      </w:r>
    </w:p>
    <w:p>
      <w:pPr>
        <w:pStyle w:val="5"/>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left="0" w:leftChars="0"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机构设置情况</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leftChars="200"/>
        <w:textAlignment w:val="auto"/>
        <w:rPr>
          <w:rFonts w:hint="eastAsia" w:ascii="仿宋_GB2312" w:hAnsi="华文仿宋" w:eastAsia="仿宋_GB2312"/>
          <w:bCs/>
          <w:color w:val="000000"/>
          <w:sz w:val="32"/>
          <w:szCs w:val="32"/>
        </w:rPr>
      </w:pP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中国国际贸易促进委员会柳州市支会</w:t>
      </w:r>
      <w:r>
        <w:rPr>
          <w:rFonts w:hint="eastAsia" w:ascii="仿宋_GB2312" w:hAnsi="华文仿宋" w:eastAsia="仿宋_GB2312"/>
          <w:b/>
          <w:bCs/>
          <w:color w:val="000000"/>
          <w:sz w:val="32"/>
          <w:szCs w:val="32"/>
          <w:lang w:eastAsia="zh-CN"/>
        </w:rPr>
        <w:t>202</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rPr>
        <w:t>年部门预算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、部门收支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、部门收入总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、部门支出总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w:t>
      </w:r>
      <w:r>
        <w:rPr>
          <w:rFonts w:hint="eastAsia" w:ascii="仿宋_GB2312" w:hAnsi="华文仿宋" w:eastAsia="仿宋_GB2312"/>
          <w:bCs/>
          <w:color w:val="000000"/>
          <w:sz w:val="32"/>
          <w:szCs w:val="32"/>
          <w:lang w:eastAsia="zh-CN"/>
        </w:rPr>
        <w:t>情况</w:t>
      </w:r>
      <w:r>
        <w:rPr>
          <w:rFonts w:hint="eastAsia" w:ascii="仿宋_GB2312" w:hAnsi="华文仿宋" w:eastAsia="仿宋_GB2312"/>
          <w:bCs/>
          <w:color w:val="000000"/>
          <w:sz w:val="32"/>
          <w:szCs w:val="32"/>
        </w:rPr>
        <w:t>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十一、政府购买服务预算表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11表）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ascii="仿宋_GB2312" w:hAnsi="华文仿宋" w:eastAsia="仿宋_GB2312"/>
          <w:b/>
          <w:bCs/>
          <w:color w:val="000000"/>
          <w:sz w:val="32"/>
          <w:szCs w:val="32"/>
          <w:lang w:val="en-US" w:eastAsia="zh-CN"/>
        </w:rPr>
        <w:t>中国国际贸易促进委员会柳州市支会2021年</w:t>
      </w:r>
      <w:r>
        <w:rPr>
          <w:rFonts w:hint="eastAsia" w:ascii="仿宋_GB2312" w:hAnsi="华文仿宋" w:eastAsia="仿宋_GB2312"/>
          <w:b/>
          <w:bCs/>
          <w:color w:val="000000"/>
          <w:sz w:val="32"/>
          <w:szCs w:val="32"/>
        </w:rPr>
        <w:t>部门预算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p>
    <w:p>
      <w:pPr>
        <w:keepNext w:val="0"/>
        <w:keepLines w:val="0"/>
        <w:pageBreakBefore w:val="0"/>
        <w:kinsoku/>
        <w:wordWrap/>
        <w:overflowPunct/>
        <w:topLinePunct w:val="0"/>
        <w:autoSpaceDE/>
        <w:autoSpaceDN/>
        <w:bidi w:val="0"/>
        <w:spacing w:line="560" w:lineRule="exact"/>
        <w:textAlignment w:val="auto"/>
        <w:rPr>
          <w:rStyle w:val="7"/>
          <w:rFonts w:hint="eastAsia" w:ascii="仿宋_GB2312" w:hAnsi="华文仿宋" w:eastAsia="仿宋_GB2312" w:cs="宋体"/>
          <w:color w:val="000000"/>
          <w:kern w:val="0"/>
          <w:sz w:val="32"/>
          <w:szCs w:val="32"/>
        </w:rPr>
      </w:pPr>
    </w:p>
    <w:p>
      <w:pPr>
        <w:pStyle w:val="2"/>
        <w:rPr>
          <w:rStyle w:val="7"/>
          <w:rFonts w:hint="eastAsia" w:ascii="仿宋_GB2312" w:hAnsi="华文仿宋" w:eastAsia="仿宋_GB2312" w:cs="宋体"/>
          <w:color w:val="000000"/>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7"/>
          <w:rFonts w:hint="eastAsia" w:ascii="仿宋_GB2312" w:hAnsi="华文仿宋" w:eastAsia="仿宋_GB2312"/>
          <w:color w:val="000000"/>
          <w:sz w:val="32"/>
          <w:szCs w:val="32"/>
          <w:highlight w:val="none"/>
        </w:rPr>
      </w:pPr>
      <w:r>
        <w:rPr>
          <w:rStyle w:val="7"/>
          <w:rFonts w:hint="eastAsia" w:ascii="仿宋_GB2312" w:hAnsi="华文仿宋" w:eastAsia="仿宋_GB2312"/>
          <w:color w:val="000000"/>
          <w:sz w:val="32"/>
          <w:szCs w:val="32"/>
          <w:highlight w:val="none"/>
        </w:rPr>
        <w:t>第一部分：</w:t>
      </w:r>
      <w:r>
        <w:rPr>
          <w:rStyle w:val="7"/>
          <w:rFonts w:hint="eastAsia" w:ascii="仿宋_GB2312" w:hAnsi="华文仿宋" w:eastAsia="仿宋_GB2312"/>
          <w:color w:val="000000"/>
          <w:sz w:val="32"/>
          <w:szCs w:val="32"/>
          <w:highlight w:val="none"/>
          <w:lang w:val="en-US" w:eastAsia="zh-CN"/>
        </w:rPr>
        <w:t>中国国际贸易促进委员会柳州市支会</w:t>
      </w:r>
      <w:r>
        <w:rPr>
          <w:rStyle w:val="7"/>
          <w:rFonts w:hint="eastAsia" w:ascii="仿宋_GB2312" w:hAnsi="华文仿宋" w:eastAsia="仿宋_GB2312"/>
          <w:color w:val="000000"/>
          <w:sz w:val="32"/>
          <w:szCs w:val="32"/>
          <w:highlight w:val="none"/>
        </w:rPr>
        <w:t>概况</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开展与各国和地区经济贸易界、商协会等经济贸易团体、有关国际组织以及他们在我市设立的代表机构的联络工作。向有关国家和地区派遣代表或设立联络处，积极发挥民间经济外交作用。负责与各国和地区对口组织在华设立的代表机构和商社的联络与交流，组织参加和举办或与国（境）外相应机构联合举办有关国际经济贸易、技术合作和法律方面的国际会议。</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（二）邀请和接待各国和地区经贸界人士和代表团来访，组织市经贸代表团出访，负责开展多种形式的招商引资和对外投资的促进活动。</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促进我市与香港、澳门特别行政区和台湾地区的经贸交往，为我市与香港、澳门特别行政区和台湾地区工商界之间的交流与合作提供服务。在香港、澳门特别行政区和台湾地区举办经济贸易展览会或博览会，协调和组织其对口组织、机构与企业在我市举办经济贸易展览会或博览会。</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负责协调管理和归口报批全市出国举办经济贸易展览会和参加国际博览会，负责全市参加国际博览会和世界博览会相关事宜的组织、协调、监督、管理及报批、实施工作。协调管理和安排接待国（境）外经济贸易机构、工商组织和企业来柳举办综合或专业性经济贸易、样品样本展览会、博览会、展示会和技术交流会。</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（五）组织企业和团体在国内外举办或参加经济贸易展览会和国际博览会，对出国经贸展览工作进行行业协调和市场规范管理，对组展单位提供信息咨询、业务培训等服务。</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六）为会员企业和其他企业提供商务培训等服务，负责国内外经济贸易情况调查研究和信息搜集、整理、传递和发布工作，向政府有关部门反映企业界有关情况和意见，向国内外企业和机构提供经济技术、贸易合作等方面的信息和咨询服务，开展中外经济技术合作项目的评估和可行性研究的服务工作，编辑发行经济贸易信息刊物。</w:t>
      </w:r>
    </w:p>
    <w:p>
      <w:pPr>
        <w:spacing w:line="520" w:lineRule="exact"/>
        <w:ind w:firstLine="640" w:firstLineChars="200"/>
        <w:rPr>
          <w:rFonts w:ascii="仿宋_GB2312" w:hAnsi="仿宋" w:eastAsia="仿宋_GB2312"/>
          <w:sz w:val="32"/>
          <w:szCs w:val="32"/>
        </w:rPr>
      </w:pPr>
      <w:bookmarkStart w:id="0" w:name="OLE_LINK2"/>
      <w:bookmarkStart w:id="1" w:name="OLE_LINK1"/>
      <w:bookmarkStart w:id="2" w:name="OLE_LINK4"/>
      <w:bookmarkStart w:id="3" w:name="OLE_LINK3"/>
      <w:r>
        <w:rPr>
          <w:rFonts w:hint="eastAsia" w:ascii="仿宋_GB2312" w:hAnsi="仿宋" w:eastAsia="仿宋_GB2312" w:cs="仿宋_GB2312"/>
          <w:sz w:val="32"/>
          <w:szCs w:val="32"/>
        </w:rPr>
        <w:t>（七）承办国际国内经济贸易仲裁的法律咨询、调解和代理仲裁、诉讼等法律事务。签发有关商事认证文件。</w:t>
      </w:r>
    </w:p>
    <w:bookmarkEnd w:id="0"/>
    <w:bookmarkEnd w:id="1"/>
    <w:bookmarkEnd w:id="2"/>
    <w:bookmarkEnd w:id="3"/>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八）代理外国企业、个人在中国和中国企业、个人在国外专利申请和商标注册，代理知识产权的诉讼和非诉讼业务，提供知识产权的法律咨询、办理海关备案、版权、计算机软件登记和知识产权领域内的其他技术贸易等业务。</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（九）根据授权，主管、协调对外经济贸易投资促进领域有关商协会工作。负责全市贸促会系统的组织建设和业务工作。指导协调县区、行业贸促机构和国际商会的工作。设立并管理与贸促业务相关的企业。</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val="en-US" w:eastAsia="zh-CN"/>
        </w:rPr>
        <w:t>中国国际贸易促进委员会柳州市支会</w:t>
      </w:r>
      <w:r>
        <w:rPr>
          <w:rFonts w:hint="eastAsia" w:ascii="仿宋_GB2312" w:hAnsi="华文仿宋" w:eastAsia="仿宋_GB2312"/>
          <w:color w:val="000000"/>
          <w:sz w:val="32"/>
          <w:szCs w:val="32"/>
          <w:lang w:eastAsia="zh-CN"/>
        </w:rPr>
        <w:t>共有直属单位</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lang w:eastAsia="zh-CN"/>
        </w:rPr>
        <w:t>个。其中：</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（一）参照公务员管理事业单位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个，是中国国际贸易促进委员会柳州市支会。</w:t>
      </w:r>
    </w:p>
    <w:p>
      <w:pPr>
        <w:keepNext w:val="0"/>
        <w:keepLines w:val="0"/>
        <w:pageBreakBefore w:val="0"/>
        <w:kinsoku/>
        <w:wordWrap/>
        <w:overflowPunct/>
        <w:topLinePunct w:val="0"/>
        <w:autoSpaceDE/>
        <w:autoSpaceDN/>
        <w:bidi w:val="0"/>
        <w:spacing w:beforeAutospacing="0" w:afterAutospacing="0" w:line="560" w:lineRule="exact"/>
        <w:ind w:left="17" w:leftChars="8" w:firstLine="620" w:firstLineChars="193"/>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（二）全额拨款事业单位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个，是柳州市外贸商事服务中心。</w:t>
      </w:r>
    </w:p>
    <w:p>
      <w:pPr>
        <w:pStyle w:val="5"/>
        <w:spacing w:before="0" w:beforeAutospacing="0" w:after="0" w:afterAutospacing="0" w:line="560" w:lineRule="exact"/>
        <w:ind w:firstLine="640" w:firstLineChars="200"/>
        <w:jc w:val="left"/>
        <w:rPr>
          <w:rFonts w:hint="eastAsia" w:ascii="仿宋_GB2312" w:hAnsi="华文仿宋" w:eastAsia="仿宋_GB2312"/>
          <w:sz w:val="32"/>
          <w:szCs w:val="32"/>
          <w:highlight w:val="cyan"/>
        </w:rPr>
      </w:pPr>
      <w:r>
        <w:rPr>
          <w:rFonts w:hint="eastAsia" w:ascii="仿宋_GB2312" w:hAnsi="华文仿宋" w:eastAsia="仿宋_GB2312" w:cs="Times New Roman"/>
          <w:color w:val="000000"/>
          <w:kern w:val="2"/>
          <w:sz w:val="32"/>
          <w:szCs w:val="32"/>
          <w:lang w:val="en-US" w:eastAsia="zh-CN" w:bidi="ar-SA"/>
        </w:rPr>
        <w:t>根据《中共柳州市委办公室关于印发&lt;中国国际贸易促进委员会柳州市支会机关职能配置、内设机构和人员编制规定&gt;的通知》，机关内设2个科室，分别为：1、办公室，综合协调和管理机关日常事务。2、综合业务部，负责与有关国际组织、区域性组织和各国商协会联系并开展交流与合作。</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p>
    <w:p>
      <w:pPr>
        <w:pStyle w:val="5"/>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cs="宋体"/>
          <w:b/>
          <w:bCs/>
          <w:color w:val="000000"/>
          <w:sz w:val="32"/>
          <w:szCs w:val="32"/>
          <w:lang w:val="en-US" w:eastAsia="zh-CN"/>
        </w:rPr>
        <w:t>中国国际贸易促进委员会柳州市支会</w:t>
      </w:r>
      <w:r>
        <w:rPr>
          <w:rFonts w:hint="eastAsia" w:ascii="仿宋_GB2312" w:hAnsi="华文仿宋" w:eastAsia="仿宋_GB2312" w:cs="宋体"/>
          <w:b/>
          <w:bCs/>
          <w:color w:val="000000"/>
          <w:sz w:val="32"/>
          <w:szCs w:val="32"/>
          <w:lang w:eastAsia="zh-CN"/>
        </w:rPr>
        <w:t>20</w:t>
      </w:r>
      <w:r>
        <w:rPr>
          <w:rFonts w:hint="eastAsia" w:ascii="仿宋_GB2312" w:hAnsi="华文仿宋" w:eastAsia="仿宋_GB2312"/>
          <w:b/>
          <w:bCs/>
          <w:color w:val="000000"/>
          <w:sz w:val="32"/>
          <w:szCs w:val="32"/>
          <w:lang w:eastAsia="zh-CN"/>
        </w:rPr>
        <w:t>2</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rPr>
        <w:t>年部门预算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、部门收支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、部门收入总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、部门支出总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w:t>
      </w:r>
      <w:r>
        <w:rPr>
          <w:rFonts w:hint="eastAsia" w:ascii="仿宋_GB2312" w:hAnsi="华文仿宋" w:eastAsia="仿宋_GB2312"/>
          <w:bCs/>
          <w:color w:val="000000"/>
          <w:sz w:val="32"/>
          <w:szCs w:val="32"/>
          <w:lang w:eastAsia="zh-CN"/>
        </w:rPr>
        <w:t>情况</w:t>
      </w:r>
      <w:r>
        <w:rPr>
          <w:rFonts w:hint="eastAsia" w:ascii="仿宋_GB2312" w:hAnsi="华文仿宋" w:eastAsia="仿宋_GB2312"/>
          <w:bCs/>
          <w:color w:val="000000"/>
          <w:sz w:val="32"/>
          <w:szCs w:val="32"/>
        </w:rPr>
        <w:t>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十一、政府购买服务预算表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sz w:val="32"/>
          <w:szCs w:val="32"/>
          <w:highlight w:val="cyan"/>
        </w:rPr>
      </w:pPr>
      <w:r>
        <w:rPr>
          <w:rFonts w:hint="eastAsia" w:ascii="仿宋_GB2312" w:hAnsi="华文仿宋" w:eastAsia="仿宋_GB2312"/>
          <w:b/>
          <w:bCs/>
          <w:sz w:val="32"/>
          <w:szCs w:val="32"/>
          <w:highlight w:val="none"/>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center"/>
        <w:textAlignment w:val="auto"/>
        <w:outlineLvl w:val="9"/>
        <w:rPr>
          <w:rFonts w:hint="eastAsia" w:ascii="仿宋_GB2312" w:hAnsi="华文仿宋" w:eastAsia="仿宋_GB2312"/>
          <w:sz w:val="32"/>
          <w:szCs w:val="32"/>
          <w:highlight w:val="cyan"/>
        </w:rPr>
      </w:pPr>
    </w:p>
    <w:p>
      <w:pPr>
        <w:pStyle w:val="2"/>
        <w:rPr>
          <w:rFonts w:hint="eastAsia" w:ascii="仿宋_GB2312" w:hAnsi="华文仿宋" w:eastAsia="仿宋_GB2312"/>
          <w:sz w:val="32"/>
          <w:szCs w:val="32"/>
          <w:highlight w:val="cyan"/>
        </w:rPr>
      </w:pPr>
    </w:p>
    <w:p>
      <w:pPr>
        <w:pStyle w:val="2"/>
        <w:rPr>
          <w:rFonts w:hint="eastAsia" w:ascii="仿宋_GB2312" w:hAnsi="华文仿宋" w:eastAsia="仿宋_GB2312"/>
          <w:sz w:val="32"/>
          <w:szCs w:val="32"/>
          <w:highlight w:val="cyan"/>
        </w:rPr>
      </w:pPr>
    </w:p>
    <w:p>
      <w:pPr>
        <w:pStyle w:val="2"/>
        <w:rPr>
          <w:rFonts w:hint="eastAsia" w:ascii="仿宋_GB2312" w:hAnsi="华文仿宋" w:eastAsia="仿宋_GB2312"/>
          <w:sz w:val="32"/>
          <w:szCs w:val="32"/>
          <w:highlight w:val="cyan"/>
        </w:rPr>
      </w:pPr>
    </w:p>
    <w:p>
      <w:pPr>
        <w:pStyle w:val="2"/>
        <w:rPr>
          <w:rFonts w:hint="eastAsia" w:ascii="仿宋_GB2312" w:hAnsi="华文仿宋" w:eastAsia="仿宋_GB2312"/>
          <w:sz w:val="32"/>
          <w:szCs w:val="32"/>
          <w:highlight w:val="cyan"/>
        </w:rPr>
      </w:pPr>
    </w:p>
    <w:p>
      <w:pPr>
        <w:pStyle w:val="5"/>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hAnsi="华文仿宋" w:eastAsia="仿宋_GB2312"/>
          <w:b/>
          <w:bCs/>
          <w:color w:val="000000"/>
          <w:sz w:val="32"/>
          <w:szCs w:val="32"/>
        </w:rPr>
      </w:pPr>
    </w:p>
    <w:p>
      <w:pPr>
        <w:pStyle w:val="5"/>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000000"/>
          <w:kern w:val="2"/>
          <w:sz w:val="32"/>
          <w:szCs w:val="32"/>
          <w:highlight w:val="none"/>
          <w:lang w:val="en-US" w:eastAsia="zh-CN" w:bidi="ar-SA"/>
        </w:rPr>
      </w:pPr>
      <w:r>
        <w:rPr>
          <w:rFonts w:hint="eastAsia" w:ascii="仿宋_GB2312" w:hAnsi="华文仿宋" w:eastAsia="仿宋_GB2312" w:cs="Times New Roman"/>
          <w:b/>
          <w:bCs/>
          <w:color w:val="000000"/>
          <w:kern w:val="2"/>
          <w:sz w:val="32"/>
          <w:szCs w:val="32"/>
          <w:highlight w:val="none"/>
          <w:lang w:val="en-US" w:eastAsia="zh-CN" w:bidi="ar-SA"/>
        </w:rPr>
        <w:t>第三部分：</w:t>
      </w:r>
      <w:r>
        <w:rPr>
          <w:rFonts w:hint="eastAsia" w:ascii="仿宋_GB2312" w:hAnsi="华文仿宋" w:eastAsia="仿宋_GB2312" w:cs="宋体"/>
          <w:b/>
          <w:bCs/>
          <w:color w:val="000000"/>
          <w:sz w:val="32"/>
          <w:szCs w:val="32"/>
          <w:highlight w:val="none"/>
          <w:lang w:val="en-US" w:eastAsia="zh-CN"/>
        </w:rPr>
        <w:t>中国国际贸易促进委员会柳州市支会</w:t>
      </w:r>
      <w:r>
        <w:rPr>
          <w:rFonts w:hint="eastAsia" w:ascii="仿宋_GB2312" w:hAnsi="华文仿宋" w:eastAsia="仿宋_GB2312" w:cs="Times New Roman"/>
          <w:b/>
          <w:bCs/>
          <w:color w:val="000000"/>
          <w:kern w:val="2"/>
          <w:sz w:val="32"/>
          <w:szCs w:val="32"/>
          <w:highlight w:val="none"/>
          <w:lang w:val="en-US" w:eastAsia="zh-CN" w:bidi="ar-SA"/>
        </w:rPr>
        <w:t>2021年部门预算情况说明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仿宋_GB2312" w:hAnsi="华文仿宋" w:eastAsia="仿宋_GB2312"/>
          <w:bCs/>
          <w:color w:val="000000"/>
          <w:sz w:val="32"/>
          <w:szCs w:val="32"/>
          <w:lang w:eastAsia="zh-CN"/>
        </w:rPr>
      </w:pPr>
      <w:r>
        <w:rPr>
          <w:rFonts w:hint="eastAsia" w:ascii="黑体" w:hAnsi="黑体" w:eastAsia="黑体" w:cs="黑体"/>
          <w:b/>
          <w:bCs/>
          <w:color w:val="000000"/>
          <w:kern w:val="0"/>
          <w:sz w:val="32"/>
          <w:szCs w:val="32"/>
          <w:lang w:val="en-US" w:eastAsia="zh-CN" w:bidi="ar-SA"/>
        </w:rPr>
        <w:t>一、部门收支预算情况说明</w:t>
      </w:r>
    </w:p>
    <w:p>
      <w:pPr>
        <w:pStyle w:val="5"/>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2021年部门收支总预算270.03万元，收入包括：一般公共预算资金270.03万元;支出包括：一般公共服务支出208.92万元、社会保障和就业支出33.89万元、卫生健康支出11.8万元、住房保障支出15.42万元。</w:t>
      </w:r>
    </w:p>
    <w:p>
      <w:pPr>
        <w:pStyle w:val="5"/>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我会原与商务局合署办公，因机构改革于2020年7月独立，因统计口径不可比，因而不再与上年预算数据进行对比分析。</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二、部门收入预算情况说明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年部门收入总预算</w:t>
      </w:r>
      <w:r>
        <w:rPr>
          <w:rFonts w:hint="eastAsia" w:ascii="仿宋_GB2312" w:hAnsi="华文仿宋" w:eastAsia="仿宋_GB2312"/>
          <w:color w:val="000000"/>
          <w:sz w:val="32"/>
          <w:szCs w:val="32"/>
          <w:lang w:val="en-US" w:eastAsia="zh-CN"/>
        </w:rPr>
        <w:t>270.03</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val="en-US" w:eastAsia="zh-CN"/>
        </w:rPr>
        <w:t>其中：</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（一）</w:t>
      </w:r>
      <w:r>
        <w:rPr>
          <w:rFonts w:hint="eastAsia" w:ascii="仿宋_GB2312" w:hAnsi="华文仿宋" w:eastAsia="仿宋_GB2312"/>
          <w:color w:val="000000"/>
          <w:sz w:val="32"/>
          <w:szCs w:val="32"/>
        </w:rPr>
        <w:t>一般公共</w:t>
      </w:r>
      <w:r>
        <w:rPr>
          <w:rFonts w:hint="eastAsia" w:ascii="仿宋_GB2312" w:hAnsi="华文仿宋" w:eastAsia="仿宋_GB2312"/>
          <w:color w:val="000000"/>
          <w:sz w:val="32"/>
          <w:szCs w:val="32"/>
          <w:lang w:eastAsia="zh-CN"/>
        </w:rPr>
        <w:t>财政预算拨款</w:t>
      </w:r>
      <w:r>
        <w:rPr>
          <w:rFonts w:hint="eastAsia" w:ascii="仿宋_GB2312" w:hAnsi="华文仿宋" w:eastAsia="仿宋_GB2312"/>
          <w:color w:val="000000"/>
          <w:sz w:val="32"/>
          <w:szCs w:val="32"/>
          <w:lang w:val="en-US" w:eastAsia="zh-CN"/>
        </w:rPr>
        <w:t>270.03</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，占收入总预算</w:t>
      </w:r>
      <w:r>
        <w:rPr>
          <w:rFonts w:hint="eastAsia" w:ascii="仿宋_GB2312" w:hAnsi="华文仿宋" w:eastAsia="仿宋_GB2312"/>
          <w:color w:val="000000"/>
          <w:sz w:val="32"/>
          <w:szCs w:val="32"/>
          <w:lang w:val="en-US" w:eastAsia="zh-CN"/>
        </w:rPr>
        <w:t>100%</w:t>
      </w:r>
      <w:r>
        <w:rPr>
          <w:rFonts w:hint="eastAsia" w:ascii="仿宋_GB2312" w:hAnsi="华文仿宋" w:eastAsia="仿宋_GB2312"/>
          <w:color w:val="000000"/>
          <w:sz w:val="32"/>
          <w:szCs w:val="32"/>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三、部门支出预算情况说明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trike/>
          <w:sz w:val="32"/>
          <w:szCs w:val="32"/>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年部门支出总预算</w:t>
      </w:r>
      <w:r>
        <w:rPr>
          <w:rFonts w:hint="eastAsia" w:ascii="仿宋_GB2312" w:hAnsi="华文仿宋" w:eastAsia="仿宋_GB2312"/>
          <w:color w:val="000000"/>
          <w:sz w:val="32"/>
          <w:szCs w:val="32"/>
          <w:lang w:val="en-US" w:eastAsia="zh-CN"/>
        </w:rPr>
        <w:t>270.03</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213.02万元，占支出总预算的78.9%</w:t>
      </w:r>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项目支出预算</w:t>
      </w:r>
      <w:r>
        <w:rPr>
          <w:rFonts w:hint="eastAsia" w:ascii="仿宋_GB2312" w:hAnsi="华文仿宋" w:eastAsia="仿宋_GB2312"/>
          <w:sz w:val="32"/>
          <w:szCs w:val="32"/>
          <w:lang w:val="en-US" w:eastAsia="zh-CN"/>
        </w:rPr>
        <w:t>57.01万元，占支出总预算的</w:t>
      </w:r>
      <w:r>
        <w:rPr>
          <w:rFonts w:hint="eastAsia" w:ascii="仿宋_GB2312" w:hAnsi="仿宋_GB2312" w:eastAsia="仿宋_GB2312"/>
          <w:sz w:val="32"/>
          <w:szCs w:val="32"/>
          <w:u w:val="none"/>
          <w:lang w:val="en-US" w:eastAsia="zh-CN"/>
        </w:rPr>
        <w:t>21.1</w:t>
      </w:r>
      <w:r>
        <w:rPr>
          <w:rFonts w:hint="eastAsia" w:ascii="仿宋_GB2312" w:hAnsi="华文仿宋" w:eastAsia="仿宋_GB2312"/>
          <w:sz w:val="32"/>
          <w:szCs w:val="32"/>
          <w:lang w:val="en-US" w:eastAsia="zh-CN"/>
        </w:rPr>
        <w:t>%</w:t>
      </w:r>
      <w:r>
        <w:rPr>
          <w:rFonts w:hint="eastAsia" w:ascii="仿宋_GB2312" w:hAnsi="华文仿宋" w:eastAsia="仿宋_GB2312"/>
          <w:sz w:val="32"/>
          <w:szCs w:val="32"/>
        </w:rPr>
        <w:t>。</w:t>
      </w:r>
    </w:p>
    <w:p>
      <w:pPr>
        <w:pStyle w:val="5"/>
        <w:keepNext w:val="0"/>
        <w:keepLines w:val="0"/>
        <w:pageBreakBefore w:val="0"/>
        <w:numPr>
          <w:ilvl w:val="0"/>
          <w:numId w:val="2"/>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按支出功能分类科目划分，共分为4类，其中：</w:t>
      </w:r>
    </w:p>
    <w:p>
      <w:pPr>
        <w:keepNext w:val="0"/>
        <w:keepLines w:val="0"/>
        <w:pageBreakBefore w:val="0"/>
        <w:numPr>
          <w:ilvl w:val="0"/>
          <w:numId w:val="3"/>
        </w:numPr>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一般公共服务类科目208.92万元；占支出总预算77.4%。</w:t>
      </w:r>
    </w:p>
    <w:p>
      <w:pPr>
        <w:keepNext w:val="0"/>
        <w:keepLines w:val="0"/>
        <w:pageBreakBefore w:val="0"/>
        <w:numPr>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2.社会保障和就业类科目33.89万元，占支出总预算12.6%。</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3.卫生健康类科目11.80万元，占支出总预算4.3%。</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4.住房保障类科目15.42万元，占支出总预算5.7%。</w:t>
      </w:r>
    </w:p>
    <w:p>
      <w:pPr>
        <w:pStyle w:val="5"/>
        <w:numPr>
          <w:ilvl w:val="0"/>
          <w:numId w:val="2"/>
        </w:numPr>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按支出结构分类划分，分为基本支出预算和项目支出预算。</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cs="Times New Roman"/>
          <w:strike w:val="0"/>
          <w:color w:val="auto"/>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1.基本支出预算</w:t>
      </w:r>
      <w:r>
        <w:rPr>
          <w:rFonts w:ascii="仿宋_GB2312" w:hAnsi="仿宋_GB2312" w:eastAsia="仿宋_GB2312"/>
          <w:color w:val="000000"/>
          <w:sz w:val="32"/>
          <w:szCs w:val="32"/>
          <w:u w:val="none"/>
        </w:rPr>
        <w:t>213.02</w:t>
      </w:r>
      <w:r>
        <w:rPr>
          <w:rFonts w:hint="eastAsia" w:ascii="仿宋_GB2312" w:hAnsi="华文仿宋" w:eastAsia="仿宋_GB2312" w:cs="Times New Roman"/>
          <w:kern w:val="2"/>
          <w:sz w:val="32"/>
          <w:szCs w:val="32"/>
          <w:lang w:val="en-US" w:eastAsia="zh-CN" w:bidi="ar-SA"/>
        </w:rPr>
        <w:t>万元，占一般公共预算拨款支出预算</w:t>
      </w:r>
      <w:r>
        <w:rPr>
          <w:rFonts w:hint="eastAsia" w:ascii="仿宋_GB2312" w:hAnsi="仿宋_GB2312" w:eastAsia="仿宋_GB2312"/>
          <w:sz w:val="32"/>
          <w:szCs w:val="32"/>
          <w:u w:val="none"/>
          <w:lang w:val="en-US" w:eastAsia="zh-CN"/>
        </w:rPr>
        <w:t>78.9</w:t>
      </w:r>
      <w:r>
        <w:rPr>
          <w:rFonts w:hint="eastAsia" w:ascii="仿宋_GB2312" w:hAnsi="华文仿宋" w:eastAsia="仿宋_GB2312" w:cs="Times New Roman"/>
          <w:kern w:val="2"/>
          <w:sz w:val="32"/>
          <w:szCs w:val="32"/>
          <w:lang w:val="en-US" w:eastAsia="zh-CN" w:bidi="ar-SA"/>
        </w:rPr>
        <w:t>%。</w:t>
      </w:r>
    </w:p>
    <w:p>
      <w:pPr>
        <w:pStyle w:val="5"/>
        <w:tabs>
          <w:tab w:val="center" w:pos="4475"/>
        </w:tabs>
        <w:spacing w:before="0" w:beforeAutospacing="0" w:after="0" w:afterAutospacing="0"/>
        <w:ind w:firstLine="640" w:firstLineChars="200"/>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2.项目支出预算</w:t>
      </w:r>
      <w:r>
        <w:rPr>
          <w:rFonts w:ascii="仿宋_GB2312" w:hAnsi="仿宋_GB2312" w:eastAsia="仿宋_GB2312"/>
          <w:color w:val="000000"/>
          <w:sz w:val="32"/>
          <w:szCs w:val="32"/>
          <w:u w:val="none"/>
        </w:rPr>
        <w:t>57.01</w:t>
      </w:r>
      <w:r>
        <w:rPr>
          <w:rFonts w:hint="eastAsia" w:ascii="仿宋_GB2312" w:hAnsi="华文仿宋" w:eastAsia="仿宋_GB2312" w:cs="Times New Roman"/>
          <w:kern w:val="2"/>
          <w:sz w:val="32"/>
          <w:szCs w:val="32"/>
          <w:lang w:val="en-US" w:eastAsia="zh-CN" w:bidi="ar-SA"/>
        </w:rPr>
        <w:t>万元；占支出总预算</w:t>
      </w:r>
      <w:r>
        <w:rPr>
          <w:rFonts w:hint="eastAsia" w:ascii="仿宋_GB2312" w:hAnsi="仿宋_GB2312" w:eastAsia="仿宋_GB2312"/>
          <w:sz w:val="32"/>
          <w:szCs w:val="32"/>
          <w:u w:val="none"/>
          <w:lang w:val="en-US" w:eastAsia="zh-CN"/>
        </w:rPr>
        <w:t>21.1</w:t>
      </w:r>
      <w:r>
        <w:rPr>
          <w:rFonts w:hint="eastAsia" w:ascii="仿宋_GB2312" w:hAnsi="华文仿宋" w:eastAsia="仿宋_GB2312" w:cs="Times New Roman"/>
          <w:kern w:val="2"/>
          <w:sz w:val="32"/>
          <w:szCs w:val="32"/>
          <w:lang w:val="en-US" w:eastAsia="zh-CN" w:bidi="ar-SA"/>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四、财政拨款收支预算情况说明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2021年部门财政拨款收支总预算</w:t>
      </w:r>
      <w:r>
        <w:rPr>
          <w:rFonts w:hint="eastAsia" w:ascii="仿宋_GB2312" w:hAnsi="华文仿宋" w:eastAsia="仿宋_GB2312"/>
          <w:color w:val="000000"/>
          <w:sz w:val="32"/>
          <w:szCs w:val="32"/>
          <w:lang w:val="en-US" w:eastAsia="zh-CN"/>
        </w:rPr>
        <w:t>270.03</w:t>
      </w:r>
      <w:r>
        <w:rPr>
          <w:rFonts w:hint="eastAsia" w:ascii="仿宋_GB2312" w:hAnsi="华文仿宋" w:eastAsia="仿宋_GB2312" w:cs="Times New Roman"/>
          <w:b w:val="0"/>
          <w:bCs w:val="0"/>
          <w:color w:val="auto"/>
          <w:kern w:val="2"/>
          <w:sz w:val="32"/>
          <w:szCs w:val="32"/>
          <w:lang w:val="en-US" w:eastAsia="zh-CN" w:bidi="ar-SA"/>
        </w:rPr>
        <w:t>万元， 收入包括：</w:t>
      </w:r>
      <w:r>
        <w:rPr>
          <w:rFonts w:hint="eastAsia" w:ascii="仿宋_GB2312" w:hAnsi="华文仿宋" w:eastAsia="仿宋_GB2312"/>
          <w:color w:val="000000"/>
          <w:sz w:val="32"/>
          <w:szCs w:val="32"/>
        </w:rPr>
        <w:t>一般公共</w:t>
      </w:r>
      <w:r>
        <w:rPr>
          <w:rFonts w:hint="eastAsia" w:ascii="仿宋_GB2312" w:hAnsi="华文仿宋" w:eastAsia="仿宋_GB2312"/>
          <w:color w:val="000000"/>
          <w:sz w:val="32"/>
          <w:szCs w:val="32"/>
          <w:lang w:eastAsia="zh-CN"/>
        </w:rPr>
        <w:t>财政预算拨款</w:t>
      </w:r>
      <w:r>
        <w:rPr>
          <w:rFonts w:hint="eastAsia" w:ascii="仿宋_GB2312" w:hAnsi="华文仿宋" w:eastAsia="仿宋_GB2312"/>
          <w:color w:val="000000"/>
          <w:sz w:val="32"/>
          <w:szCs w:val="32"/>
          <w:lang w:val="en-US" w:eastAsia="zh-CN"/>
        </w:rPr>
        <w:t>270.03</w:t>
      </w:r>
      <w:r>
        <w:rPr>
          <w:rFonts w:hint="eastAsia" w:ascii="仿宋_GB2312" w:hAnsi="华文仿宋" w:eastAsia="仿宋_GB2312"/>
          <w:color w:val="000000"/>
          <w:sz w:val="32"/>
          <w:szCs w:val="32"/>
        </w:rPr>
        <w:t>万元</w:t>
      </w:r>
      <w:r>
        <w:rPr>
          <w:rFonts w:hint="eastAsia" w:ascii="仿宋_GB2312" w:hAnsi="华文仿宋" w:eastAsia="仿宋_GB2312" w:cs="Times New Roman"/>
          <w:b w:val="0"/>
          <w:bCs w:val="0"/>
          <w:color w:val="auto"/>
          <w:kern w:val="2"/>
          <w:sz w:val="32"/>
          <w:szCs w:val="32"/>
          <w:lang w:val="en-US" w:eastAsia="zh-CN" w:bidi="ar-SA"/>
        </w:rPr>
        <w:t>;支出包括：</w:t>
      </w:r>
      <w:r>
        <w:rPr>
          <w:rFonts w:ascii="仿宋_GB2312" w:hAnsi="仿宋_GB2312" w:eastAsia="仿宋_GB2312"/>
          <w:sz w:val="32"/>
          <w:szCs w:val="32"/>
          <w:u w:val="none"/>
        </w:rPr>
        <w:t>一般公共服务</w:t>
      </w:r>
      <w:r>
        <w:rPr>
          <w:rFonts w:hint="eastAsia" w:ascii="仿宋_GB2312" w:hAnsi="仿宋_GB2312" w:eastAsia="仿宋_GB2312"/>
          <w:sz w:val="32"/>
          <w:szCs w:val="32"/>
          <w:u w:val="none"/>
          <w:lang w:eastAsia="zh-CN"/>
        </w:rPr>
        <w:t>支出</w:t>
      </w:r>
      <w:r>
        <w:rPr>
          <w:rFonts w:ascii="仿宋_GB2312" w:hAnsi="仿宋_GB2312" w:eastAsia="仿宋_GB2312"/>
          <w:color w:val="000000"/>
          <w:sz w:val="32"/>
          <w:szCs w:val="32"/>
          <w:u w:val="none"/>
        </w:rPr>
        <w:t>208.92</w:t>
      </w:r>
      <w:r>
        <w:rPr>
          <w:rFonts w:ascii="仿宋_GB2312" w:hAnsi="仿宋_GB2312" w:eastAsia="仿宋_GB2312"/>
          <w:sz w:val="32"/>
          <w:szCs w:val="32"/>
          <w:u w:val="none"/>
        </w:rPr>
        <w:t>万元</w:t>
      </w:r>
      <w:r>
        <w:rPr>
          <w:rFonts w:hint="eastAsia" w:ascii="仿宋_GB2312" w:hAnsi="华文仿宋" w:eastAsia="仿宋_GB2312" w:cs="Times New Roman"/>
          <w:b w:val="0"/>
          <w:bCs w:val="0"/>
          <w:color w:val="auto"/>
          <w:kern w:val="2"/>
          <w:sz w:val="32"/>
          <w:szCs w:val="32"/>
          <w:lang w:val="en-US" w:eastAsia="zh-CN" w:bidi="ar-SA"/>
        </w:rPr>
        <w:t>，</w:t>
      </w:r>
      <w:r>
        <w:rPr>
          <w:rFonts w:ascii="仿宋_GB2312" w:hAnsi="仿宋_GB2312" w:eastAsia="仿宋_GB2312"/>
          <w:sz w:val="30"/>
          <w:szCs w:val="30"/>
          <w:u w:val="none"/>
        </w:rPr>
        <w:t>社会保障和就业</w:t>
      </w:r>
      <w:r>
        <w:rPr>
          <w:rFonts w:hint="eastAsia" w:ascii="仿宋_GB2312" w:hAnsi="仿宋_GB2312" w:eastAsia="仿宋_GB2312"/>
          <w:sz w:val="30"/>
          <w:szCs w:val="30"/>
          <w:u w:val="none"/>
          <w:lang w:eastAsia="zh-CN"/>
        </w:rPr>
        <w:t>支出</w:t>
      </w:r>
      <w:r>
        <w:rPr>
          <w:rFonts w:ascii="仿宋_GB2312" w:hAnsi="仿宋_GB2312" w:eastAsia="仿宋_GB2312"/>
          <w:color w:val="000000"/>
          <w:sz w:val="30"/>
          <w:szCs w:val="30"/>
          <w:u w:val="none"/>
        </w:rPr>
        <w:t>33.89</w:t>
      </w:r>
      <w:r>
        <w:rPr>
          <w:rFonts w:ascii="仿宋_GB2312" w:hAnsi="仿宋_GB2312" w:eastAsia="仿宋_GB2312"/>
          <w:sz w:val="30"/>
          <w:szCs w:val="30"/>
          <w:u w:val="none"/>
        </w:rPr>
        <w:t>万元</w:t>
      </w:r>
      <w:r>
        <w:rPr>
          <w:rFonts w:hint="eastAsia" w:ascii="仿宋_GB2312" w:hAnsi="仿宋_GB2312" w:eastAsia="仿宋_GB2312"/>
          <w:sz w:val="30"/>
          <w:szCs w:val="30"/>
          <w:u w:val="none"/>
          <w:lang w:eastAsia="zh-CN"/>
        </w:rPr>
        <w:t>，卫生健康支出</w:t>
      </w:r>
      <w:r>
        <w:rPr>
          <w:rFonts w:ascii="仿宋_GB2312" w:hAnsi="仿宋_GB2312" w:eastAsia="仿宋_GB2312"/>
          <w:color w:val="000000"/>
          <w:sz w:val="30"/>
          <w:szCs w:val="30"/>
          <w:highlight w:val="none"/>
          <w:u w:val="none"/>
        </w:rPr>
        <w:t>11.80</w:t>
      </w:r>
      <w:r>
        <w:rPr>
          <w:rFonts w:ascii="仿宋_GB2312" w:hAnsi="仿宋_GB2312" w:eastAsia="仿宋_GB2312"/>
          <w:sz w:val="30"/>
          <w:szCs w:val="30"/>
          <w:highlight w:val="none"/>
          <w:u w:val="none"/>
        </w:rPr>
        <w:t>万元，</w:t>
      </w:r>
      <w:r>
        <w:rPr>
          <w:rFonts w:hint="eastAsia" w:ascii="仿宋_GB2312" w:hAnsi="仿宋_GB2312" w:eastAsia="仿宋_GB2312"/>
          <w:sz w:val="30"/>
          <w:szCs w:val="30"/>
          <w:highlight w:val="none"/>
          <w:u w:val="none"/>
        </w:rPr>
        <w:t>住房保障支出</w:t>
      </w:r>
      <w:r>
        <w:rPr>
          <w:rFonts w:ascii="仿宋_GB2312" w:hAnsi="仿宋_GB2312" w:eastAsia="仿宋_GB2312"/>
          <w:color w:val="000000"/>
          <w:sz w:val="30"/>
          <w:szCs w:val="30"/>
          <w:highlight w:val="none"/>
          <w:u w:val="none"/>
        </w:rPr>
        <w:t>15.42</w:t>
      </w:r>
      <w:r>
        <w:rPr>
          <w:rFonts w:ascii="仿宋_GB2312" w:hAnsi="仿宋_GB2312" w:eastAsia="仿宋_GB2312"/>
          <w:sz w:val="30"/>
          <w:szCs w:val="30"/>
          <w:highlight w:val="none"/>
          <w:u w:val="none"/>
        </w:rPr>
        <w:t>万元</w:t>
      </w:r>
      <w:r>
        <w:rPr>
          <w:rFonts w:hint="eastAsia" w:ascii="仿宋_GB2312" w:hAnsi="仿宋_GB2312" w:eastAsia="仿宋_GB2312"/>
          <w:sz w:val="30"/>
          <w:szCs w:val="30"/>
          <w:highlight w:val="none"/>
          <w:u w:val="none"/>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五、一般公共预算支出情况说明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2021年部门一般公共预算拨款支出</w:t>
      </w:r>
      <w:r>
        <w:rPr>
          <w:rFonts w:hint="eastAsia" w:ascii="仿宋_GB2312" w:hAnsi="华文仿宋" w:eastAsia="仿宋_GB2312"/>
          <w:color w:val="000000"/>
          <w:sz w:val="32"/>
          <w:szCs w:val="32"/>
          <w:lang w:val="en-US" w:eastAsia="zh-CN"/>
        </w:rPr>
        <w:t>270.03</w:t>
      </w:r>
      <w:r>
        <w:rPr>
          <w:rFonts w:hint="eastAsia" w:ascii="仿宋_GB2312" w:hAnsi="华文仿宋" w:eastAsia="仿宋_GB2312" w:cs="Times New Roman"/>
          <w:b w:val="0"/>
          <w:bCs w:val="0"/>
          <w:color w:val="auto"/>
          <w:kern w:val="2"/>
          <w:sz w:val="32"/>
          <w:szCs w:val="32"/>
          <w:lang w:val="en-US" w:eastAsia="zh-CN" w:bidi="ar-SA"/>
        </w:rPr>
        <w:t>万元，其中：基本支出213.02万元，项目支出57.01万元，具体支出预算如下：</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（一）2011301行政运行（商贸事务）79.23万元，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主要用于工资及</w:t>
      </w:r>
      <w:r>
        <w:rPr>
          <w:rFonts w:hint="eastAsia" w:ascii="仿宋_GB2312" w:hAnsi="华文仿宋" w:eastAsia="仿宋_GB2312"/>
          <w:color w:val="auto"/>
          <w:sz w:val="32"/>
          <w:szCs w:val="32"/>
          <w:lang w:eastAsia="zh-CN"/>
        </w:rPr>
        <w:t>日常管理事务基本支出。</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（二）2011350事业运行（商贸事务）72.68万元，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事业单位的基本支出。</w:t>
      </w:r>
    </w:p>
    <w:p>
      <w:pPr>
        <w:pStyle w:val="5"/>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（三）2011399其他商贸事务支出57.01万元，</w:t>
      </w:r>
      <w:r>
        <w:rPr>
          <w:rFonts w:hint="eastAsia" w:ascii="仿宋_GB2312" w:hAnsi="华文仿宋" w:eastAsia="仿宋_GB2312" w:cs="Times New Roman"/>
          <w:b w:val="0"/>
          <w:bCs w:val="0"/>
          <w:strike w:val="0"/>
          <w:color w:val="auto"/>
          <w:kern w:val="2"/>
          <w:sz w:val="32"/>
          <w:szCs w:val="32"/>
          <w:u w:val="none"/>
          <w:lang w:val="en-US" w:eastAsia="zh-CN" w:bidi="ar-SA"/>
        </w:rPr>
        <w:t>其全部为项目支出。</w:t>
      </w:r>
      <w:r>
        <w:rPr>
          <w:rFonts w:hint="eastAsia" w:ascii="仿宋_GB2312" w:hAnsi="华文仿宋" w:eastAsia="仿宋_GB2312" w:cs="Times New Roman"/>
          <w:b w:val="0"/>
          <w:bCs w:val="0"/>
          <w:color w:val="auto"/>
          <w:kern w:val="2"/>
          <w:sz w:val="32"/>
          <w:szCs w:val="32"/>
          <w:lang w:val="en-US" w:eastAsia="zh-CN" w:bidi="ar-SA"/>
        </w:rPr>
        <w:t>主要用于1.贸促会</w:t>
      </w:r>
      <w:r>
        <w:rPr>
          <w:rFonts w:hint="eastAsia" w:ascii="仿宋_GB2312" w:hAnsi="华文仿宋" w:eastAsia="仿宋_GB2312"/>
          <w:color w:val="auto"/>
          <w:sz w:val="32"/>
          <w:szCs w:val="32"/>
          <w:lang w:eastAsia="zh-CN"/>
        </w:rPr>
        <w:t>办公设备购置、物业管理专项经费；</w:t>
      </w:r>
      <w:r>
        <w:rPr>
          <w:rFonts w:hint="eastAsia" w:ascii="仿宋_GB2312" w:hAnsi="华文仿宋" w:eastAsia="仿宋_GB2312"/>
          <w:color w:val="auto"/>
          <w:sz w:val="32"/>
          <w:szCs w:val="32"/>
          <w:lang w:val="en-US" w:eastAsia="zh-CN"/>
        </w:rPr>
        <w:t>2.外贸商事服务中心商事认证业务办理专项经费、商事法律服务项目</w:t>
      </w:r>
      <w:r>
        <w:rPr>
          <w:rFonts w:hint="eastAsia" w:ascii="仿宋_GB2312" w:hAnsi="华文仿宋" w:eastAsia="仿宋_GB2312"/>
          <w:color w:val="auto"/>
          <w:sz w:val="32"/>
          <w:szCs w:val="32"/>
          <w:lang w:eastAsia="zh-CN"/>
        </w:rPr>
        <w:t>。</w:t>
      </w:r>
    </w:p>
    <w:p>
      <w:pPr>
        <w:pStyle w:val="5"/>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（四）2080501行政单位离退休3.04万元，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退休经费。</w:t>
      </w:r>
    </w:p>
    <w:p>
      <w:pPr>
        <w:pStyle w:val="5"/>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（五）2080505机关事业单位基本养老保险缴费支出20.57万元，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单位缴纳的基本养老费支出。</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（六）2080506机关事业单位职业年金缴费支出10.28万元，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单位实际缴纳的职业年金支出。</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（七）2101101行政单位医疗5.41万元，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主要用于行政事业单位医疗方面的支出</w:t>
      </w:r>
      <w:r>
        <w:rPr>
          <w:rFonts w:hint="eastAsia" w:ascii="仿宋_GB2312" w:hAnsi="华文仿宋" w:eastAsia="仿宋_GB2312"/>
          <w:color w:val="auto"/>
          <w:sz w:val="32"/>
          <w:szCs w:val="32"/>
          <w:lang w:eastAsia="zh-CN"/>
        </w:rPr>
        <w:t>。</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（八）2101102事业单位医疗4.67万元，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主要用于事业单位医疗方面的支出</w:t>
      </w:r>
      <w:r>
        <w:rPr>
          <w:rFonts w:hint="eastAsia" w:ascii="仿宋_GB2312" w:hAnsi="华文仿宋" w:eastAsia="仿宋_GB2312"/>
          <w:color w:val="auto"/>
          <w:sz w:val="32"/>
          <w:szCs w:val="32"/>
          <w:lang w:eastAsia="zh-CN"/>
        </w:rPr>
        <w:t>。</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（九）2101103公务员医疗补助1.73万元，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公务员医疗补助经费。</w:t>
      </w:r>
    </w:p>
    <w:p>
      <w:pPr>
        <w:pStyle w:val="5"/>
        <w:spacing w:before="0" w:beforeAutospacing="0" w:after="0" w:afterAutospacing="0" w:line="560" w:lineRule="exact"/>
        <w:ind w:firstLine="640" w:firstLineChars="200"/>
        <w:rPr>
          <w:rFonts w:hint="eastAsia" w:ascii="仿宋_GB2312" w:hAnsi="华文仿宋" w:eastAsia="仿宋_GB2312"/>
          <w:color w:val="auto"/>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（十）2210201住房公积金15.41万元，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主要用于行政事业单位为职工缴纳的住房公积金</w:t>
      </w:r>
      <w:r>
        <w:rPr>
          <w:rFonts w:hint="eastAsia" w:ascii="仿宋_GB2312" w:hAnsi="华文仿宋" w:eastAsia="仿宋_GB2312"/>
          <w:color w:val="auto"/>
          <w:sz w:val="32"/>
          <w:szCs w:val="32"/>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六、一般公共预算基本支出情况说明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2021年部门一般公共预算基本支出213.02万元，其中：</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bCs/>
          <w:strike/>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（一）人员经费184.64万元，主要包括：工资、基本养老保险缴费、职业年金缴费、医疗保险缴费、其他社会保障缴费、住房公积金等。</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华文仿宋" w:eastAsia="仿宋_GB2312"/>
          <w:b w:val="0"/>
          <w:bCs w:val="0"/>
          <w:strike/>
          <w:color w:val="auto"/>
          <w:sz w:val="32"/>
          <w:szCs w:val="32"/>
          <w:highlight w:val="cyan"/>
          <w:lang w:eastAsia="zh-CN"/>
        </w:rPr>
      </w:pPr>
      <w:r>
        <w:rPr>
          <w:rFonts w:hint="eastAsia" w:ascii="仿宋_GB2312" w:hAnsi="华文仿宋" w:eastAsia="仿宋_GB2312" w:cs="Times New Roman"/>
          <w:b w:val="0"/>
          <w:bCs w:val="0"/>
          <w:color w:val="auto"/>
          <w:kern w:val="2"/>
          <w:sz w:val="32"/>
          <w:szCs w:val="32"/>
          <w:lang w:val="en-US" w:eastAsia="zh-CN" w:bidi="ar-SA"/>
        </w:rPr>
        <w:t>（二）公用经费28.38万元，主要包括：日常办公经费以及培训、会议费等。</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七、一般公共预算“三公”经费情况说明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strike w:val="0"/>
          <w:color w:val="000000"/>
          <w:sz w:val="32"/>
          <w:szCs w:val="32"/>
          <w:lang w:eastAsia="zh-CN"/>
        </w:rPr>
      </w:pP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年一般公共预算安排的“三公”经费支出预算</w:t>
      </w:r>
      <w:r>
        <w:rPr>
          <w:rFonts w:hint="eastAsia" w:ascii="仿宋_GB2312" w:hAnsi="华文仿宋" w:eastAsia="仿宋_GB2312"/>
          <w:bCs/>
          <w:color w:val="000000"/>
          <w:sz w:val="32"/>
          <w:szCs w:val="32"/>
          <w:lang w:val="en-US" w:eastAsia="zh-CN"/>
        </w:rPr>
        <w:t>0.45</w:t>
      </w:r>
      <w:r>
        <w:rPr>
          <w:rFonts w:hint="eastAsia" w:ascii="仿宋_GB2312" w:hAnsi="华文仿宋" w:eastAsia="仿宋_GB2312"/>
          <w:bCs/>
          <w:color w:val="000000"/>
          <w:sz w:val="32"/>
          <w:szCs w:val="32"/>
        </w:rPr>
        <w:t>万元。</w:t>
      </w:r>
      <w:r>
        <w:rPr>
          <w:rFonts w:hint="eastAsia" w:ascii="仿宋_GB2312" w:hAnsi="华文仿宋" w:eastAsia="仿宋_GB2312"/>
          <w:bCs/>
          <w:strike w:val="0"/>
          <w:color w:val="000000"/>
          <w:sz w:val="32"/>
          <w:szCs w:val="32"/>
          <w:lang w:eastAsia="zh-CN"/>
        </w:rPr>
        <w:t>其中：</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bCs/>
          <w:color w:val="000000"/>
          <w:sz w:val="32"/>
          <w:szCs w:val="32"/>
        </w:rPr>
        <w:t>因公出国（境）经费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。主要用于</w:t>
      </w:r>
      <w:r>
        <w:rPr>
          <w:rFonts w:hint="eastAsia" w:ascii="仿宋_GB2312" w:hAnsi="华文仿宋" w:eastAsia="仿宋_GB2312"/>
          <w:bCs/>
          <w:color w:val="000000"/>
          <w:sz w:val="32"/>
          <w:szCs w:val="32"/>
          <w:lang w:val="en-US" w:eastAsia="zh-CN"/>
        </w:rPr>
        <w:t>因公出国（境）费用。</w:t>
      </w:r>
    </w:p>
    <w:p>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560" w:lineRule="exact"/>
        <w:ind w:firstLine="420"/>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bCs/>
          <w:color w:val="000000"/>
          <w:sz w:val="32"/>
          <w:szCs w:val="32"/>
        </w:rPr>
        <w:t>公务接待费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0.45</w:t>
      </w:r>
      <w:r>
        <w:rPr>
          <w:rFonts w:hint="eastAsia" w:ascii="仿宋_GB2312" w:hAnsi="华文仿宋" w:eastAsia="仿宋_GB2312"/>
          <w:bCs/>
          <w:color w:val="000000"/>
          <w:sz w:val="32"/>
          <w:szCs w:val="32"/>
        </w:rPr>
        <w:t>万元</w:t>
      </w:r>
      <w:r>
        <w:rPr>
          <w:rFonts w:hint="eastAsia" w:ascii="仿宋_GB2312" w:hAnsi="仿宋_GB2312" w:eastAsia="仿宋_GB2312"/>
          <w:sz w:val="32"/>
          <w:szCs w:val="32"/>
          <w:u w:val="none"/>
          <w:lang w:val="en-US" w:eastAsia="zh-CN"/>
        </w:rPr>
        <w:t>。</w:t>
      </w:r>
      <w:r>
        <w:rPr>
          <w:rFonts w:hint="eastAsia" w:ascii="仿宋_GB2312" w:hAnsi="华文仿宋" w:eastAsia="仿宋_GB2312"/>
          <w:bCs/>
          <w:color w:val="000000"/>
          <w:sz w:val="32"/>
          <w:szCs w:val="32"/>
          <w:lang w:eastAsia="zh-CN"/>
        </w:rPr>
        <w:t>主要用于行政事业单位</w:t>
      </w:r>
      <w:r>
        <w:rPr>
          <w:rFonts w:hint="eastAsia" w:ascii="仿宋_GB2312" w:hAnsi="华文仿宋" w:eastAsia="仿宋_GB2312"/>
          <w:bCs/>
          <w:color w:val="000000"/>
          <w:sz w:val="32"/>
          <w:szCs w:val="32"/>
          <w:lang w:val="en-US" w:eastAsia="zh-CN"/>
        </w:rPr>
        <w:t xml:space="preserve">公务接待费用。                                           </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bCs/>
          <w:color w:val="000000"/>
          <w:sz w:val="32"/>
          <w:szCs w:val="32"/>
        </w:rPr>
        <w:t>公务用车购置及运行费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val="en-US" w:eastAsia="zh-CN"/>
        </w:rPr>
        <w:t>。主要用于公务用车购置及运行维护经费。其中：</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公务用车购置费</w:t>
      </w:r>
      <w:r>
        <w:rPr>
          <w:rFonts w:hint="eastAsia" w:ascii="仿宋_GB2312" w:hAnsi="华文仿宋" w:eastAsia="仿宋_GB2312"/>
          <w:bCs/>
          <w:color w:val="000000"/>
          <w:sz w:val="32"/>
          <w:szCs w:val="32"/>
          <w:lang w:eastAsia="zh-CN"/>
        </w:rPr>
        <w:t>2020</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主要用于</w:t>
      </w:r>
      <w:r>
        <w:rPr>
          <w:rFonts w:hint="eastAsia" w:ascii="仿宋_GB2312" w:hAnsi="华文仿宋" w:eastAsia="仿宋_GB2312"/>
          <w:bCs/>
          <w:color w:val="000000"/>
          <w:sz w:val="32"/>
          <w:szCs w:val="32"/>
          <w:lang w:val="en-US" w:eastAsia="zh-CN"/>
        </w:rPr>
        <w:t>公务用车购置经费。</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w:t>
      </w:r>
      <w:r>
        <w:rPr>
          <w:rFonts w:hint="eastAsia" w:ascii="仿宋_GB2312" w:hAnsi="华文仿宋" w:eastAsia="仿宋_GB2312"/>
          <w:bCs/>
          <w:color w:val="000000"/>
          <w:sz w:val="32"/>
          <w:szCs w:val="32"/>
          <w:lang w:eastAsia="zh-CN"/>
        </w:rPr>
        <w:t>2020</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主要用于</w:t>
      </w:r>
      <w:r>
        <w:rPr>
          <w:rFonts w:hint="eastAsia" w:ascii="仿宋_GB2312" w:hAnsi="华文仿宋" w:eastAsia="仿宋_GB2312"/>
          <w:bCs/>
          <w:color w:val="000000"/>
          <w:sz w:val="32"/>
          <w:szCs w:val="32"/>
          <w:lang w:val="en-US" w:eastAsia="zh-CN"/>
        </w:rPr>
        <w:t>公务用车运行维护费。</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八、政府性基金预算情况说明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2021年本部门无政府性基金预算支出安排。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九、国有资本经营预算</w:t>
      </w:r>
      <w:r>
        <w:rPr>
          <w:rFonts w:hint="eastAsia" w:ascii="黑体" w:hAnsi="黑体" w:eastAsia="黑体" w:cs="黑体"/>
          <w:b/>
          <w:bCs/>
          <w:color w:val="000000"/>
          <w:kern w:val="0"/>
          <w:sz w:val="32"/>
          <w:szCs w:val="32"/>
        </w:rPr>
        <w:t>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rPr>
      </w:pPr>
      <w:r>
        <w:rPr>
          <w:rFonts w:hint="eastAsia" w:ascii="仿宋_GB2312" w:hAnsi="华文仿宋" w:eastAsia="仿宋_GB2312" w:cs="Times New Roman"/>
          <w:b w:val="0"/>
          <w:bCs w:val="0"/>
          <w:color w:val="auto"/>
          <w:kern w:val="2"/>
          <w:sz w:val="32"/>
          <w:szCs w:val="32"/>
          <w:lang w:val="en-US" w:eastAsia="zh-CN" w:bidi="ar-SA"/>
        </w:rPr>
        <w:t>2021年本部门无国有资本经营预算支出安排。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十、政府采购预算</w:t>
      </w:r>
      <w:r>
        <w:rPr>
          <w:rFonts w:hint="eastAsia" w:ascii="黑体" w:hAnsi="黑体" w:eastAsia="黑体" w:cs="黑体"/>
          <w:b/>
          <w:bCs/>
          <w:color w:val="000000"/>
          <w:kern w:val="0"/>
          <w:sz w:val="32"/>
          <w:szCs w:val="32"/>
        </w:rPr>
        <w:t>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2021年政府采购预算8.01万元。</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strike w:val="0"/>
          <w:color w:val="000000"/>
          <w:kern w:val="0"/>
          <w:sz w:val="32"/>
          <w:szCs w:val="32"/>
          <w:lang w:val="en-US" w:eastAsia="zh-CN" w:bidi="ar-SA"/>
        </w:rPr>
        <w:t>（一）</w:t>
      </w:r>
      <w:r>
        <w:rPr>
          <w:rFonts w:hint="eastAsia" w:ascii="仿宋_GB2312" w:hAnsi="华文仿宋" w:eastAsia="仿宋_GB2312" w:cs="宋体"/>
          <w:bCs/>
          <w:color w:val="000000"/>
          <w:kern w:val="0"/>
          <w:sz w:val="32"/>
          <w:szCs w:val="32"/>
          <w:lang w:val="en-US" w:eastAsia="zh-CN" w:bidi="ar-SA"/>
        </w:rPr>
        <w:t>按政府采购项目类型划分</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政府集中采购预算8.01万元,占政府采购预算的100%。</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分散采购预算0万元，占政府采购预算的0。</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（二）</w:t>
      </w:r>
      <w:r>
        <w:rPr>
          <w:rFonts w:hint="eastAsia" w:ascii="仿宋_GB2312" w:hAnsi="华文仿宋" w:eastAsia="仿宋_GB2312" w:cs="Times New Roman"/>
          <w:b w:val="0"/>
          <w:bCs w:val="0"/>
          <w:color w:val="auto"/>
          <w:kern w:val="2"/>
          <w:sz w:val="32"/>
          <w:szCs w:val="32"/>
          <w:lang w:val="en-US" w:eastAsia="zh-CN" w:bidi="ar-SA"/>
        </w:rPr>
        <w:t>按政府采购资金来源划分</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通过一般公共预算安排采购支出预算8.01万元。</w:t>
      </w:r>
    </w:p>
    <w:p>
      <w:pPr>
        <w:pStyle w:val="5"/>
        <w:keepNext w:val="0"/>
        <w:keepLines w:val="0"/>
        <w:pageBreakBefore w:val="0"/>
        <w:kinsoku/>
        <w:wordWrap/>
        <w:overflowPunct/>
        <w:topLinePunct w:val="0"/>
        <w:autoSpaceDE/>
        <w:autoSpaceDN/>
        <w:bidi w:val="0"/>
        <w:spacing w:before="0" w:beforeAutospacing="0" w:after="0" w:afterAutospacing="0" w:line="560" w:lineRule="exact"/>
        <w:jc w:val="both"/>
        <w:textAlignment w:val="auto"/>
        <w:rPr>
          <w:rFonts w:hint="eastAsia" w:ascii="仿宋_GB2312" w:hAnsi="华文仿宋" w:eastAsia="仿宋_GB2312"/>
          <w:sz w:val="32"/>
          <w:szCs w:val="32"/>
          <w:highlight w:val="cyan"/>
          <w:lang w:eastAsia="zh-CN"/>
        </w:rPr>
      </w:pP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十一、政府购买服务预算</w:t>
      </w:r>
      <w:r>
        <w:rPr>
          <w:rFonts w:hint="eastAsia" w:ascii="黑体" w:hAnsi="黑体" w:eastAsia="黑体" w:cs="黑体"/>
          <w:b/>
          <w:bCs/>
          <w:color w:val="000000"/>
          <w:kern w:val="0"/>
          <w:sz w:val="32"/>
          <w:szCs w:val="32"/>
        </w:rPr>
        <w:t>情况说明</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2021年本部门无政府购买服务预算。</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十二</w: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2021年部门预算其他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sz w:val="32"/>
          <w:szCs w:val="32"/>
          <w:highlight w:val="cyan"/>
          <w:lang w:val="en-US" w:eastAsia="zh-CN"/>
        </w:rPr>
      </w:pPr>
      <w:r>
        <w:rPr>
          <w:rFonts w:hint="eastAsia" w:ascii="楷体_GB2312" w:hAnsi="华文仿宋" w:eastAsia="楷体_GB2312"/>
          <w:b/>
          <w:bCs w:val="0"/>
          <w:color w:val="000000"/>
          <w:sz w:val="32"/>
          <w:szCs w:val="32"/>
        </w:rPr>
        <w:t>（一）机关运行经费安排情况</w:t>
      </w:r>
      <w:r>
        <w:rPr>
          <w:rFonts w:hint="eastAsia" w:ascii="楷体_GB2312" w:hAnsi="华文仿宋" w:eastAsia="楷体_GB2312"/>
          <w:b/>
          <w:bCs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w:t>
      </w:r>
      <w:r>
        <w:rPr>
          <w:rFonts w:hint="eastAsia" w:ascii="仿宋_GB2312" w:hAnsi="华文仿宋" w:eastAsia="仿宋_GB2312" w:cs="宋体"/>
          <w:bCs/>
          <w:strike w:val="0"/>
          <w:color w:val="000000"/>
          <w:kern w:val="0"/>
          <w:sz w:val="32"/>
          <w:szCs w:val="32"/>
          <w:lang w:val="en-US" w:eastAsia="zh-CN" w:bidi="ar-SA"/>
        </w:rPr>
        <w:t>行政</w:t>
      </w:r>
      <w:r>
        <w:rPr>
          <w:rFonts w:hint="eastAsia" w:ascii="仿宋_GB2312" w:hAnsi="华文仿宋" w:eastAsia="仿宋_GB2312" w:cs="宋体"/>
          <w:bCs/>
          <w:color w:val="000000"/>
          <w:kern w:val="0"/>
          <w:sz w:val="32"/>
          <w:szCs w:val="32"/>
          <w:lang w:val="en-US" w:eastAsia="zh-CN" w:bidi="ar-SA"/>
        </w:rPr>
        <w:t>运行预算17.26万元，主要用于日常办公基本支出。行政运行经费增加的原因:人员增加，相应的经费增加。</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楷体_GB2312" w:hAnsi="华文仿宋" w:eastAsia="楷体_GB2312"/>
          <w:b/>
          <w:bCs w:val="0"/>
          <w:strike w:val="0"/>
          <w:dstrike w:val="0"/>
          <w:color w:val="000000"/>
          <w:sz w:val="32"/>
          <w:szCs w:val="32"/>
          <w:lang w:eastAsia="zh-CN"/>
        </w:rPr>
      </w:pPr>
      <w:r>
        <w:rPr>
          <w:rFonts w:hint="eastAsia" w:ascii="楷体_GB2312" w:hAnsi="华文仿宋" w:eastAsia="楷体_GB2312"/>
          <w:b/>
          <w:bCs w:val="0"/>
          <w:color w:val="000000"/>
          <w:sz w:val="32"/>
          <w:szCs w:val="32"/>
          <w:lang w:eastAsia="zh-CN"/>
        </w:rPr>
        <w:t>（二</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dstrike w:val="0"/>
          <w:color w:val="000000"/>
          <w:sz w:val="32"/>
          <w:szCs w:val="32"/>
        </w:rPr>
        <w:t>国有资产占用情况</w:t>
      </w:r>
      <w:r>
        <w:rPr>
          <w:rFonts w:hint="eastAsia" w:ascii="楷体_GB2312" w:hAnsi="华文仿宋" w:eastAsia="楷体_GB2312"/>
          <w:b/>
          <w:bCs w:val="0"/>
          <w:strike w:val="0"/>
          <w:dstrike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2021年本部门实有在编车辆0辆。</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000000"/>
          <w:sz w:val="32"/>
          <w:szCs w:val="32"/>
        </w:rPr>
      </w:pPr>
      <w:r>
        <w:rPr>
          <w:rFonts w:hint="eastAsia" w:ascii="楷体_GB2312" w:hAnsi="华文仿宋" w:eastAsia="楷体_GB2312"/>
          <w:b/>
          <w:bCs w:val="0"/>
          <w:color w:val="000000"/>
          <w:sz w:val="32"/>
          <w:szCs w:val="32"/>
        </w:rPr>
        <w:t>（</w:t>
      </w:r>
      <w:r>
        <w:rPr>
          <w:rFonts w:hint="eastAsia" w:ascii="楷体_GB2312" w:hAnsi="华文仿宋" w:eastAsia="楷体_GB2312"/>
          <w:b/>
          <w:bCs w:val="0"/>
          <w:color w:val="000000"/>
          <w:sz w:val="32"/>
          <w:szCs w:val="32"/>
          <w:lang w:eastAsia="zh-CN"/>
        </w:rPr>
        <w:t>三</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color w:val="000000"/>
          <w:sz w:val="32"/>
          <w:szCs w:val="32"/>
          <w:lang w:val="en-US" w:eastAsia="zh-CN"/>
        </w:rPr>
        <w:t>200万元以上项目</w:t>
      </w:r>
      <w:r>
        <w:rPr>
          <w:rFonts w:hint="eastAsia" w:ascii="楷体_GB2312" w:hAnsi="华文仿宋" w:eastAsia="楷体_GB2312"/>
          <w:b/>
          <w:bCs w:val="0"/>
          <w:color w:val="000000"/>
          <w:sz w:val="32"/>
          <w:szCs w:val="32"/>
        </w:rPr>
        <w:t>预算绩效情况说明</w:t>
      </w:r>
    </w:p>
    <w:p>
      <w:pPr>
        <w:keepNext w:val="0"/>
        <w:keepLines w:val="0"/>
        <w:pageBreakBefore w:val="0"/>
        <w:kinsoku/>
        <w:wordWrap/>
        <w:overflowPunct/>
        <w:topLinePunct w:val="0"/>
        <w:autoSpaceDE/>
        <w:autoSpaceDN/>
        <w:bidi w:val="0"/>
        <w:spacing w:beforeAutospacing="0" w:afterAutospacing="0" w:line="560" w:lineRule="exact"/>
        <w:ind w:firstLine="960" w:firstLineChars="300"/>
        <w:jc w:val="both"/>
        <w:textAlignment w:val="auto"/>
        <w:outlineLvl w:val="9"/>
        <w:rPr>
          <w:rFonts w:hint="eastAsia" w:ascii="仿宋_GB2312" w:hAnsi="华文仿宋" w:eastAsia="仿宋_GB2312"/>
          <w:sz w:val="32"/>
          <w:szCs w:val="32"/>
          <w:lang w:eastAsia="zh-CN"/>
        </w:rPr>
      </w:pPr>
      <w:r>
        <w:rPr>
          <w:rFonts w:hint="eastAsia" w:ascii="仿宋_GB2312" w:hAnsi="华文仿宋" w:eastAsia="仿宋_GB2312" w:cs="宋体"/>
          <w:bCs/>
          <w:color w:val="000000"/>
          <w:kern w:val="0"/>
          <w:sz w:val="32"/>
          <w:szCs w:val="32"/>
          <w:lang w:val="en-US" w:eastAsia="zh-CN" w:bidi="ar-SA"/>
        </w:rPr>
        <w:t>2021年本部门无200万元以上项目预算绩效。</w:t>
      </w:r>
    </w:p>
    <w:p>
      <w:pPr>
        <w:pStyle w:val="5"/>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b/>
          <w:bCs/>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7"/>
          <w:rFonts w:hint="eastAsia" w:ascii="仿宋_GB2312" w:hAnsi="华文仿宋" w:eastAsia="仿宋_GB2312"/>
          <w:b/>
          <w:bCs/>
          <w:color w:val="000000"/>
          <w:sz w:val="32"/>
          <w:szCs w:val="32"/>
          <w:highlight w:val="none"/>
        </w:rPr>
      </w:pPr>
      <w:r>
        <w:rPr>
          <w:rStyle w:val="7"/>
          <w:rFonts w:hint="eastAsia" w:ascii="仿宋_GB2312" w:hAnsi="华文仿宋" w:eastAsia="仿宋_GB2312"/>
          <w:b/>
          <w:bCs/>
          <w:color w:val="000000"/>
          <w:sz w:val="32"/>
          <w:szCs w:val="32"/>
          <w:highlight w:val="none"/>
          <w:lang w:eastAsia="zh-CN"/>
        </w:rPr>
        <w:t>第</w:t>
      </w:r>
      <w:r>
        <w:rPr>
          <w:rStyle w:val="7"/>
          <w:rFonts w:hint="eastAsia" w:ascii="仿宋_GB2312" w:hAnsi="华文仿宋" w:eastAsia="仿宋_GB2312"/>
          <w:b/>
          <w:bCs/>
          <w:color w:val="000000"/>
          <w:sz w:val="32"/>
          <w:szCs w:val="32"/>
          <w:highlight w:val="none"/>
        </w:rPr>
        <w:t>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bookmarkStart w:id="4" w:name="_GoBack"/>
      <w:bookmarkEnd w:id="4"/>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二、事业收入</w:t>
      </w:r>
      <w:r>
        <w:rPr>
          <w:rFonts w:hint="eastAsia" w:ascii="仿宋_GB2312" w:hAnsi="华文仿宋" w:eastAsia="仿宋_GB2312" w:cs="宋体"/>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olor w:val="FF0000"/>
          <w:sz w:val="32"/>
          <w:szCs w:val="32"/>
        </w:rPr>
      </w:pPr>
      <w:r>
        <w:rPr>
          <w:rFonts w:hint="eastAsia" w:ascii="黑体" w:hAnsi="黑体" w:eastAsia="黑体" w:cs="黑体"/>
          <w:b/>
          <w:bCs/>
          <w:color w:val="000000"/>
          <w:kern w:val="0"/>
          <w:sz w:val="32"/>
          <w:szCs w:val="32"/>
          <w:lang w:val="en-US" w:eastAsia="zh-CN" w:bidi="ar-SA"/>
        </w:rPr>
        <w:t>六、机关运行经费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七、年末结转和结余：</w:t>
      </w:r>
      <w:r>
        <w:rPr>
          <w:rFonts w:hint="eastAsia" w:ascii="仿宋_GB2312" w:hAnsi="华文仿宋" w:eastAsia="仿宋_GB2312" w:cs="宋体"/>
          <w:bCs/>
          <w:color w:val="000000"/>
          <w:kern w:val="0"/>
          <w:sz w:val="32"/>
          <w:szCs w:val="32"/>
          <w:lang w:val="en-US" w:eastAsia="zh-CN" w:bidi="ar-SA"/>
        </w:rPr>
        <w:t>指本年度或以前年度预算安排、因客观条件发生变化无法按原计划实施，需要延迟到以后年度按有关规定继续使用的资金。 </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E93E5"/>
    <w:multiLevelType w:val="singleLevel"/>
    <w:tmpl w:val="968E93E5"/>
    <w:lvl w:ilvl="0" w:tentative="0">
      <w:start w:val="1"/>
      <w:numFmt w:val="decimal"/>
      <w:lvlText w:val="%1."/>
      <w:lvlJc w:val="left"/>
      <w:pPr>
        <w:tabs>
          <w:tab w:val="left" w:pos="312"/>
        </w:tabs>
      </w:p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abstractNum w:abstractNumId="2">
    <w:nsid w:val="31CDF539"/>
    <w:multiLevelType w:val="singleLevel"/>
    <w:tmpl w:val="31CDF53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003E3"/>
    <w:rsid w:val="60200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3">
    <w:name w:val="annotation text"/>
    <w:basedOn w:val="1"/>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paragraph" w:customStyle="1" w:styleId="10">
    <w:name w:val="正文1"/>
    <w:basedOn w:val="11"/>
    <w:qFormat/>
    <w:uiPriority w:val="0"/>
    <w:pPr>
      <w:widowControl/>
      <w:jc w:val="both"/>
    </w:pPr>
    <w:rPr>
      <w:rFonts w:ascii="Times New Roman" w:hAnsi="Times New Roman" w:eastAsia="Times New Roman"/>
      <w:sz w:val="21"/>
    </w:rPr>
  </w:style>
  <w:style w:type="paragraph" w:customStyle="1" w:styleId="11">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2021-04-23T09:58:00Z</dcterms:created>
  <dc:creator>Administrator</dc:creator>
  <cp:lastModifiedBy>Administrator</cp:lastModifiedBy>
  <dcterms:modified xsi:type="dcterms:W3CDTF">2021-04-23T10:07:48Z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