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3D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0"/>
        <w:jc w:val="center"/>
        <w:rPr>
          <w:rFonts w:hint="default" w:ascii="Helvetica" w:hAnsi="Helvetica" w:eastAsia="Helvetica" w:cs="Helvetica"/>
          <w:i w:val="0"/>
          <w:caps w:val="0"/>
          <w:color w:val="333333"/>
          <w:spacing w:val="0"/>
          <w:sz w:val="24"/>
          <w:szCs w:val="24"/>
        </w:rPr>
      </w:pPr>
      <w:r>
        <w:rPr>
          <w:rFonts w:ascii="方正小标宋简体" w:hAnsi="方正小标宋简体" w:eastAsia="方正小标宋简体" w:cs="方正小标宋简体"/>
          <w:i w:val="0"/>
          <w:caps w:val="0"/>
          <w:color w:val="333333"/>
          <w:spacing w:val="0"/>
          <w:kern w:val="0"/>
          <w:sz w:val="44"/>
          <w:szCs w:val="44"/>
          <w:shd w:val="clear" w:fill="FFFFFF"/>
          <w:lang w:val="en-US" w:eastAsia="zh-CN" w:bidi="ar"/>
        </w:rPr>
        <w:t>柳州市发展和改革委员会</w:t>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2020年部门预算</w:t>
      </w:r>
    </w:p>
    <w:p w14:paraId="397F45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0"/>
        <w:jc w:val="center"/>
        <w:rPr>
          <w:rFonts w:hint="default" w:ascii="Helvetica" w:hAnsi="Helvetica" w:eastAsia="Helvetica" w:cs="Helvetica"/>
          <w:i w:val="0"/>
          <w:caps w:val="0"/>
          <w:color w:val="333333"/>
          <w:spacing w:val="0"/>
          <w:sz w:val="24"/>
          <w:szCs w:val="24"/>
        </w:rPr>
      </w:pPr>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目  录</w:t>
      </w:r>
    </w:p>
    <w:p w14:paraId="4671E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Helvetica" w:hAnsi="Helvetica" w:eastAsia="Helvetica" w:cs="Helvetica"/>
          <w:i w:val="0"/>
          <w:caps w:val="0"/>
          <w:color w:val="333333"/>
          <w:spacing w:val="0"/>
          <w:sz w:val="24"/>
          <w:szCs w:val="24"/>
        </w:rPr>
      </w:pPr>
      <w:r>
        <w:rPr>
          <w:rFonts w:hint="eastAsia" w:ascii="方正小标宋简体" w:hAnsi="方正小标宋简体" w:eastAsia="方正小标宋简体" w:cs="方正小标宋简体"/>
          <w:b/>
          <w:i w:val="0"/>
          <w:caps w:val="0"/>
          <w:color w:val="333333"/>
          <w:spacing w:val="0"/>
          <w:sz w:val="44"/>
          <w:szCs w:val="44"/>
          <w:shd w:val="clear" w:fill="FFFFFF"/>
        </w:rPr>
        <w:t>  </w:t>
      </w:r>
    </w:p>
    <w:p w14:paraId="2233A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default" w:ascii="Helvetica" w:hAnsi="Helvetica" w:eastAsia="Helvetica" w:cs="Helvetica"/>
          <w:i w:val="0"/>
          <w:caps w:val="0"/>
          <w:color w:val="333333"/>
          <w:spacing w:val="0"/>
          <w:sz w:val="24"/>
          <w:szCs w:val="24"/>
        </w:rPr>
      </w:pPr>
      <w:r>
        <w:rPr>
          <w:rStyle w:val="5"/>
          <w:rFonts w:ascii="仿宋_GB2312" w:hAnsi="Helvetica" w:eastAsia="仿宋_GB2312" w:cs="仿宋_GB2312"/>
          <w:b/>
          <w:i w:val="0"/>
          <w:caps w:val="0"/>
          <w:color w:val="000000"/>
          <w:spacing w:val="0"/>
          <w:sz w:val="32"/>
          <w:szCs w:val="32"/>
          <w:shd w:val="clear" w:fill="FFFFFF"/>
        </w:rPr>
        <w:t>第一部分：部门概况</w:t>
      </w:r>
    </w:p>
    <w:p w14:paraId="0C272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一、主要职责</w:t>
      </w:r>
    </w:p>
    <w:p w14:paraId="22006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二、机构设置情况</w:t>
      </w:r>
    </w:p>
    <w:p w14:paraId="1EF09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三、编制现状及人员构成</w:t>
      </w:r>
    </w:p>
    <w:p w14:paraId="7ED7E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第二部分：柳州市发展和改革委员会2020年部门预算表</w:t>
      </w:r>
    </w:p>
    <w:p w14:paraId="78651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一、财政拨款收支总表</w:t>
      </w:r>
    </w:p>
    <w:p w14:paraId="73FAA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二、一般公共预算支出表</w:t>
      </w:r>
    </w:p>
    <w:p w14:paraId="46318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三、一般公共预算基本支出表</w:t>
      </w:r>
    </w:p>
    <w:p w14:paraId="7655A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四、一般公共预算“三公”经费支出表</w:t>
      </w:r>
    </w:p>
    <w:p w14:paraId="765C8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五、部门收支总表</w:t>
      </w:r>
    </w:p>
    <w:p w14:paraId="5FD71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六、部门收入总表</w:t>
      </w:r>
    </w:p>
    <w:p w14:paraId="431AA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七、部门支出总表</w:t>
      </w:r>
    </w:p>
    <w:p w14:paraId="0586D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八、政府性基金预算支出表</w:t>
      </w:r>
    </w:p>
    <w:p w14:paraId="54C53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九、国有资本经营预算支出表</w:t>
      </w:r>
    </w:p>
    <w:p w14:paraId="2A64E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十、政府采购预算表</w:t>
      </w:r>
    </w:p>
    <w:p w14:paraId="33C61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十一、政府购买服务预算表</w:t>
      </w:r>
    </w:p>
    <w:p w14:paraId="290F3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第三部分：2020年部门预算情况说明</w:t>
      </w:r>
    </w:p>
    <w:p w14:paraId="31E20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第四部分：名词解释</w:t>
      </w:r>
    </w:p>
    <w:p w14:paraId="6FBE0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  </w:t>
      </w:r>
    </w:p>
    <w:p w14:paraId="7E6D98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i w:val="0"/>
          <w:caps w:val="0"/>
          <w:color w:val="000000"/>
          <w:spacing w:val="0"/>
          <w:kern w:val="0"/>
          <w:sz w:val="32"/>
          <w:szCs w:val="32"/>
          <w:shd w:val="clear" w:fill="FFFFFF"/>
          <w:lang w:val="en-US" w:eastAsia="zh-CN" w:bidi="ar"/>
        </w:rPr>
        <w:t>  </w:t>
      </w:r>
    </w:p>
    <w:p w14:paraId="337C1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kern w:val="0"/>
          <w:sz w:val="32"/>
          <w:szCs w:val="32"/>
          <w:shd w:val="clear" w:fill="FFFFFF"/>
          <w:lang w:val="en-US" w:eastAsia="zh-CN" w:bidi="ar"/>
        </w:rPr>
        <w:t>第一部分：柳州市发展和改革委员会概况</w:t>
      </w:r>
    </w:p>
    <w:p w14:paraId="73C49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640"/>
        <w:jc w:val="center"/>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000000"/>
          <w:spacing w:val="0"/>
          <w:kern w:val="0"/>
          <w:sz w:val="32"/>
          <w:szCs w:val="32"/>
          <w:shd w:val="clear" w:fill="FFFFFF"/>
          <w:lang w:val="en-US" w:eastAsia="zh-CN" w:bidi="ar"/>
        </w:rPr>
        <w:t>  </w:t>
      </w:r>
    </w:p>
    <w:p w14:paraId="5FDB1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Helvetica" w:hAnsi="Helvetica" w:eastAsia="Helvetica" w:cs="Helvetica"/>
          <w:i w:val="0"/>
          <w:caps w:val="0"/>
          <w:color w:val="333333"/>
          <w:spacing w:val="0"/>
          <w:sz w:val="24"/>
          <w:szCs w:val="24"/>
        </w:rPr>
      </w:pPr>
      <w:r>
        <w:rPr>
          <w:rStyle w:val="5"/>
          <w:rFonts w:ascii="黑体" w:hAnsi="宋体" w:eastAsia="黑体" w:cs="黑体"/>
          <w:b/>
          <w:i w:val="0"/>
          <w:caps w:val="0"/>
          <w:color w:val="000000"/>
          <w:spacing w:val="0"/>
          <w:sz w:val="32"/>
          <w:szCs w:val="32"/>
          <w:shd w:val="clear" w:fill="FFFFFF"/>
        </w:rPr>
        <w:t>一、主要职责</w:t>
      </w:r>
    </w:p>
    <w:p w14:paraId="0069EF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3"/>
        <w:jc w:val="both"/>
        <w:rPr>
          <w:rFonts w:hint="default" w:ascii="Helvetica" w:hAnsi="Helvetica" w:eastAsia="Helvetica" w:cs="Helvetica"/>
          <w:i w:val="0"/>
          <w:caps w:val="0"/>
          <w:color w:val="333333"/>
          <w:spacing w:val="0"/>
          <w:sz w:val="24"/>
          <w:szCs w:val="24"/>
        </w:rPr>
      </w:pPr>
      <w:r>
        <w:rPr>
          <w:rStyle w:val="5"/>
          <w:rFonts w:ascii="楷体_GB2312" w:hAnsi="Helvetica" w:eastAsia="楷体_GB2312" w:cs="楷体_GB2312"/>
          <w:b/>
          <w:i w:val="0"/>
          <w:caps w:val="0"/>
          <w:color w:val="000000"/>
          <w:spacing w:val="0"/>
          <w:kern w:val="0"/>
          <w:sz w:val="32"/>
          <w:szCs w:val="32"/>
          <w:shd w:val="clear" w:fill="FFFFFF"/>
          <w:lang w:val="en-US" w:eastAsia="zh-CN" w:bidi="ar"/>
        </w:rPr>
        <w:t>（一）《柳州市发展和改革委员会职能配置、内设机构和人员编制规定》属于密件，主要职责属于其中的一部分，不宜公开。</w:t>
      </w:r>
    </w:p>
    <w:p w14:paraId="77CB1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3"/>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（二）2019年部门机构改革职能变化情况说明</w:t>
      </w:r>
    </w:p>
    <w:p w14:paraId="03D9B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1.</w:t>
      </w:r>
      <w:r>
        <w:rPr>
          <w:rFonts w:hint="eastAsia" w:ascii="仿宋_GB2312" w:hAnsi="Helvetica" w:eastAsia="仿宋_GB2312" w:cs="仿宋_GB2312"/>
          <w:i w:val="0"/>
          <w:caps w:val="0"/>
          <w:color w:val="333333"/>
          <w:spacing w:val="0"/>
          <w:sz w:val="32"/>
          <w:szCs w:val="32"/>
          <w:shd w:val="clear" w:fill="FFFFFF"/>
        </w:rPr>
        <w:t>市物价局及粮食局并入发改委，柳州市信息化建设管理中心划入市大数据发展局。</w:t>
      </w:r>
    </w:p>
    <w:p w14:paraId="7C43C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w:t>
      </w:r>
      <w:r>
        <w:rPr>
          <w:rFonts w:hint="eastAsia" w:ascii="仿宋_GB2312" w:hAnsi="Helvetica" w:eastAsia="仿宋_GB2312" w:cs="仿宋_GB2312"/>
          <w:i w:val="0"/>
          <w:caps w:val="0"/>
          <w:color w:val="333333"/>
          <w:spacing w:val="0"/>
          <w:sz w:val="32"/>
          <w:szCs w:val="32"/>
          <w:shd w:val="clear" w:fill="FFFFFF"/>
        </w:rPr>
        <w:t>市工业和信息化局、市民政局、市商务局组织实施重要物资和应急储备物资收储、轮换和日常管理职责划入市发展和改革委员会，加挂市粮食和物资储备局牌子。</w:t>
      </w:r>
    </w:p>
    <w:p w14:paraId="04AD7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3.</w:t>
      </w:r>
      <w:r>
        <w:rPr>
          <w:rFonts w:hint="eastAsia" w:ascii="仿宋_GB2312" w:hAnsi="Helvetica" w:eastAsia="仿宋_GB2312" w:cs="仿宋_GB2312"/>
          <w:i w:val="0"/>
          <w:caps w:val="0"/>
          <w:color w:val="333333"/>
          <w:spacing w:val="0"/>
          <w:sz w:val="32"/>
          <w:szCs w:val="32"/>
          <w:shd w:val="clear" w:fill="FFFFFF"/>
        </w:rPr>
        <w:t>市发展和改革委员会组织编制主体功能区规划职责划入市自然资源和规划局。</w:t>
      </w:r>
    </w:p>
    <w:p w14:paraId="3EC38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4.</w:t>
      </w:r>
      <w:r>
        <w:rPr>
          <w:rFonts w:hint="eastAsia" w:ascii="仿宋_GB2312" w:hAnsi="Helvetica" w:eastAsia="仿宋_GB2312" w:cs="仿宋_GB2312"/>
          <w:i w:val="0"/>
          <w:caps w:val="0"/>
          <w:color w:val="333333"/>
          <w:spacing w:val="0"/>
          <w:sz w:val="32"/>
          <w:szCs w:val="32"/>
          <w:shd w:val="clear" w:fill="FFFFFF"/>
        </w:rPr>
        <w:t>市发展和改革委员会应对气候变化和减排职责划入市生态环境局。</w:t>
      </w:r>
    </w:p>
    <w:p w14:paraId="3B324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5.</w:t>
      </w:r>
      <w:r>
        <w:rPr>
          <w:rFonts w:hint="eastAsia" w:ascii="仿宋_GB2312" w:hAnsi="Helvetica" w:eastAsia="仿宋_GB2312" w:cs="仿宋_GB2312"/>
          <w:i w:val="0"/>
          <w:caps w:val="0"/>
          <w:color w:val="333333"/>
          <w:spacing w:val="0"/>
          <w:sz w:val="32"/>
          <w:szCs w:val="32"/>
          <w:shd w:val="clear" w:fill="FFFFFF"/>
        </w:rPr>
        <w:t>市发展和改革委员会信息化领域有关项目建设、信息资源开发利用与共享管理职责划入市大数据发展局。不再保留设在市发展和改革委员会的市城乡</w:t>
      </w:r>
      <w:bookmarkStart w:id="0" w:name="_GoBack"/>
      <w:bookmarkEnd w:id="0"/>
      <w:r>
        <w:rPr>
          <w:rFonts w:hint="eastAsia" w:ascii="仿宋_GB2312" w:hAnsi="Helvetica" w:eastAsia="仿宋_GB2312" w:cs="仿宋_GB2312"/>
          <w:i w:val="0"/>
          <w:caps w:val="0"/>
          <w:color w:val="333333"/>
          <w:spacing w:val="0"/>
          <w:sz w:val="32"/>
          <w:szCs w:val="32"/>
          <w:shd w:val="clear" w:fill="FFFFFF"/>
        </w:rPr>
        <w:t>数字化建设办公室、信息化发展科、公共信息资源和信息安全科(市市民卡管理办公室)</w:t>
      </w:r>
    </w:p>
    <w:p w14:paraId="15D9B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6.</w:t>
      </w:r>
      <w:r>
        <w:rPr>
          <w:rFonts w:hint="eastAsia" w:ascii="仿宋_GB2312" w:hAnsi="Helvetica" w:eastAsia="仿宋_GB2312" w:cs="仿宋_GB2312"/>
          <w:i w:val="0"/>
          <w:caps w:val="0"/>
          <w:color w:val="333333"/>
          <w:spacing w:val="0"/>
          <w:sz w:val="32"/>
          <w:szCs w:val="32"/>
          <w:shd w:val="clear" w:fill="FFFFFF"/>
        </w:rPr>
        <w:t>市发展和改革委员会药品和医疗服务价格管理职责划入市医疗保障局。</w:t>
      </w:r>
    </w:p>
    <w:p w14:paraId="01A7B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7.</w:t>
      </w:r>
      <w:r>
        <w:rPr>
          <w:rFonts w:hint="eastAsia" w:ascii="仿宋_GB2312" w:hAnsi="Helvetica" w:eastAsia="仿宋_GB2312" w:cs="仿宋_GB2312"/>
          <w:i w:val="0"/>
          <w:caps w:val="0"/>
          <w:color w:val="333333"/>
          <w:spacing w:val="0"/>
          <w:sz w:val="32"/>
          <w:szCs w:val="32"/>
          <w:shd w:val="clear" w:fill="FFFFFF"/>
        </w:rPr>
        <w:t>市发展和改革委员会深化医药卫生体制改革工作领导小组办公室职责划入市卫生健康委员会。</w:t>
      </w:r>
    </w:p>
    <w:p w14:paraId="17538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8.</w:t>
      </w:r>
      <w:r>
        <w:rPr>
          <w:rFonts w:hint="eastAsia" w:ascii="仿宋_GB2312" w:hAnsi="Helvetica" w:eastAsia="仿宋_GB2312" w:cs="仿宋_GB2312"/>
          <w:i w:val="0"/>
          <w:caps w:val="0"/>
          <w:color w:val="333333"/>
          <w:spacing w:val="0"/>
          <w:kern w:val="0"/>
          <w:sz w:val="32"/>
          <w:szCs w:val="32"/>
          <w:shd w:val="clear" w:fill="FFFFFF"/>
          <w:lang w:val="en-US" w:eastAsia="zh-CN" w:bidi="ar"/>
        </w:rPr>
        <w:t>市发展和改革委员会农业投资项目管理职责划入市农业农村局。</w:t>
      </w:r>
    </w:p>
    <w:p w14:paraId="1091D3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9.</w:t>
      </w:r>
      <w:r>
        <w:rPr>
          <w:rFonts w:hint="eastAsia" w:ascii="仿宋_GB2312" w:hAnsi="Helvetica" w:eastAsia="仿宋_GB2312" w:cs="仿宋_GB2312"/>
          <w:i w:val="0"/>
          <w:caps w:val="0"/>
          <w:color w:val="333333"/>
          <w:spacing w:val="0"/>
          <w:kern w:val="0"/>
          <w:sz w:val="32"/>
          <w:szCs w:val="32"/>
          <w:shd w:val="clear" w:fill="FFFFFF"/>
          <w:lang w:val="en-US" w:eastAsia="zh-CN" w:bidi="ar"/>
        </w:rPr>
        <w:t>市发展和改革委员会重大项目稽察职责划入市审计局，不再保留重大项目稽察办公室。</w:t>
      </w:r>
    </w:p>
    <w:p w14:paraId="616C6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10.</w:t>
      </w:r>
      <w:r>
        <w:rPr>
          <w:rFonts w:hint="eastAsia" w:ascii="仿宋_GB2312" w:hAnsi="Helvetica" w:eastAsia="仿宋_GB2312" w:cs="仿宋_GB2312"/>
          <w:i w:val="0"/>
          <w:caps w:val="0"/>
          <w:color w:val="333333"/>
          <w:spacing w:val="0"/>
          <w:kern w:val="0"/>
          <w:sz w:val="32"/>
          <w:szCs w:val="32"/>
          <w:shd w:val="clear" w:fill="FFFFFF"/>
          <w:lang w:val="en-US" w:eastAsia="zh-CN" w:bidi="ar"/>
        </w:rPr>
        <w:t>市发展和改革委员会价格监督检查与反垄断执法职责划入市市场监督局，不再保留市价格监督检查分局。</w:t>
      </w:r>
    </w:p>
    <w:p w14:paraId="7D613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11.</w:t>
      </w:r>
      <w:r>
        <w:rPr>
          <w:rFonts w:hint="eastAsia" w:ascii="仿宋_GB2312" w:hAnsi="Helvetica" w:eastAsia="仿宋_GB2312" w:cs="仿宋_GB2312"/>
          <w:i w:val="0"/>
          <w:caps w:val="0"/>
          <w:color w:val="333333"/>
          <w:spacing w:val="0"/>
          <w:kern w:val="0"/>
          <w:sz w:val="32"/>
          <w:szCs w:val="32"/>
          <w:shd w:val="clear" w:fill="FFFFFF"/>
          <w:lang w:val="en-US" w:eastAsia="zh-CN" w:bidi="ar"/>
        </w:rPr>
        <w:t>市发展和改革委员会重点项目建设协调职责划入市重点项目建设办公室。</w:t>
      </w:r>
    </w:p>
    <w:p w14:paraId="397A0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12.</w:t>
      </w:r>
      <w:r>
        <w:rPr>
          <w:rFonts w:hint="eastAsia" w:ascii="仿宋_GB2312" w:hAnsi="Helvetica" w:eastAsia="仿宋_GB2312" w:cs="仿宋_GB2312"/>
          <w:i w:val="0"/>
          <w:caps w:val="0"/>
          <w:color w:val="333333"/>
          <w:spacing w:val="0"/>
          <w:kern w:val="0"/>
          <w:sz w:val="32"/>
          <w:szCs w:val="32"/>
          <w:shd w:val="clear" w:fill="FFFFFF"/>
          <w:lang w:val="en-US" w:eastAsia="zh-CN" w:bidi="ar"/>
        </w:rPr>
        <w:t>市发展和改革委员会不再加挂市物价局牌子。</w:t>
      </w:r>
    </w:p>
    <w:p w14:paraId="6D3A6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3"/>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（三）年度主要工作目标</w:t>
      </w:r>
    </w:p>
    <w:p w14:paraId="402E69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1.认真履行宏观经济管理职能。加强宏观经济运行分析，认真组织起草2020年国民经济和社会发展计划报告，强化计划执行的跟踪检查。加强宏观经济预警研判，强化对地区生产总值核算的</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23</w:t>
      </w:r>
      <w:r>
        <w:rPr>
          <w:rFonts w:hint="eastAsia" w:ascii="仿宋_GB2312" w:hAnsi="Helvetica" w:eastAsia="仿宋_GB2312" w:cs="仿宋_GB2312"/>
          <w:i w:val="0"/>
          <w:caps w:val="0"/>
          <w:color w:val="333333"/>
          <w:spacing w:val="0"/>
          <w:kern w:val="0"/>
          <w:sz w:val="32"/>
          <w:szCs w:val="32"/>
          <w:shd w:val="clear" w:fill="FFFFFF"/>
          <w:lang w:val="en-US" w:eastAsia="zh-CN" w:bidi="ar"/>
        </w:rPr>
        <w:t>项支撑指标监控，不断提升经济分析预警能力。统筹抓好发展规划编制实施。做好“十四五”规划纲要编制工作，积极争取将更多柳州重大项目列入国家、自治区“十四五”规划。围绕自治区“南向 北联 东融 西合”全方位对外开放，加快我市涉及西部陆海新通道项目建设，全面融入粤港澳大湾区建设。</w:t>
      </w:r>
    </w:p>
    <w:p w14:paraId="1EAF9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2.加快推动产业转型升级。深入贯彻落实全区、全市工业高质量发展大会精神，全力推进233个重大产业项目建设，加快推进上汽变速器自动变速器二期、柳钢特种钢精线深加工、智能轨道交通、装配式建筑产业园、智能电网等项目建设，加快形成汽车、钢铁、机械、化工及日化、轻工等</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5</w:t>
      </w:r>
      <w:r>
        <w:rPr>
          <w:rFonts w:hint="eastAsia" w:ascii="仿宋_GB2312" w:hAnsi="Helvetica" w:eastAsia="仿宋_GB2312" w:cs="仿宋_GB2312"/>
          <w:i w:val="0"/>
          <w:caps w:val="0"/>
          <w:color w:val="333333"/>
          <w:spacing w:val="0"/>
          <w:kern w:val="0"/>
          <w:sz w:val="32"/>
          <w:szCs w:val="32"/>
          <w:shd w:val="clear" w:fill="FFFFFF"/>
          <w:lang w:val="en-US" w:eastAsia="zh-CN" w:bidi="ar"/>
        </w:rPr>
        <w:t>大传统产业，高端装备制造业、新一代电子信息技术产业、节能环保产业、生物与制药产业、生产性服务业等</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5</w:t>
      </w:r>
      <w:r>
        <w:rPr>
          <w:rFonts w:hint="eastAsia" w:ascii="仿宋_GB2312" w:hAnsi="Helvetica" w:eastAsia="仿宋_GB2312" w:cs="仿宋_GB2312"/>
          <w:i w:val="0"/>
          <w:caps w:val="0"/>
          <w:color w:val="333333"/>
          <w:spacing w:val="0"/>
          <w:kern w:val="0"/>
          <w:sz w:val="32"/>
          <w:szCs w:val="32"/>
          <w:shd w:val="clear" w:fill="FFFFFF"/>
          <w:lang w:val="en-US" w:eastAsia="zh-CN" w:bidi="ar"/>
        </w:rPr>
        <w:t>个新兴产业的“</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5+5</w:t>
      </w:r>
      <w:r>
        <w:rPr>
          <w:rFonts w:hint="eastAsia" w:ascii="仿宋_GB2312" w:hAnsi="Helvetica" w:eastAsia="仿宋_GB2312" w:cs="仿宋_GB2312"/>
          <w:i w:val="0"/>
          <w:caps w:val="0"/>
          <w:color w:val="333333"/>
          <w:spacing w:val="0"/>
          <w:kern w:val="0"/>
          <w:sz w:val="32"/>
          <w:szCs w:val="32"/>
          <w:shd w:val="clear" w:fill="FFFFFF"/>
          <w:lang w:val="en-US" w:eastAsia="zh-CN" w:bidi="ar"/>
        </w:rPr>
        <w:t>”产业新格局。加快推动宁铁物流园等自治区级现代服务业集聚区发展，积极落实相关项目资金扶持、参与电力市场化交易降费等系列政策。大力推进数字柳州建设，发展数字经济，重点推进大数据产业园（一期）、京东大数据中心等项目建设，强化大数据产业发展载体支撑。加快柳州陆港型国家物流枢纽承载城市和生产服务型国家物流枢纽承载城市建设，重点推进柳州铁路港、传化公路港建设。加快推进洋溪和梅林等重大水利枢纽工程项目建设，实施一批主要支流治理工程以及2020年农村饮水安全巩固提升工程。</w:t>
      </w:r>
    </w:p>
    <w:p w14:paraId="7F000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3.扎实推进重大项目建设。全力做好投融资工作。强化投资目标任务的精准落实，加强项目储备，按月下达落实投资任务。加强中央预算内投资计划项目综合服务工作。进一步深入实施中央预算内项目投资精细化管理模式，项目下达后以项目开工时限倒逼前期工作管控；继续推进中央投资交叉检查，对中央投资项目推进不力的县区、开发区实行区域限批，倒逼项目进度。围绕推进工业高质量发展，建设现代制造城的战略定位，以建设国际通道的核心枢纽、建设战略支点的实业引擎、建设重要门户的开放高地三大建设为主线，重点策划和储备一批对外交通、城市基础设施、乡村振兴、现代服务业、汽车上下游产业、先进装备制造业、战略性新兴产业等方面的重大项目，形成“开工一批、续建一批、竣工一批、储备一批”的良好格局，进一步拉动我市的重大项目投资。</w:t>
      </w:r>
    </w:p>
    <w:p w14:paraId="644D0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4.全面推进城乡融合发展。加快推进柳州—广州铁路、河池—柳州—贺州城际高铁、柳州—三江城际铁路报批工作，争取早日落地建设。加快实施焦柳铁路怀化至柳州段电气化改造等铁路项目，做强做实铁路枢纽，畅通柳州联通珠三角、大西南和东盟国家的物流通道。畅通高速公路网络，加快桂林至柳城、融水至河池、柳州经合山至南宁高速公路建设。积极推进西江黄金水道港口和柳州航空口岸建设，加快柳州港鹿寨港区江口作业区、红花二线船闸建设。补齐农村基础设施建设短板，扎实推进乡乡通二级（或三级）公路工程，竣工罗城至洞头二级公路。实施中心城区道路交通畅通工程，全面提升中心城区基础设施密度，加快建设城邕路工程、白云路东段道路工程。继续实施新型城镇化建设三年行动计划，统筹国家新型城镇化综合试点，柳东新区国家产城融合示范区建设。落实自治区和柳州市关于加快乡村振兴发展的决策部署，抓好《柳州市实施乡村振兴战略规划（</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2018</w:t>
      </w:r>
      <w:r>
        <w:rPr>
          <w:rFonts w:hint="eastAsia" w:ascii="仿宋_GB2312" w:hAnsi="Helvetica" w:eastAsia="仿宋_GB2312" w:cs="仿宋_GB2312"/>
          <w:i w:val="0"/>
          <w:caps w:val="0"/>
          <w:color w:val="333333"/>
          <w:spacing w:val="0"/>
          <w:kern w:val="0"/>
          <w:sz w:val="32"/>
          <w:szCs w:val="32"/>
          <w:shd w:val="clear"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2022</w:t>
      </w:r>
      <w:r>
        <w:rPr>
          <w:rFonts w:hint="eastAsia" w:ascii="仿宋_GB2312" w:hAnsi="Helvetica" w:eastAsia="仿宋_GB2312" w:cs="仿宋_GB2312"/>
          <w:i w:val="0"/>
          <w:caps w:val="0"/>
          <w:color w:val="333333"/>
          <w:spacing w:val="0"/>
          <w:kern w:val="0"/>
          <w:sz w:val="32"/>
          <w:szCs w:val="32"/>
          <w:shd w:val="clear" w:fill="FFFFFF"/>
          <w:lang w:val="en-US" w:eastAsia="zh-CN" w:bidi="ar"/>
        </w:rPr>
        <w:t>年）》的实施。统筹推进县域经济发展，推动一批县域重大基础设施项目建设，夯实县域经济发展基础。</w:t>
      </w:r>
    </w:p>
    <w:p w14:paraId="5C173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64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5.持续优化营商环境。巩固供给侧结构性改革“三去一降一补”成果，在“巩固、增强、提升、畅通”上下功夫，持续优化产能结构，降低全社会各类营商成本，加大基础设施等领域补短板力度，确保改革取得更大成效。深入推进政务服务“一事通办”改革，深化“一枚印章管审批”改革，加快推进“互联网</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w:t>
      </w:r>
      <w:r>
        <w:rPr>
          <w:rFonts w:hint="eastAsia" w:ascii="仿宋_GB2312" w:hAnsi="Helvetica" w:eastAsia="仿宋_GB2312" w:cs="仿宋_GB2312"/>
          <w:i w:val="0"/>
          <w:caps w:val="0"/>
          <w:color w:val="333333"/>
          <w:spacing w:val="0"/>
          <w:kern w:val="0"/>
          <w:sz w:val="32"/>
          <w:szCs w:val="32"/>
          <w:shd w:val="clear" w:fill="FFFFFF"/>
          <w:lang w:val="en-US" w:eastAsia="zh-CN" w:bidi="ar"/>
        </w:rPr>
        <w:t>政务服务”、房屋综合管理系统、不动产登记信息系统建设，推动涉企行政审批及服务事项简化办理环节、优化办理流程，大幅压缩办理时限。加大与欧盟城市开放合作，推进中欧区域政策合作案例城市建设，加快打造中欧（柳州）合作示范园。积极开展区域经济合作，大力推动西部陆海新通道相关项目建设，加快融入粤港澳大湾区建设，重点打造粤桂黔高铁经济带合作试验区（柳州）广西园。全力维护民营企业合法权益，聚焦企业关注的“痛点”，找准政策落地的“堵点”，主动送政策上门，打通政策落地“最后一公里”。进一步清理、精简涉及民间投资管理的行政审批事项和涉企收费，规范中间环节、中介组织行为，加快推进涉企行政事业性收费零收费，降低企业成本。</w:t>
      </w:r>
    </w:p>
    <w:p w14:paraId="03656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6.持续打好污染防治攻坚战。全力抓好节能减排降碳。实施节能降耗重点工程，加强工业、农业和农村、商业和民用、交通运输、建筑、公共机构等领域节能减排。加强对重点企业能源消耗和减排总量的监控，加快重点用能单位节能改造，推动节能减排新技术新产品应用，提高能源利用效率。加大对重点环保节能企业的扶持力度，鼓励企业建立全过程绿色管理体系。继续推进天然气工程建设，加快鹿寨天然气支线管道工程建设。加快融水、融安、三江等地区风电项目建设，推进分布式光伏发电应用示范建设。严格落实重点生态功能区产业准入负面清单，控制限制类产业发展，建立健全禁止类产业退出机制。加快构建工业生态产业链，强化对传统工业绿色化改造，推广无污染清洁化工业生产，重点培育壮大节能环保、生物医药、新型建材、新一代信息技术、新材料等新型生态工业。继续推进国家循环经济示范城市建设，重点推进园区循环化改造、建筑垃圾及餐厨废弃物资源化利用和无害化处理工程建设，积极发展循环经济，实现城市绿色可持续发展。</w:t>
      </w:r>
    </w:p>
    <w:p w14:paraId="1E5409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7.进一步筑牢粮食安全基础。深入开展各县种粮情况调查，掌握粮源，争取2019年列入订单收购县的市辖</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5</w:t>
      </w:r>
      <w:r>
        <w:rPr>
          <w:rFonts w:hint="eastAsia" w:ascii="仿宋_GB2312" w:hAnsi="Helvetica" w:eastAsia="仿宋_GB2312" w:cs="仿宋_GB2312"/>
          <w:i w:val="0"/>
          <w:caps w:val="0"/>
          <w:color w:val="333333"/>
          <w:spacing w:val="0"/>
          <w:kern w:val="0"/>
          <w:sz w:val="32"/>
          <w:szCs w:val="32"/>
          <w:shd w:val="clear" w:fill="FFFFFF"/>
          <w:lang w:val="en-US" w:eastAsia="zh-CN" w:bidi="ar"/>
        </w:rPr>
        <w:t>县（区）继续列入</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2020</w:t>
      </w:r>
      <w:r>
        <w:rPr>
          <w:rFonts w:hint="eastAsia" w:ascii="仿宋_GB2312" w:hAnsi="Helvetica" w:eastAsia="仿宋_GB2312" w:cs="仿宋_GB2312"/>
          <w:i w:val="0"/>
          <w:caps w:val="0"/>
          <w:color w:val="333333"/>
          <w:spacing w:val="0"/>
          <w:kern w:val="0"/>
          <w:sz w:val="32"/>
          <w:szCs w:val="32"/>
          <w:shd w:val="clear" w:fill="FFFFFF"/>
          <w:lang w:val="en-US" w:eastAsia="zh-CN" w:bidi="ar"/>
        </w:rPr>
        <w:t>年收购计划。加强督促指导各直补订单收购县粮食收购工作，确保顺利完成自治区下达我市储备粮直补订单粮食收购任务。制定市级储备粮轮换销售和补库计划，督促各承储企业加强保粮措施，确保按质按量按时完成市级储备粮的轮换销售和补库任务。加强对市级成品粮油储备的监管，确保市级成品粮油储备按规定落实到位，保障应急供应粮油需求。继续抓好粮食流通统计工作，继续抓好粮食种植结构调整引导工作。指导各县（区）积极开展粮食种植结构调整，加大优质稻的种植面积。</w:t>
      </w:r>
    </w:p>
    <w:p w14:paraId="4378E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8.持续保障和改善民生。统筹推进易地扶贫搬迁工作，坚持搬迁与发展并重，加强产业配套和就业安置，大力推动“微田园、微车间、微市场”等后续脱贫产业和就业扶持工作，确保搬得出、稳得住、能致富。持续补齐教育、医疗短板，着力增强贫困人口基本医疗和义务教育保障。抓好医疗基础设施建设。加快推进红会医院迁建项目、中西医结合医院项目、工人医院总院搬迁项目、柳州市燎原医院等项目建设。完善社区卫生服务体系，进一步构建和完善“</w:t>
      </w:r>
      <w:r>
        <w:rPr>
          <w:rFonts w:hint="default" w:ascii="Times New Roman" w:hAnsi="Times New Roman" w:eastAsia="仿宋_GB2312" w:cs="Times New Roman"/>
          <w:i w:val="0"/>
          <w:caps w:val="0"/>
          <w:color w:val="333333"/>
          <w:spacing w:val="0"/>
          <w:kern w:val="0"/>
          <w:sz w:val="32"/>
          <w:szCs w:val="32"/>
          <w:shd w:val="clear" w:fill="FFFFFF"/>
          <w:lang w:val="en-US" w:eastAsia="zh-CN" w:bidi="ar"/>
        </w:rPr>
        <w:t>15</w:t>
      </w:r>
      <w:r>
        <w:rPr>
          <w:rFonts w:hint="eastAsia" w:ascii="仿宋_GB2312" w:hAnsi="Helvetica" w:eastAsia="仿宋_GB2312" w:cs="仿宋_GB2312"/>
          <w:i w:val="0"/>
          <w:caps w:val="0"/>
          <w:color w:val="333333"/>
          <w:spacing w:val="0"/>
          <w:kern w:val="0"/>
          <w:sz w:val="32"/>
          <w:szCs w:val="32"/>
          <w:shd w:val="clear" w:fill="FFFFFF"/>
          <w:lang w:val="en-US" w:eastAsia="zh-CN" w:bidi="ar"/>
        </w:rPr>
        <w:t>分钟社区卫生服务圈”，进一步提升医疗卫生服务覆盖面和保障水平。推进医养融合建设，推动医疗机构与养老机构合作共建，将潭西街道社区卫生服务中心打造成为我市首个财政性资金投资建设的医养结合试点项目。加快实施第三期学前教育行动计划，巩固义务教育均衡发展成果，持续推进职业教育国际化。积极推进高等教育发展，支持鹿山学院转设柳州工学院。加快构建现代公共文化服务体系，完善公共文化基础设施，积极推进柳州市图书馆新馆、柳空文化艺术创业园等文化项目建设，促进文化产业健康快速发展。统筹体育事业发展，加快城区体育园、鹿寨县体育公园、三江县文体中心建设，不断提升体育公共产品供给能力。进一步建立健全物资储备工作机制，积极推进柳州市级应急物资储备库建设项目，着力做好猪肉等重要商品的保供稳价工作，确保物价水平总体稳定。</w:t>
      </w:r>
    </w:p>
    <w:p w14:paraId="1FE03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20"/>
        <w:rPr>
          <w:rFonts w:hint="default" w:ascii="Helvetica" w:hAnsi="Helvetica" w:eastAsia="Helvetica" w:cs="Helvetica"/>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p>
    <w:p w14:paraId="388FC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sz w:val="32"/>
          <w:szCs w:val="32"/>
          <w:shd w:val="clear" w:fill="FFFFFF"/>
        </w:rPr>
        <w:t>二、机构设置情况</w:t>
      </w:r>
    </w:p>
    <w:p w14:paraId="5D3F4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本部门共有直属单位4个。其中：</w:t>
      </w:r>
    </w:p>
    <w:p w14:paraId="58EA8F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（一）行政单位1</w:t>
      </w:r>
      <w:r>
        <w:rPr>
          <w:rFonts w:hint="eastAsia" w:ascii="仿宋_GB2312" w:hAnsi="Helvetica" w:eastAsia="仿宋_GB2312" w:cs="仿宋_GB2312"/>
          <w:i w:val="0"/>
          <w:caps w:val="0"/>
          <w:color w:val="000000"/>
          <w:spacing w:val="0"/>
          <w:kern w:val="0"/>
          <w:sz w:val="32"/>
          <w:szCs w:val="32"/>
          <w:shd w:val="clear" w:fill="FFFFFF"/>
          <w:lang w:val="en-US" w:eastAsia="zh-CN" w:bidi="ar"/>
        </w:rPr>
        <w:t>个，为柳州市发展和改革委员会。</w:t>
      </w:r>
    </w:p>
    <w:p w14:paraId="7373A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（二）参照公务员管理事业单位</w:t>
      </w:r>
      <w:r>
        <w:rPr>
          <w:rFonts w:hint="eastAsia" w:ascii="仿宋_GB2312" w:hAnsi="Helvetica" w:eastAsia="仿宋_GB2312" w:cs="仿宋_GB2312"/>
          <w:i w:val="0"/>
          <w:caps w:val="0"/>
          <w:color w:val="000000"/>
          <w:spacing w:val="0"/>
          <w:kern w:val="0"/>
          <w:sz w:val="32"/>
          <w:szCs w:val="32"/>
          <w:shd w:val="clear" w:fill="FFFFFF"/>
          <w:lang w:val="en-US" w:eastAsia="zh-CN" w:bidi="ar"/>
        </w:rPr>
        <w:t>3个，分别是柳州市价格认证中心、柳州市项目促进中心、柳州市储备粮管理中心。</w:t>
      </w:r>
    </w:p>
    <w:p w14:paraId="3D317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机关本级内设24个科室，分别为：办公室、发展规划和国民经济科、综合法规科、体制改革和政策研究科、区域合作和对外开放科、固定资产投资和利用外资科、农村经济科、工业和服务业科、能源和高技术发展科、重大项目建设科、基础设施科、资源节约和环境保护科、社会发展科、营商环境和信用建设科、价格管理科、价格调控和收费管理科、价格成本监审科、粮食储备与产业发展科、规划建设与安全仓储科、物资储备科、执法督查科、经济与国防协调发展科、财务科、人事科。</w:t>
      </w:r>
    </w:p>
    <w:p w14:paraId="13E52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480"/>
        <w:jc w:val="both"/>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kern w:val="0"/>
          <w:sz w:val="32"/>
          <w:szCs w:val="32"/>
          <w:shd w:val="clear" w:fill="FFFFFF"/>
          <w:lang w:val="en-US" w:eastAsia="zh-CN" w:bidi="ar"/>
        </w:rPr>
        <w:t>  </w:t>
      </w:r>
    </w:p>
    <w:p w14:paraId="1780A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sz w:val="32"/>
          <w:szCs w:val="32"/>
          <w:shd w:val="clear" w:fill="FFFFFF"/>
        </w:rPr>
        <w:t>三、编制现状及人员构成</w:t>
      </w:r>
    </w:p>
    <w:p w14:paraId="1C826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333333"/>
          <w:spacing w:val="0"/>
          <w:sz w:val="32"/>
          <w:szCs w:val="32"/>
          <w:shd w:val="clear" w:fill="FFFFFF"/>
        </w:rPr>
        <w:t>  </w:t>
      </w:r>
    </w:p>
    <w:p w14:paraId="1EF68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00" w:lineRule="atLeast"/>
        <w:ind w:left="0" w:right="0"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333333"/>
          <w:spacing w:val="0"/>
          <w:sz w:val="32"/>
          <w:szCs w:val="32"/>
          <w:shd w:val="clear" w:fill="FFFFFF"/>
        </w:rPr>
        <w:t>基本情况表</w:t>
      </w:r>
    </w:p>
    <w:p w14:paraId="0B27C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00" w:lineRule="atLeast"/>
        <w:ind w:left="0" w:right="315" w:firstLine="480"/>
        <w:jc w:val="center"/>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  单位：人、辆</w:t>
      </w:r>
    </w:p>
    <w:p w14:paraId="3078F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center"/>
        <w:rPr>
          <w:rFonts w:hint="default" w:ascii="Helvetica" w:hAnsi="Helvetica" w:eastAsia="Helvetica" w:cs="Helvetica"/>
          <w:i w:val="0"/>
          <w:caps w:val="0"/>
          <w:color w:val="333333"/>
          <w:spacing w:val="0"/>
          <w:sz w:val="24"/>
          <w:szCs w:val="24"/>
        </w:rPr>
      </w:pPr>
    </w:p>
    <w:tbl>
      <w:tblPr>
        <w:tblStyle w:val="3"/>
        <w:tblW w:w="9090" w:type="dxa"/>
        <w:tblInd w:w="0" w:type="dxa"/>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039"/>
        <w:gridCol w:w="1151"/>
        <w:gridCol w:w="684"/>
        <w:gridCol w:w="726"/>
        <w:gridCol w:w="710"/>
        <w:gridCol w:w="806"/>
        <w:gridCol w:w="896"/>
        <w:gridCol w:w="1034"/>
        <w:gridCol w:w="1044"/>
      </w:tblGrid>
      <w:tr w14:paraId="3CE0CA02">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11" w:hRule="atLeast"/>
        </w:trPr>
        <w:tc>
          <w:tcPr>
            <w:tcW w:w="2039" w:type="dxa"/>
            <w:tcBorders>
              <w:top w:val="single" w:color="auto" w:sz="8" w:space="0"/>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6E51E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105"/>
              <w:jc w:val="center"/>
              <w:rPr>
                <w:sz w:val="24"/>
                <w:szCs w:val="24"/>
              </w:rPr>
            </w:pPr>
            <w:r>
              <w:rPr>
                <w:rFonts w:hint="eastAsia" w:ascii="仿宋_GB2312" w:hAnsi="Helvetica" w:eastAsia="仿宋_GB2312" w:cs="仿宋_GB2312"/>
                <w:i w:val="0"/>
                <w:caps w:val="0"/>
                <w:color w:val="333333"/>
                <w:spacing w:val="0"/>
                <w:sz w:val="28"/>
                <w:szCs w:val="28"/>
              </w:rPr>
              <w:t>单位名称</w:t>
            </w:r>
          </w:p>
        </w:tc>
        <w:tc>
          <w:tcPr>
            <w:tcW w:w="1151" w:type="dxa"/>
            <w:tcBorders>
              <w:top w:val="single" w:color="auto" w:sz="8" w:space="0"/>
              <w:left w:val="nil"/>
              <w:bottom w:val="single" w:color="auto" w:sz="8" w:space="0"/>
              <w:right w:val="single" w:color="auto" w:sz="8" w:space="0"/>
            </w:tcBorders>
            <w:shd w:val="clear" w:color="auto" w:fill="FFFFFF"/>
            <w:tcMar>
              <w:top w:w="20" w:type="dxa"/>
              <w:left w:w="20" w:type="dxa"/>
              <w:right w:w="20" w:type="dxa"/>
            </w:tcMar>
            <w:vAlign w:val="center"/>
          </w:tcPr>
          <w:p w14:paraId="2C7D4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单位</w:t>
            </w:r>
            <w:r>
              <w:rPr>
                <w:rFonts w:hint="eastAsia" w:ascii="仿宋_GB2312" w:hAnsi="Helvetica" w:eastAsia="仿宋_GB2312" w:cs="仿宋_GB2312"/>
                <w:i w:val="0"/>
                <w:caps w:val="0"/>
                <w:color w:val="333333"/>
                <w:spacing w:val="0"/>
                <w:sz w:val="28"/>
                <w:szCs w:val="28"/>
              </w:rPr>
              <w:br w:type="textWrapping"/>
            </w:r>
            <w:r>
              <w:rPr>
                <w:rFonts w:hint="eastAsia" w:ascii="仿宋_GB2312" w:hAnsi="Helvetica" w:eastAsia="仿宋_GB2312" w:cs="仿宋_GB2312"/>
                <w:i w:val="0"/>
                <w:caps w:val="0"/>
                <w:color w:val="333333"/>
                <w:spacing w:val="0"/>
                <w:sz w:val="28"/>
                <w:szCs w:val="28"/>
              </w:rPr>
              <w:t>  性质</w:t>
            </w:r>
            <w:r>
              <w:rPr>
                <w:rFonts w:hint="eastAsia" w:ascii="仿宋_GB2312" w:hAnsi="Helvetica" w:eastAsia="仿宋_GB2312" w:cs="仿宋_GB2312"/>
                <w:i w:val="0"/>
                <w:caps w:val="0"/>
                <w:color w:val="333333"/>
                <w:spacing w:val="0"/>
                <w:sz w:val="28"/>
                <w:szCs w:val="28"/>
              </w:rPr>
              <w:br w:type="textWrapping"/>
            </w:r>
            <w:r>
              <w:rPr>
                <w:rFonts w:hint="eastAsia" w:ascii="仿宋_GB2312" w:hAnsi="Helvetica" w:eastAsia="仿宋_GB2312" w:cs="仿宋_GB2312"/>
                <w:i w:val="0"/>
                <w:caps w:val="0"/>
                <w:color w:val="333333"/>
                <w:spacing w:val="0"/>
                <w:sz w:val="28"/>
                <w:szCs w:val="28"/>
              </w:rPr>
              <w:t>  （编制本）</w:t>
            </w:r>
          </w:p>
        </w:tc>
        <w:tc>
          <w:tcPr>
            <w:tcW w:w="684" w:type="dxa"/>
            <w:tcBorders>
              <w:top w:val="single" w:color="auto" w:sz="8" w:space="0"/>
              <w:left w:val="nil"/>
              <w:bottom w:val="single" w:color="auto" w:sz="8" w:space="0"/>
              <w:right w:val="single" w:color="auto" w:sz="8" w:space="0"/>
            </w:tcBorders>
            <w:shd w:val="clear" w:color="auto" w:fill="FFFFFF"/>
            <w:tcMar>
              <w:top w:w="20" w:type="dxa"/>
              <w:left w:w="20" w:type="dxa"/>
              <w:right w:w="20" w:type="dxa"/>
            </w:tcMar>
            <w:vAlign w:val="center"/>
          </w:tcPr>
          <w:p w14:paraId="4258F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编制人数</w:t>
            </w:r>
          </w:p>
        </w:tc>
        <w:tc>
          <w:tcPr>
            <w:tcW w:w="726" w:type="dxa"/>
            <w:tcBorders>
              <w:top w:val="single" w:color="auto" w:sz="8" w:space="0"/>
              <w:left w:val="nil"/>
              <w:bottom w:val="single" w:color="auto" w:sz="8" w:space="0"/>
              <w:right w:val="single" w:color="auto" w:sz="8" w:space="0"/>
            </w:tcBorders>
            <w:shd w:val="clear" w:color="auto" w:fill="FFFFFF"/>
            <w:tcMar>
              <w:top w:w="20" w:type="dxa"/>
              <w:left w:w="30" w:type="dxa"/>
              <w:right w:w="20" w:type="dxa"/>
            </w:tcMar>
            <w:vAlign w:val="center"/>
          </w:tcPr>
          <w:p w14:paraId="62C2F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实有在职人数</w:t>
            </w:r>
          </w:p>
        </w:tc>
        <w:tc>
          <w:tcPr>
            <w:tcW w:w="710" w:type="dxa"/>
            <w:tcBorders>
              <w:top w:val="single" w:color="auto" w:sz="8" w:space="0"/>
              <w:left w:val="nil"/>
              <w:bottom w:val="single" w:color="auto" w:sz="8" w:space="0"/>
              <w:right w:val="single" w:color="auto" w:sz="8" w:space="0"/>
            </w:tcBorders>
            <w:shd w:val="clear" w:color="auto" w:fill="FFFFFF"/>
            <w:tcMar>
              <w:top w:w="20" w:type="dxa"/>
              <w:left w:w="20" w:type="dxa"/>
              <w:right w:w="20" w:type="dxa"/>
            </w:tcMar>
            <w:vAlign w:val="center"/>
          </w:tcPr>
          <w:p w14:paraId="7AB79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离休</w:t>
            </w:r>
            <w:r>
              <w:rPr>
                <w:rFonts w:hint="eastAsia" w:ascii="仿宋_GB2312" w:hAnsi="Helvetica" w:eastAsia="仿宋_GB2312" w:cs="仿宋_GB2312"/>
                <w:i w:val="0"/>
                <w:caps w:val="0"/>
                <w:color w:val="333333"/>
                <w:spacing w:val="0"/>
                <w:sz w:val="28"/>
                <w:szCs w:val="28"/>
              </w:rPr>
              <w:br w:type="textWrapping"/>
            </w:r>
            <w:r>
              <w:rPr>
                <w:rFonts w:hint="eastAsia" w:ascii="仿宋_GB2312" w:hAnsi="Helvetica" w:eastAsia="仿宋_GB2312" w:cs="仿宋_GB2312"/>
                <w:i w:val="0"/>
                <w:caps w:val="0"/>
                <w:color w:val="333333"/>
                <w:spacing w:val="0"/>
                <w:sz w:val="28"/>
                <w:szCs w:val="28"/>
              </w:rPr>
              <w:t>  人数</w:t>
            </w:r>
          </w:p>
        </w:tc>
        <w:tc>
          <w:tcPr>
            <w:tcW w:w="806" w:type="dxa"/>
            <w:tcBorders>
              <w:top w:val="single" w:color="auto" w:sz="8" w:space="0"/>
              <w:left w:val="nil"/>
              <w:bottom w:val="single" w:color="auto" w:sz="8" w:space="0"/>
              <w:right w:val="single" w:color="auto" w:sz="8" w:space="0"/>
            </w:tcBorders>
            <w:shd w:val="clear" w:color="auto" w:fill="FFFFFF"/>
            <w:tcMar>
              <w:top w:w="20" w:type="dxa"/>
              <w:left w:w="20" w:type="dxa"/>
              <w:right w:w="20" w:type="dxa"/>
            </w:tcMar>
            <w:vAlign w:val="center"/>
          </w:tcPr>
          <w:p w14:paraId="5F810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退休</w:t>
            </w:r>
          </w:p>
          <w:p w14:paraId="69C5A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人数</w:t>
            </w:r>
          </w:p>
        </w:tc>
        <w:tc>
          <w:tcPr>
            <w:tcW w:w="896" w:type="dxa"/>
            <w:tcBorders>
              <w:top w:val="single" w:color="auto" w:sz="8" w:space="0"/>
              <w:left w:val="nil"/>
              <w:bottom w:val="single" w:color="auto" w:sz="8" w:space="0"/>
              <w:right w:val="single" w:color="auto" w:sz="8" w:space="0"/>
            </w:tcBorders>
            <w:shd w:val="clear" w:color="auto" w:fill="FFFFFF"/>
            <w:tcMar>
              <w:left w:w="10" w:type="dxa"/>
              <w:right w:w="10" w:type="dxa"/>
            </w:tcMar>
            <w:vAlign w:val="center"/>
          </w:tcPr>
          <w:p w14:paraId="35946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聘用</w:t>
            </w:r>
          </w:p>
          <w:p w14:paraId="1B659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人数</w:t>
            </w:r>
          </w:p>
        </w:tc>
        <w:tc>
          <w:tcPr>
            <w:tcW w:w="1034" w:type="dxa"/>
            <w:tcBorders>
              <w:top w:val="single" w:color="auto" w:sz="8" w:space="0"/>
              <w:left w:val="nil"/>
              <w:bottom w:val="single" w:color="auto" w:sz="8" w:space="0"/>
              <w:right w:val="single" w:color="auto" w:sz="8" w:space="0"/>
            </w:tcBorders>
            <w:shd w:val="clear" w:color="auto" w:fill="FFFFFF"/>
            <w:tcMar>
              <w:top w:w="20" w:type="dxa"/>
              <w:left w:w="20" w:type="dxa"/>
              <w:right w:w="20" w:type="dxa"/>
            </w:tcMar>
            <w:vAlign w:val="center"/>
          </w:tcPr>
          <w:p w14:paraId="3AD2A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_GB2312" w:hAnsi="Helvetica" w:eastAsia="仿宋_GB2312" w:cs="仿宋_GB2312"/>
                <w:i w:val="0"/>
                <w:caps w:val="0"/>
                <w:color w:val="333333"/>
                <w:spacing w:val="0"/>
                <w:sz w:val="28"/>
                <w:szCs w:val="28"/>
              </w:rPr>
              <w:t>学生人数</w:t>
            </w:r>
          </w:p>
        </w:tc>
        <w:tc>
          <w:tcPr>
            <w:tcW w:w="1044" w:type="dxa"/>
            <w:tcBorders>
              <w:top w:val="single" w:color="auto" w:sz="8" w:space="0"/>
              <w:left w:val="nil"/>
              <w:bottom w:val="single" w:color="auto" w:sz="8" w:space="0"/>
              <w:right w:val="single" w:color="auto" w:sz="8" w:space="0"/>
            </w:tcBorders>
            <w:shd w:val="clear" w:color="auto" w:fill="FFFFFF"/>
            <w:tcMar>
              <w:top w:w="20" w:type="dxa"/>
              <w:left w:w="30" w:type="dxa"/>
              <w:right w:w="20" w:type="dxa"/>
            </w:tcMar>
            <w:vAlign w:val="center"/>
          </w:tcPr>
          <w:p w14:paraId="020FF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rPr>
                <w:sz w:val="24"/>
                <w:szCs w:val="24"/>
              </w:rPr>
            </w:pPr>
            <w:r>
              <w:rPr>
                <w:rFonts w:hint="eastAsia" w:ascii="仿宋_GB2312" w:hAnsi="Helvetica" w:eastAsia="仿宋_GB2312" w:cs="仿宋_GB2312"/>
                <w:i w:val="0"/>
                <w:caps w:val="0"/>
                <w:color w:val="333333"/>
                <w:spacing w:val="0"/>
                <w:sz w:val="28"/>
                <w:szCs w:val="28"/>
              </w:rPr>
              <w:t>保留车辆数</w:t>
            </w:r>
          </w:p>
        </w:tc>
      </w:tr>
      <w:tr w14:paraId="61B0E882">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7" w:hRule="atLeast"/>
        </w:trPr>
        <w:tc>
          <w:tcPr>
            <w:tcW w:w="2039" w:type="dxa"/>
            <w:tcBorders>
              <w:top w:val="nil"/>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5C678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105"/>
              <w:jc w:val="center"/>
              <w:rPr>
                <w:sz w:val="24"/>
                <w:szCs w:val="24"/>
              </w:rPr>
            </w:pPr>
            <w:r>
              <w:rPr>
                <w:rFonts w:ascii="仿宋" w:hAnsi="仿宋" w:eastAsia="仿宋" w:cs="仿宋"/>
                <w:i w:val="0"/>
                <w:caps w:val="0"/>
                <w:color w:val="333333"/>
                <w:spacing w:val="0"/>
                <w:sz w:val="24"/>
                <w:szCs w:val="24"/>
              </w:rPr>
              <w:t>合计</w:t>
            </w:r>
          </w:p>
        </w:tc>
        <w:tc>
          <w:tcPr>
            <w:tcW w:w="1151"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79B74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420"/>
              <w:jc w:val="center"/>
              <w:rPr>
                <w:sz w:val="24"/>
                <w:szCs w:val="24"/>
              </w:rPr>
            </w:pPr>
            <w:r>
              <w:rPr>
                <w:rFonts w:hint="eastAsia" w:ascii="仿宋" w:hAnsi="仿宋" w:eastAsia="仿宋" w:cs="仿宋"/>
                <w:i w:val="0"/>
                <w:caps w:val="0"/>
                <w:color w:val="333333"/>
                <w:spacing w:val="0"/>
                <w:sz w:val="24"/>
                <w:szCs w:val="24"/>
              </w:rPr>
              <w:t>  </w:t>
            </w:r>
          </w:p>
        </w:tc>
        <w:tc>
          <w:tcPr>
            <w:tcW w:w="68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1F6A7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138</w:t>
            </w:r>
          </w:p>
        </w:tc>
        <w:tc>
          <w:tcPr>
            <w:tcW w:w="726"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171E6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125</w:t>
            </w:r>
          </w:p>
        </w:tc>
        <w:tc>
          <w:tcPr>
            <w:tcW w:w="710" w:type="dxa"/>
            <w:tcBorders>
              <w:top w:val="nil"/>
              <w:left w:val="nil"/>
              <w:bottom w:val="single" w:color="auto" w:sz="8" w:space="0"/>
              <w:right w:val="single" w:color="auto" w:sz="8" w:space="0"/>
            </w:tcBorders>
            <w:shd w:val="clear" w:color="auto" w:fill="FFFFFF"/>
            <w:tcMar>
              <w:top w:w="20" w:type="dxa"/>
              <w:left w:w="20" w:type="dxa"/>
              <w:right w:w="20" w:type="dxa"/>
            </w:tcMar>
            <w:vAlign w:val="center"/>
          </w:tcPr>
          <w:p w14:paraId="5D4FC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w:t>
            </w:r>
          </w:p>
        </w:tc>
        <w:tc>
          <w:tcPr>
            <w:tcW w:w="806" w:type="dxa"/>
            <w:tcBorders>
              <w:top w:val="nil"/>
              <w:left w:val="nil"/>
              <w:bottom w:val="single" w:color="auto" w:sz="8" w:space="0"/>
              <w:right w:val="single" w:color="auto" w:sz="8" w:space="0"/>
            </w:tcBorders>
            <w:shd w:val="clear" w:color="auto" w:fill="FFFFFF"/>
            <w:tcMar>
              <w:top w:w="20" w:type="dxa"/>
              <w:left w:w="20" w:type="dxa"/>
              <w:right w:w="20" w:type="dxa"/>
            </w:tcMar>
            <w:vAlign w:val="center"/>
          </w:tcPr>
          <w:p w14:paraId="0C5B7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104</w:t>
            </w:r>
          </w:p>
        </w:tc>
        <w:tc>
          <w:tcPr>
            <w:tcW w:w="896" w:type="dxa"/>
            <w:tcBorders>
              <w:top w:val="nil"/>
              <w:left w:val="nil"/>
              <w:bottom w:val="single" w:color="auto" w:sz="8" w:space="0"/>
              <w:right w:val="single" w:color="auto" w:sz="8" w:space="0"/>
            </w:tcBorders>
            <w:shd w:val="clear" w:color="auto" w:fill="FFFFFF"/>
            <w:tcMar>
              <w:left w:w="10" w:type="dxa"/>
              <w:right w:w="10" w:type="dxa"/>
            </w:tcMar>
            <w:vAlign w:val="center"/>
          </w:tcPr>
          <w:p w14:paraId="6F9DF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49</w:t>
            </w:r>
          </w:p>
        </w:tc>
        <w:tc>
          <w:tcPr>
            <w:tcW w:w="103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3DD32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1044"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79CDB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420"/>
              <w:jc w:val="center"/>
              <w:rPr>
                <w:sz w:val="24"/>
                <w:szCs w:val="24"/>
              </w:rPr>
            </w:pPr>
            <w:r>
              <w:rPr>
                <w:rFonts w:hint="eastAsia" w:ascii="仿宋" w:hAnsi="仿宋" w:eastAsia="仿宋" w:cs="仿宋"/>
                <w:i w:val="0"/>
                <w:caps w:val="0"/>
                <w:color w:val="333333"/>
                <w:spacing w:val="0"/>
                <w:sz w:val="24"/>
                <w:szCs w:val="24"/>
              </w:rPr>
              <w:t>1</w:t>
            </w:r>
          </w:p>
        </w:tc>
      </w:tr>
      <w:tr w14:paraId="639D1073">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7" w:hRule="atLeast"/>
        </w:trPr>
        <w:tc>
          <w:tcPr>
            <w:tcW w:w="2039" w:type="dxa"/>
            <w:tcBorders>
              <w:top w:val="nil"/>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4D1C6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18"/>
                <w:szCs w:val="18"/>
              </w:rPr>
              <w:t>柳州市发展和改革委员会</w:t>
            </w:r>
          </w:p>
        </w:tc>
        <w:tc>
          <w:tcPr>
            <w:tcW w:w="1151"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71538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行政单位</w:t>
            </w:r>
          </w:p>
        </w:tc>
        <w:tc>
          <w:tcPr>
            <w:tcW w:w="68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08F4B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95</w:t>
            </w:r>
          </w:p>
        </w:tc>
        <w:tc>
          <w:tcPr>
            <w:tcW w:w="726"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06666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81</w:t>
            </w:r>
          </w:p>
        </w:tc>
        <w:tc>
          <w:tcPr>
            <w:tcW w:w="710" w:type="dxa"/>
            <w:tcBorders>
              <w:top w:val="nil"/>
              <w:left w:val="nil"/>
              <w:bottom w:val="single" w:color="auto" w:sz="8" w:space="0"/>
              <w:right w:val="single" w:color="auto" w:sz="8" w:space="0"/>
            </w:tcBorders>
            <w:shd w:val="clear" w:color="auto" w:fill="FFFFFF"/>
            <w:tcMar>
              <w:top w:w="20" w:type="dxa"/>
              <w:left w:w="20" w:type="dxa"/>
              <w:right w:w="20" w:type="dxa"/>
            </w:tcMar>
            <w:vAlign w:val="center"/>
          </w:tcPr>
          <w:p w14:paraId="17DE9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w:t>
            </w:r>
          </w:p>
        </w:tc>
        <w:tc>
          <w:tcPr>
            <w:tcW w:w="806" w:type="dxa"/>
            <w:tcBorders>
              <w:top w:val="nil"/>
              <w:left w:val="nil"/>
              <w:bottom w:val="single" w:color="auto" w:sz="8" w:space="0"/>
              <w:right w:val="single" w:color="auto" w:sz="8" w:space="0"/>
            </w:tcBorders>
            <w:shd w:val="clear" w:color="auto" w:fill="FFFFFF"/>
            <w:tcMar>
              <w:top w:w="20" w:type="dxa"/>
              <w:left w:w="20" w:type="dxa"/>
              <w:right w:w="20" w:type="dxa"/>
            </w:tcMar>
            <w:vAlign w:val="center"/>
          </w:tcPr>
          <w:p w14:paraId="538A8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95</w:t>
            </w:r>
          </w:p>
        </w:tc>
        <w:tc>
          <w:tcPr>
            <w:tcW w:w="896" w:type="dxa"/>
            <w:tcBorders>
              <w:top w:val="nil"/>
              <w:left w:val="nil"/>
              <w:bottom w:val="single" w:color="auto" w:sz="8" w:space="0"/>
              <w:right w:val="single" w:color="auto" w:sz="8" w:space="0"/>
            </w:tcBorders>
            <w:shd w:val="clear" w:color="auto" w:fill="FFFFFF"/>
            <w:tcMar>
              <w:left w:w="10" w:type="dxa"/>
              <w:right w:w="10" w:type="dxa"/>
            </w:tcMar>
            <w:vAlign w:val="center"/>
          </w:tcPr>
          <w:p w14:paraId="5FEC2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103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6FD5D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1044"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3B450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420"/>
              <w:jc w:val="center"/>
              <w:rPr>
                <w:sz w:val="24"/>
                <w:szCs w:val="24"/>
              </w:rPr>
            </w:pPr>
            <w:r>
              <w:rPr>
                <w:rFonts w:hint="eastAsia" w:ascii="仿宋" w:hAnsi="仿宋" w:eastAsia="仿宋" w:cs="仿宋"/>
                <w:i w:val="0"/>
                <w:caps w:val="0"/>
                <w:color w:val="333333"/>
                <w:spacing w:val="0"/>
                <w:sz w:val="24"/>
                <w:szCs w:val="24"/>
              </w:rPr>
              <w:t>1</w:t>
            </w:r>
          </w:p>
        </w:tc>
      </w:tr>
      <w:tr w14:paraId="170CDA6A">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580" w:hRule="atLeast"/>
        </w:trPr>
        <w:tc>
          <w:tcPr>
            <w:tcW w:w="2039" w:type="dxa"/>
            <w:tcBorders>
              <w:top w:val="nil"/>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4E3E9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18"/>
                <w:szCs w:val="18"/>
              </w:rPr>
              <w:t>柳州市价格认证中心</w:t>
            </w:r>
          </w:p>
        </w:tc>
        <w:tc>
          <w:tcPr>
            <w:tcW w:w="1151"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44EE6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参公事业</w:t>
            </w:r>
          </w:p>
        </w:tc>
        <w:tc>
          <w:tcPr>
            <w:tcW w:w="68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22351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10</w:t>
            </w:r>
          </w:p>
        </w:tc>
        <w:tc>
          <w:tcPr>
            <w:tcW w:w="726"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1082B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10</w:t>
            </w:r>
          </w:p>
        </w:tc>
        <w:tc>
          <w:tcPr>
            <w:tcW w:w="710"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05DB7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806"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1B97F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896" w:type="dxa"/>
            <w:tcBorders>
              <w:top w:val="nil"/>
              <w:left w:val="nil"/>
              <w:bottom w:val="single" w:color="auto" w:sz="8" w:space="0"/>
              <w:right w:val="single" w:color="auto" w:sz="8" w:space="0"/>
            </w:tcBorders>
            <w:shd w:val="clear" w:color="auto" w:fill="FFFFFF"/>
            <w:tcMar>
              <w:left w:w="10" w:type="dxa"/>
              <w:right w:w="10" w:type="dxa"/>
            </w:tcMar>
            <w:vAlign w:val="top"/>
          </w:tcPr>
          <w:p w14:paraId="7529B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43</w:t>
            </w:r>
          </w:p>
        </w:tc>
        <w:tc>
          <w:tcPr>
            <w:tcW w:w="103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194A8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1044"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17DB4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752"/>
              <w:rPr>
                <w:sz w:val="24"/>
                <w:szCs w:val="24"/>
              </w:rPr>
            </w:pPr>
            <w:r>
              <w:rPr>
                <w:rFonts w:hint="eastAsia" w:ascii="仿宋" w:hAnsi="仿宋" w:eastAsia="仿宋" w:cs="仿宋"/>
                <w:i w:val="0"/>
                <w:caps w:val="0"/>
                <w:color w:val="333333"/>
                <w:spacing w:val="0"/>
                <w:sz w:val="24"/>
                <w:szCs w:val="24"/>
              </w:rPr>
              <w:t>  </w:t>
            </w:r>
          </w:p>
        </w:tc>
      </w:tr>
      <w:tr w14:paraId="5DB6F59C">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227" w:hRule="atLeast"/>
        </w:trPr>
        <w:tc>
          <w:tcPr>
            <w:tcW w:w="2039" w:type="dxa"/>
            <w:tcBorders>
              <w:top w:val="nil"/>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4585C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18"/>
                <w:szCs w:val="18"/>
              </w:rPr>
              <w:t>柳州市项目促进中心</w:t>
            </w:r>
          </w:p>
        </w:tc>
        <w:tc>
          <w:tcPr>
            <w:tcW w:w="1151"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14B0A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参公事业</w:t>
            </w:r>
          </w:p>
        </w:tc>
        <w:tc>
          <w:tcPr>
            <w:tcW w:w="68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0EBDE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17</w:t>
            </w:r>
          </w:p>
        </w:tc>
        <w:tc>
          <w:tcPr>
            <w:tcW w:w="726"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6B852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19</w:t>
            </w:r>
          </w:p>
        </w:tc>
        <w:tc>
          <w:tcPr>
            <w:tcW w:w="710"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7F544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806"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22304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896" w:type="dxa"/>
            <w:tcBorders>
              <w:top w:val="nil"/>
              <w:left w:val="nil"/>
              <w:bottom w:val="single" w:color="auto" w:sz="8" w:space="0"/>
              <w:right w:val="single" w:color="auto" w:sz="8" w:space="0"/>
            </w:tcBorders>
            <w:shd w:val="clear" w:color="auto" w:fill="FFFFFF"/>
            <w:tcMar>
              <w:left w:w="10" w:type="dxa"/>
              <w:right w:w="10" w:type="dxa"/>
            </w:tcMar>
            <w:vAlign w:val="top"/>
          </w:tcPr>
          <w:p w14:paraId="46BF4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6</w:t>
            </w:r>
          </w:p>
        </w:tc>
        <w:tc>
          <w:tcPr>
            <w:tcW w:w="103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5310E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752"/>
              <w:rPr>
                <w:sz w:val="24"/>
                <w:szCs w:val="24"/>
              </w:rPr>
            </w:pPr>
            <w:r>
              <w:rPr>
                <w:rFonts w:hint="eastAsia" w:ascii="仿宋" w:hAnsi="仿宋" w:eastAsia="仿宋" w:cs="仿宋"/>
                <w:i w:val="0"/>
                <w:caps w:val="0"/>
                <w:color w:val="333333"/>
                <w:spacing w:val="0"/>
                <w:sz w:val="24"/>
                <w:szCs w:val="24"/>
              </w:rPr>
              <w:t>  </w:t>
            </w:r>
          </w:p>
        </w:tc>
        <w:tc>
          <w:tcPr>
            <w:tcW w:w="1044"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370F4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752"/>
              <w:rPr>
                <w:sz w:val="24"/>
                <w:szCs w:val="24"/>
              </w:rPr>
            </w:pPr>
            <w:r>
              <w:rPr>
                <w:rFonts w:hint="eastAsia" w:ascii="仿宋" w:hAnsi="仿宋" w:eastAsia="仿宋" w:cs="仿宋"/>
                <w:i w:val="0"/>
                <w:caps w:val="0"/>
                <w:color w:val="333333"/>
                <w:spacing w:val="0"/>
                <w:sz w:val="24"/>
                <w:szCs w:val="24"/>
              </w:rPr>
              <w:t>  </w:t>
            </w:r>
          </w:p>
        </w:tc>
      </w:tr>
      <w:tr w14:paraId="237BC273">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227" w:hRule="atLeast"/>
        </w:trPr>
        <w:tc>
          <w:tcPr>
            <w:tcW w:w="2039" w:type="dxa"/>
            <w:tcBorders>
              <w:top w:val="nil"/>
              <w:left w:val="single" w:color="auto" w:sz="8" w:space="0"/>
              <w:bottom w:val="single" w:color="auto" w:sz="8" w:space="0"/>
              <w:right w:val="single" w:color="auto" w:sz="8" w:space="0"/>
            </w:tcBorders>
            <w:shd w:val="clear" w:color="auto" w:fill="FFFFFF"/>
            <w:tcMar>
              <w:top w:w="20" w:type="dxa"/>
              <w:left w:w="30" w:type="dxa"/>
              <w:right w:w="20" w:type="dxa"/>
            </w:tcMar>
            <w:vAlign w:val="center"/>
          </w:tcPr>
          <w:p w14:paraId="7F51B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18"/>
                <w:szCs w:val="18"/>
              </w:rPr>
              <w:t>柳州市储备粮管理中心</w:t>
            </w:r>
          </w:p>
        </w:tc>
        <w:tc>
          <w:tcPr>
            <w:tcW w:w="1151"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65D66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参公事业</w:t>
            </w:r>
          </w:p>
        </w:tc>
        <w:tc>
          <w:tcPr>
            <w:tcW w:w="68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3262C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16</w:t>
            </w:r>
          </w:p>
        </w:tc>
        <w:tc>
          <w:tcPr>
            <w:tcW w:w="726"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553EA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15</w:t>
            </w:r>
          </w:p>
        </w:tc>
        <w:tc>
          <w:tcPr>
            <w:tcW w:w="710"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4E22D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806"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40FFA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9</w:t>
            </w:r>
          </w:p>
        </w:tc>
        <w:tc>
          <w:tcPr>
            <w:tcW w:w="896" w:type="dxa"/>
            <w:tcBorders>
              <w:top w:val="nil"/>
              <w:left w:val="nil"/>
              <w:bottom w:val="single" w:color="auto" w:sz="8" w:space="0"/>
              <w:right w:val="single" w:color="auto" w:sz="8" w:space="0"/>
            </w:tcBorders>
            <w:shd w:val="clear" w:color="auto" w:fill="FFFFFF"/>
            <w:tcMar>
              <w:left w:w="10" w:type="dxa"/>
              <w:right w:w="10" w:type="dxa"/>
            </w:tcMar>
            <w:vAlign w:val="top"/>
          </w:tcPr>
          <w:p w14:paraId="460A5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jc w:val="center"/>
              <w:rPr>
                <w:sz w:val="24"/>
                <w:szCs w:val="24"/>
              </w:rPr>
            </w:pPr>
            <w:r>
              <w:rPr>
                <w:rFonts w:hint="eastAsia" w:ascii="仿宋" w:hAnsi="仿宋" w:eastAsia="仿宋" w:cs="仿宋"/>
                <w:i w:val="0"/>
                <w:caps w:val="0"/>
                <w:color w:val="333333"/>
                <w:spacing w:val="0"/>
                <w:sz w:val="24"/>
                <w:szCs w:val="24"/>
              </w:rPr>
              <w:t>  </w:t>
            </w:r>
          </w:p>
        </w:tc>
        <w:tc>
          <w:tcPr>
            <w:tcW w:w="1034" w:type="dxa"/>
            <w:tcBorders>
              <w:top w:val="nil"/>
              <w:left w:val="nil"/>
              <w:bottom w:val="single" w:color="auto" w:sz="8" w:space="0"/>
              <w:right w:val="single" w:color="auto" w:sz="8" w:space="0"/>
            </w:tcBorders>
            <w:shd w:val="clear" w:color="auto" w:fill="FFFFFF"/>
            <w:tcMar>
              <w:top w:w="20" w:type="dxa"/>
              <w:left w:w="20" w:type="dxa"/>
              <w:right w:w="20" w:type="dxa"/>
            </w:tcMar>
            <w:vAlign w:val="top"/>
          </w:tcPr>
          <w:p w14:paraId="1C2E3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752"/>
              <w:rPr>
                <w:sz w:val="24"/>
                <w:szCs w:val="24"/>
              </w:rPr>
            </w:pPr>
            <w:r>
              <w:rPr>
                <w:rFonts w:hint="eastAsia" w:ascii="仿宋" w:hAnsi="仿宋" w:eastAsia="仿宋" w:cs="仿宋"/>
                <w:i w:val="0"/>
                <w:caps w:val="0"/>
                <w:color w:val="333333"/>
                <w:spacing w:val="0"/>
                <w:sz w:val="24"/>
                <w:szCs w:val="24"/>
              </w:rPr>
              <w:t>  </w:t>
            </w:r>
          </w:p>
        </w:tc>
        <w:tc>
          <w:tcPr>
            <w:tcW w:w="1044" w:type="dxa"/>
            <w:tcBorders>
              <w:top w:val="nil"/>
              <w:left w:val="nil"/>
              <w:bottom w:val="single" w:color="auto" w:sz="8" w:space="0"/>
              <w:right w:val="single" w:color="auto" w:sz="8" w:space="0"/>
            </w:tcBorders>
            <w:shd w:val="clear" w:color="auto" w:fill="FFFFFF"/>
            <w:tcMar>
              <w:top w:w="20" w:type="dxa"/>
              <w:left w:w="30" w:type="dxa"/>
              <w:right w:w="20" w:type="dxa"/>
            </w:tcMar>
            <w:vAlign w:val="top"/>
          </w:tcPr>
          <w:p w14:paraId="42202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00" w:lineRule="atLeast"/>
              <w:ind w:left="0" w:right="0" w:firstLine="752"/>
              <w:rPr>
                <w:sz w:val="24"/>
                <w:szCs w:val="24"/>
              </w:rPr>
            </w:pPr>
            <w:r>
              <w:rPr>
                <w:rFonts w:hint="eastAsia" w:ascii="仿宋" w:hAnsi="仿宋" w:eastAsia="仿宋" w:cs="仿宋"/>
                <w:i w:val="0"/>
                <w:caps w:val="0"/>
                <w:color w:val="333333"/>
                <w:spacing w:val="0"/>
                <w:sz w:val="24"/>
                <w:szCs w:val="24"/>
              </w:rPr>
              <w:t>  </w:t>
            </w:r>
          </w:p>
        </w:tc>
      </w:tr>
    </w:tbl>
    <w:p w14:paraId="5FF78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80"/>
        <w:rPr>
          <w:rFonts w:hint="default" w:ascii="Helvetica" w:hAnsi="Helvetica" w:eastAsia="Helvetica" w:cs="Helvetica"/>
          <w:i w:val="0"/>
          <w:caps w:val="0"/>
          <w:color w:val="333333"/>
          <w:spacing w:val="0"/>
          <w:sz w:val="21"/>
          <w:szCs w:val="21"/>
        </w:rPr>
      </w:pPr>
    </w:p>
    <w:p w14:paraId="2897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20"/>
        <w:rPr>
          <w:rFonts w:hint="default" w:ascii="Helvetica" w:hAnsi="Helvetica" w:eastAsia="Helvetica" w:cs="Helvetica"/>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p>
    <w:p w14:paraId="5B3B5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  </w:t>
      </w:r>
    </w:p>
    <w:p w14:paraId="24803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  </w:t>
      </w:r>
    </w:p>
    <w:p w14:paraId="5F153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40" w:lineRule="atLeast"/>
        <w:ind w:left="0" w:right="-218"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kern w:val="0"/>
          <w:sz w:val="32"/>
          <w:szCs w:val="32"/>
          <w:shd w:val="clear" w:fill="FFFFFF"/>
          <w:lang w:val="en-US" w:eastAsia="zh-CN" w:bidi="ar"/>
        </w:rPr>
        <w:t>第二部分：柳州市发展和改革委员会2020年部门预算表</w:t>
      </w:r>
    </w:p>
    <w:p w14:paraId="28764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一、财政拨款收支总表</w:t>
      </w:r>
    </w:p>
    <w:p w14:paraId="6EE15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二、一般公共预算支出表</w:t>
      </w:r>
    </w:p>
    <w:p w14:paraId="256A5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三、一般公共预算基本支出表</w:t>
      </w:r>
    </w:p>
    <w:p w14:paraId="1678F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四、一般公共预算“三公”经费支出表</w:t>
      </w:r>
    </w:p>
    <w:p w14:paraId="04D9A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五、部门收支总表</w:t>
      </w:r>
    </w:p>
    <w:p w14:paraId="3FA06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六、部门收入总表</w:t>
      </w:r>
    </w:p>
    <w:p w14:paraId="06071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七、部门支出总表</w:t>
      </w:r>
    </w:p>
    <w:p w14:paraId="42C3E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八、政府性基金预算支出表</w:t>
      </w:r>
    </w:p>
    <w:p w14:paraId="528D1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九、国有资本经营预算支出表</w:t>
      </w:r>
    </w:p>
    <w:p w14:paraId="77A98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十、政府采购预算表</w:t>
      </w:r>
    </w:p>
    <w:p w14:paraId="41494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十一、政府购买服务预算表</w:t>
      </w:r>
    </w:p>
    <w:p w14:paraId="5A7A5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kern w:val="0"/>
          <w:sz w:val="32"/>
          <w:szCs w:val="32"/>
          <w:shd w:val="clear" w:fill="FFFFFF"/>
          <w:lang w:val="en-US" w:eastAsia="zh-CN" w:bidi="ar"/>
        </w:rPr>
        <w:t>上述报表详见附件。</w:t>
      </w:r>
    </w:p>
    <w:p w14:paraId="1237D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kern w:val="0"/>
          <w:sz w:val="32"/>
          <w:szCs w:val="32"/>
          <w:shd w:val="clear" w:fill="FFFFFF"/>
          <w:lang w:val="en-US" w:eastAsia="zh-CN" w:bidi="ar"/>
        </w:rPr>
        <w:t>  </w:t>
      </w:r>
    </w:p>
    <w:p w14:paraId="53825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  </w:t>
      </w:r>
    </w:p>
    <w:p w14:paraId="5BB4D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第三部分：柳州市发展和改革委员会2020年部门预算情况说明</w:t>
      </w:r>
    </w:p>
    <w:p w14:paraId="08A16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一、财政拨款收支预算情况说明</w:t>
      </w:r>
    </w:p>
    <w:p w14:paraId="377D9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2020年部门财政拨款收支预算34032.23万元，同比减少1352.71万元，同比下降3.82%，减少的主要原因：节能减排专项资金划1000万元到环保局管理；柳州市信息化建设管理中心划入市大数据发展局导致减少其他发展与改革事务支出977.41万元，其他城乡社区公共设施支出减少1500万元，其他城乡社区支出减少1164万元；新增机关事业单位职业年金缴费支出115.79万元，因机构改革，物价局和粮食局及其二层单位并入发改委，增加支出。</w:t>
      </w:r>
    </w:p>
    <w:p w14:paraId="404AA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sz w:val="32"/>
          <w:szCs w:val="32"/>
          <w:shd w:val="clear" w:fill="FFFFFF"/>
        </w:rPr>
        <w:t>二、一般公共预算支出情况说明</w:t>
      </w:r>
    </w:p>
    <w:p w14:paraId="234D2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2020年部门一般公共预算支出34032.23万元，同比减少1352.71万元，同比下降3.82%，</w:t>
      </w:r>
      <w:r>
        <w:rPr>
          <w:rFonts w:hint="eastAsia" w:ascii="仿宋_GB2312" w:hAnsi="Helvetica" w:eastAsia="仿宋_GB2312" w:cs="仿宋_GB2312"/>
          <w:i w:val="0"/>
          <w:caps w:val="0"/>
          <w:color w:val="000000"/>
          <w:spacing w:val="0"/>
          <w:sz w:val="32"/>
          <w:szCs w:val="32"/>
          <w:shd w:val="clear" w:fill="FFFFFF"/>
        </w:rPr>
        <w:t>减少的主要原因</w:t>
      </w:r>
      <w:r>
        <w:rPr>
          <w:rFonts w:hint="eastAsia" w:ascii="仿宋_GB2312" w:hAnsi="Helvetica" w:eastAsia="仿宋_GB2312" w:cs="仿宋_GB2312"/>
          <w:b w:val="0"/>
          <w:i w:val="0"/>
          <w:caps w:val="0"/>
          <w:color w:val="333333"/>
          <w:spacing w:val="0"/>
          <w:sz w:val="32"/>
          <w:szCs w:val="32"/>
          <w:shd w:val="clear" w:fill="FFFFFF"/>
        </w:rPr>
        <w:t>：节能减排专项资金划1000万元到环保局管理；柳州市信息化建设管理中心划入市大数据发展局导致减少支出977.41万元，其他城乡社区公共设施支出减少1500万元，其他城乡社区支出减少1164万元；新增机关事业单位职业年金缴费支出115.79万元，因机构改革，物价局和粮食局及其二层单位并入发改委，增加支出。按支出功能分类科目划分，具体支出预算如下：</w:t>
      </w:r>
    </w:p>
    <w:p w14:paraId="23EF2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（一）201类一般公共服务支出2373.54万元，占一般公共预算6.97%，同比增加384.28万元，同比增长19.32%。主要用于保障</w:t>
      </w:r>
      <w:r>
        <w:rPr>
          <w:rFonts w:hint="eastAsia" w:ascii="仿宋_GB2312" w:hAnsi="Helvetica" w:eastAsia="仿宋_GB2312" w:cs="仿宋_GB2312"/>
          <w:i w:val="0"/>
          <w:caps w:val="0"/>
          <w:color w:val="000000"/>
          <w:spacing w:val="0"/>
          <w:sz w:val="32"/>
          <w:szCs w:val="32"/>
          <w:shd w:val="clear" w:fill="FFFFFF"/>
        </w:rPr>
        <w:t>我委日常运转发生的支出，如根据国家规定的基本工资和津补贴标准等安排的人员经费支出，按标准安排的办公费、印刷费、培训费、差旅费、会议费等日常公用经费支出；</w:t>
      </w:r>
      <w:r>
        <w:rPr>
          <w:rFonts w:hint="eastAsia" w:ascii="仿宋_GB2312" w:hAnsi="Helvetica" w:eastAsia="仿宋_GB2312" w:cs="仿宋_GB2312"/>
          <w:i w:val="0"/>
          <w:caps w:val="0"/>
          <w:color w:val="333333"/>
          <w:spacing w:val="0"/>
          <w:sz w:val="32"/>
          <w:szCs w:val="32"/>
          <w:shd w:val="clear" w:fill="FFFFFF"/>
        </w:rPr>
        <w:t>我委为完成各项发改工作任务、保障发改事业发展而发生的项目支出。</w:t>
      </w:r>
      <w:r>
        <w:rPr>
          <w:rFonts w:hint="eastAsia" w:ascii="仿宋_GB2312" w:hAnsi="Helvetica" w:eastAsia="仿宋_GB2312" w:cs="仿宋_GB2312"/>
          <w:i w:val="0"/>
          <w:caps w:val="0"/>
          <w:color w:val="000000"/>
          <w:spacing w:val="0"/>
          <w:sz w:val="32"/>
          <w:szCs w:val="32"/>
          <w:shd w:val="clear" w:fill="FFFFFF"/>
        </w:rPr>
        <w:t>增长的主要原因是2019年机构改革，市物价局、粮食局及二层机构并入我委，人员增加造成。</w:t>
      </w:r>
    </w:p>
    <w:p w14:paraId="23AAC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（二）208类社会保障和就业支出464.51万元，占一般公共预算1.36%，同比增加172.99万元，同比增长59.34%。用于行政单位离退休费、机关事业单位基本养老保险缴费支出、机关事业单位职业年金缴费支出。</w:t>
      </w:r>
      <w:r>
        <w:rPr>
          <w:rFonts w:hint="eastAsia" w:ascii="仿宋_GB2312" w:hAnsi="Helvetica" w:eastAsia="仿宋_GB2312" w:cs="仿宋_GB2312"/>
          <w:i w:val="0"/>
          <w:caps w:val="0"/>
          <w:color w:val="333333"/>
          <w:spacing w:val="0"/>
          <w:sz w:val="32"/>
          <w:szCs w:val="32"/>
          <w:shd w:val="clear" w:fill="FFFFFF"/>
        </w:rPr>
        <w:t>增长的主要原因一是增设职业年金缴费，二是机构改革退休人员增加。</w:t>
      </w:r>
    </w:p>
    <w:p w14:paraId="33EAA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  （三） 210类卫生健康支出248.26万元，</w:t>
      </w:r>
      <w:r>
        <w:rPr>
          <w:rFonts w:hint="eastAsia" w:ascii="仿宋_GB2312" w:hAnsi="Helvetica" w:eastAsia="仿宋_GB2312" w:cs="仿宋_GB2312"/>
          <w:b w:val="0"/>
          <w:i w:val="0"/>
          <w:caps w:val="0"/>
          <w:color w:val="333333"/>
          <w:spacing w:val="0"/>
          <w:sz w:val="32"/>
          <w:szCs w:val="32"/>
          <w:shd w:val="clear" w:fill="FFFFFF"/>
        </w:rPr>
        <w:t>占一般公共预算0.73%，同比增加93.01万元，同比增长59.91%。主要用于行政单位医疗、公务员医疗补助。</w:t>
      </w:r>
      <w:r>
        <w:rPr>
          <w:rFonts w:ascii="华文仿宋" w:hAnsi="华文仿宋" w:eastAsia="华文仿宋" w:cs="华文仿宋"/>
          <w:b w:val="0"/>
          <w:i w:val="0"/>
          <w:caps w:val="0"/>
          <w:color w:val="333333"/>
          <w:spacing w:val="0"/>
          <w:sz w:val="32"/>
          <w:szCs w:val="32"/>
          <w:shd w:val="clear" w:fill="FFFFFF"/>
        </w:rPr>
        <w:t>  </w:t>
      </w:r>
    </w:p>
    <w:p w14:paraId="7AFD6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  （四） 211类节能环保支出1300万元，</w:t>
      </w:r>
      <w:r>
        <w:rPr>
          <w:rFonts w:hint="eastAsia" w:ascii="仿宋_GB2312" w:hAnsi="Helvetica" w:eastAsia="仿宋_GB2312" w:cs="仿宋_GB2312"/>
          <w:b w:val="0"/>
          <w:i w:val="0"/>
          <w:caps w:val="0"/>
          <w:color w:val="333333"/>
          <w:spacing w:val="0"/>
          <w:sz w:val="32"/>
          <w:szCs w:val="32"/>
          <w:shd w:val="clear" w:fill="FFFFFF"/>
        </w:rPr>
        <w:t>占一般公共预算3.82%，，同比减少1000万元，同比下降43.48%，用于</w:t>
      </w:r>
      <w:r>
        <w:rPr>
          <w:rFonts w:hint="eastAsia" w:ascii="仿宋_GB2312" w:hAnsi="Helvetica" w:eastAsia="仿宋_GB2312" w:cs="仿宋_GB2312"/>
          <w:i w:val="0"/>
          <w:caps w:val="0"/>
          <w:color w:val="333333"/>
          <w:spacing w:val="0"/>
          <w:sz w:val="32"/>
          <w:szCs w:val="32"/>
          <w:shd w:val="clear" w:fill="FFFFFF"/>
        </w:rPr>
        <w:t>全市性大专项节能减排专项支出。下降的原因为</w:t>
      </w:r>
      <w:r>
        <w:rPr>
          <w:rFonts w:hint="eastAsia" w:ascii="仿宋_GB2312" w:hAnsi="Helvetica" w:eastAsia="仿宋_GB2312" w:cs="仿宋_GB2312"/>
          <w:b w:val="0"/>
          <w:i w:val="0"/>
          <w:caps w:val="0"/>
          <w:color w:val="333333"/>
          <w:spacing w:val="0"/>
          <w:sz w:val="32"/>
          <w:szCs w:val="32"/>
          <w:shd w:val="clear" w:fill="FFFFFF"/>
        </w:rPr>
        <w:t>节能减排专项资金划1000万元由环保局管理。</w:t>
      </w:r>
    </w:p>
    <w:p w14:paraId="5C161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（五）212城乡社区支出27836万元，</w:t>
      </w:r>
      <w:r>
        <w:rPr>
          <w:rFonts w:hint="eastAsia" w:ascii="仿宋_GB2312" w:hAnsi="Helvetica" w:eastAsia="仿宋_GB2312" w:cs="仿宋_GB2312"/>
          <w:b w:val="0"/>
          <w:i w:val="0"/>
          <w:caps w:val="0"/>
          <w:color w:val="333333"/>
          <w:spacing w:val="0"/>
          <w:sz w:val="32"/>
          <w:szCs w:val="32"/>
          <w:shd w:val="clear" w:fill="FFFFFF"/>
        </w:rPr>
        <w:t>占一般公共预算81.79%，，同比减少2664万元，同比下降8.73%，用于城乡社区规划与管理、其他城乡社区公共设施支出和其他城乡社区支出，下降的主要原因为经济下行压力大，厉行节约，压缩经费。</w:t>
      </w:r>
    </w:p>
    <w:p w14:paraId="3F3E8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（六）221类住房保障支出173.69万元，占一般公共预算0.51%，同比增加24.77万元，同比增长16.64%。用于行政事业单位住房公积金支出。</w:t>
      </w:r>
    </w:p>
    <w:p w14:paraId="0AC47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（七）222粮油物资储备支出1636.23万元，</w:t>
      </w:r>
      <w:r>
        <w:rPr>
          <w:rFonts w:hint="eastAsia" w:ascii="仿宋_GB2312" w:hAnsi="Helvetica" w:eastAsia="仿宋_GB2312" w:cs="仿宋_GB2312"/>
          <w:b w:val="0"/>
          <w:i w:val="0"/>
          <w:caps w:val="0"/>
          <w:color w:val="333333"/>
          <w:spacing w:val="0"/>
          <w:sz w:val="32"/>
          <w:szCs w:val="32"/>
          <w:shd w:val="clear" w:fill="FFFFFF"/>
        </w:rPr>
        <w:t>占一般公共预算4.81%，同比增加</w:t>
      </w:r>
      <w:r>
        <w:rPr>
          <w:rFonts w:hint="eastAsia" w:ascii="仿宋_GB2312" w:hAnsi="Helvetica" w:eastAsia="仿宋_GB2312" w:cs="仿宋_GB2312"/>
          <w:i w:val="0"/>
          <w:caps w:val="0"/>
          <w:color w:val="000000"/>
          <w:spacing w:val="0"/>
          <w:sz w:val="32"/>
          <w:szCs w:val="32"/>
          <w:shd w:val="clear" w:fill="FFFFFF"/>
        </w:rPr>
        <w:t>1636.23万元，用于行政运行（粮油事务）、一般行政管理事务（粮油事务）、粮食专项业务活动、其他粮油事务支出，增长的原因是2019年机构改革，粮食局及二层单位并入我委。</w:t>
      </w:r>
    </w:p>
    <w:p w14:paraId="13D8D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三、一般公共预算基本支出情况说明</w:t>
      </w:r>
    </w:p>
    <w:p w14:paraId="6F9E6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2020年部门一般公共预算基本支出2513.13万元，同比增加596.11万元，同比增长31.10%，</w:t>
      </w:r>
      <w:r>
        <w:rPr>
          <w:rFonts w:hint="eastAsia" w:ascii="仿宋_GB2312" w:hAnsi="Helvetica" w:eastAsia="仿宋_GB2312" w:cs="仿宋_GB2312"/>
          <w:i w:val="0"/>
          <w:caps w:val="0"/>
          <w:color w:val="000000"/>
          <w:spacing w:val="0"/>
          <w:sz w:val="32"/>
          <w:szCs w:val="32"/>
          <w:shd w:val="clear" w:fill="FFFFFF"/>
        </w:rPr>
        <w:t>增加的主要原因一是机构改革并入物价局和粮食局，人员增加，经费相应增加，二是增加了职业年金缴费</w:t>
      </w:r>
      <w:r>
        <w:rPr>
          <w:rFonts w:hint="eastAsia" w:ascii="仿宋_GB2312" w:hAnsi="Helvetica" w:eastAsia="仿宋_GB2312" w:cs="仿宋_GB2312"/>
          <w:b w:val="0"/>
          <w:i w:val="0"/>
          <w:caps w:val="0"/>
          <w:color w:val="333333"/>
          <w:spacing w:val="0"/>
          <w:sz w:val="32"/>
          <w:szCs w:val="32"/>
          <w:shd w:val="clear" w:fill="FFFFFF"/>
        </w:rPr>
        <w:t>。按支出经济分类科目划分，具体人员、公用经费安排如下：</w:t>
      </w:r>
    </w:p>
    <w:p w14:paraId="08013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（一）人员经费2128.64万元，同比增加591.77万元，同比增长38.50%，</w:t>
      </w:r>
      <w:r>
        <w:rPr>
          <w:rFonts w:hint="eastAsia" w:ascii="仿宋_GB2312" w:hAnsi="Helvetica" w:eastAsia="仿宋_GB2312" w:cs="仿宋_GB2312"/>
          <w:i w:val="0"/>
          <w:caps w:val="0"/>
          <w:color w:val="000000"/>
          <w:spacing w:val="0"/>
          <w:sz w:val="32"/>
          <w:szCs w:val="32"/>
          <w:shd w:val="clear" w:fill="FFFFFF"/>
        </w:rPr>
        <w:t>其中</w:t>
      </w:r>
      <w:r>
        <w:rPr>
          <w:rFonts w:hint="eastAsia" w:ascii="仿宋_GB2312" w:hAnsi="Helvetica" w:eastAsia="仿宋_GB2312" w:cs="仿宋_GB2312"/>
          <w:b w:val="0"/>
          <w:i w:val="0"/>
          <w:caps w:val="0"/>
          <w:color w:val="333333"/>
          <w:spacing w:val="0"/>
          <w:sz w:val="32"/>
          <w:szCs w:val="32"/>
          <w:shd w:val="clear" w:fill="FFFFFF"/>
        </w:rPr>
        <w:t>：</w:t>
      </w:r>
    </w:p>
    <w:p w14:paraId="772FE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基本工资</w:t>
      </w:r>
      <w:r>
        <w:rPr>
          <w:rFonts w:hint="eastAsia" w:ascii="仿宋_GB2312" w:hAnsi="Helvetica" w:eastAsia="仿宋_GB2312" w:cs="仿宋_GB2312"/>
          <w:b w:val="0"/>
          <w:i w:val="0"/>
          <w:caps w:val="0"/>
          <w:color w:val="333333"/>
          <w:spacing w:val="0"/>
          <w:sz w:val="32"/>
          <w:szCs w:val="32"/>
          <w:shd w:val="clear" w:fill="FFFFFF"/>
        </w:rPr>
        <w:t>481.86万元，同比增加102.43万元，同比增长26.99%；</w:t>
      </w:r>
      <w:r>
        <w:rPr>
          <w:rFonts w:hint="eastAsia" w:ascii="仿宋_GB2312" w:hAnsi="Helvetica" w:eastAsia="仿宋_GB2312" w:cs="仿宋_GB2312"/>
          <w:i w:val="0"/>
          <w:caps w:val="0"/>
          <w:color w:val="000000"/>
          <w:spacing w:val="0"/>
          <w:sz w:val="32"/>
          <w:szCs w:val="32"/>
          <w:shd w:val="clear" w:fill="FFFFFF"/>
        </w:rPr>
        <w:t>津贴补贴</w:t>
      </w:r>
      <w:r>
        <w:rPr>
          <w:rFonts w:hint="eastAsia" w:ascii="仿宋_GB2312" w:hAnsi="Helvetica" w:eastAsia="仿宋_GB2312" w:cs="仿宋_GB2312"/>
          <w:b w:val="0"/>
          <w:i w:val="0"/>
          <w:caps w:val="0"/>
          <w:color w:val="333333"/>
          <w:spacing w:val="0"/>
          <w:sz w:val="32"/>
          <w:szCs w:val="32"/>
          <w:shd w:val="clear" w:fill="FFFFFF"/>
        </w:rPr>
        <w:t>410.51万元，同比增加66.74万元，同比增长19.41%；奖金351.46万元，同比增加136.62万元，同比增长63.59%；机关事业单位基本养老保险缴费231.58万元，同比减少16.61万元，同比下降6.69%；职业年金缴费115.79万元，同比增加115.79万元，第一次下达职业年金缴费预算；职工基本医疗保险缴费108.55万元，同比增加15.48万元，同比增长16.64%；公务员医疗补助缴费130.70万元，同比增加68.53万元，同比增长110.21%；其他社会保障缴费12.21万元，同比增加3.33万元，同比增长37.53%；住房公积金173.69万元，同比增加24.77万元，同比增长16.64%；离休费12.99万元，同比增加12.99万元，离休干部为机构改革从市粮食局并入一人；退休费90.31万元，同比增加52.69万元，同比增长140.07%；医疗费补助9万元，同比增加9万元。</w:t>
      </w:r>
    </w:p>
    <w:p w14:paraId="05F41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（二）公用经费384.48万元，同比增加4.34万元，同比增长1.14%。其中：</w:t>
      </w:r>
    </w:p>
    <w:p w14:paraId="35AA1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办公费</w:t>
      </w:r>
      <w:r>
        <w:rPr>
          <w:rFonts w:hint="eastAsia" w:ascii="仿宋_GB2312" w:hAnsi="Helvetica" w:eastAsia="仿宋_GB2312" w:cs="仿宋_GB2312"/>
          <w:b w:val="0"/>
          <w:i w:val="0"/>
          <w:caps w:val="0"/>
          <w:color w:val="333333"/>
          <w:spacing w:val="0"/>
          <w:sz w:val="32"/>
          <w:szCs w:val="32"/>
          <w:shd w:val="clear" w:fill="FFFFFF"/>
        </w:rPr>
        <w:t>34.68万元，同比增加3.55万元，同比增长11.41%；</w:t>
      </w:r>
      <w:r>
        <w:rPr>
          <w:rFonts w:hint="eastAsia" w:ascii="仿宋_GB2312" w:hAnsi="Helvetica" w:eastAsia="仿宋_GB2312" w:cs="仿宋_GB2312"/>
          <w:i w:val="0"/>
          <w:caps w:val="0"/>
          <w:color w:val="000000"/>
          <w:spacing w:val="0"/>
          <w:sz w:val="32"/>
          <w:szCs w:val="32"/>
          <w:shd w:val="clear" w:fill="FFFFFF"/>
        </w:rPr>
        <w:t>印刷费</w:t>
      </w:r>
      <w:r>
        <w:rPr>
          <w:rFonts w:hint="eastAsia" w:ascii="仿宋_GB2312" w:hAnsi="Helvetica" w:eastAsia="仿宋_GB2312" w:cs="仿宋_GB2312"/>
          <w:b w:val="0"/>
          <w:i w:val="0"/>
          <w:caps w:val="0"/>
          <w:color w:val="333333"/>
          <w:spacing w:val="0"/>
          <w:sz w:val="32"/>
          <w:szCs w:val="32"/>
          <w:shd w:val="clear" w:fill="FFFFFF"/>
        </w:rPr>
        <w:t>5.37万元，同比增加0.74万元，同比增长15.98%；水费0.25万元，同比减少2.92万元，同比下降92.11%；电费1.10万元，同比减少12.73万元，同比下降92.05%；邮电费27.89万元，同比增加2.82万元，同比增长11.25%；物业管理费2.5万元，同比增加0.2万元，同比增长8.7%；差旅费50.3万元，同比增加4.8万元，同比增长10.55%；维修（护）费7.91万元，同比增加0.71万元，同比增长9.87%；会议费8.75万元，同比增加0.7万元，同比增长8.7%；培训费8.31万元，同比增加0.82万元，同比增长10.95%；公务接待费5.41万元，同比增加0.51万元，同比增长10.42%；工会经费28.95万元，同比增加4.13万元，同比增长16.64%；公务用车运行维护费2万元，同比减少2万元，同比下降50%；其他交通费用115.14万元，同比增加11.76万元，同比增长11.38%；其他商品和服务支出85.94万元，同比减少8.75万元，同比下降9.24%。</w:t>
      </w:r>
    </w:p>
    <w:p w14:paraId="364109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四、一般公共预算“三公”经费情况说明</w:t>
      </w:r>
    </w:p>
    <w:p w14:paraId="55874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2020年一般公共预算安排的“三公”经费支出预算12.81万元，比2019年预算8.9万元，同比增加3.91万元，同比增长43.96%。增加的主要原因为机构改革，原物价局、粮食局及其二层机构并入我委。</w:t>
      </w:r>
    </w:p>
    <w:p w14:paraId="21C2E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（一）因公出国（境）经费2020年预算0万元，同比上年持平。</w:t>
      </w:r>
    </w:p>
    <w:p w14:paraId="20CE0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（二）</w:t>
      </w:r>
      <w:r>
        <w:rPr>
          <w:rFonts w:hint="eastAsia" w:ascii="仿宋_GB2312" w:hAnsi="Helvetica" w:eastAsia="仿宋_GB2312" w:cs="仿宋_GB2312"/>
          <w:i w:val="0"/>
          <w:caps w:val="0"/>
          <w:color w:val="000000"/>
          <w:spacing w:val="0"/>
          <w:sz w:val="32"/>
          <w:szCs w:val="32"/>
          <w:shd w:val="clear" w:fill="FFFFFF"/>
        </w:rPr>
        <w:t>公务接待费2020年预算10.81万元，同比增加4.90万元，同比增长120.74%，增加原因是机构改革，原物价局、粮食局及其二层机构并入我委。  </w:t>
      </w:r>
    </w:p>
    <w:p w14:paraId="05955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（三）</w:t>
      </w:r>
      <w:r>
        <w:rPr>
          <w:rFonts w:hint="eastAsia" w:ascii="仿宋_GB2312" w:hAnsi="Helvetica" w:eastAsia="仿宋_GB2312" w:cs="仿宋_GB2312"/>
          <w:i w:val="0"/>
          <w:caps w:val="0"/>
          <w:color w:val="000000"/>
          <w:spacing w:val="0"/>
          <w:sz w:val="32"/>
          <w:szCs w:val="32"/>
          <w:shd w:val="clear" w:fill="FFFFFF"/>
        </w:rPr>
        <w:t>公务用车购置费及运行费2020年预算2万元，同比减少2万元，同比下降50%，减少原因为汽车数减少一辆。</w:t>
      </w:r>
    </w:p>
    <w:p w14:paraId="42DCE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1.公务用车购置费2020年预算0万元，同比上年持平。</w:t>
      </w:r>
    </w:p>
    <w:p w14:paraId="522BB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2.公务用车运行维护费2020年预算2万元，同比减少2万元，同比下降50%，减少的原因是减少一辆汽车。</w:t>
      </w:r>
    </w:p>
    <w:p w14:paraId="03BD8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五、部门收支预算情况说明</w:t>
      </w:r>
    </w:p>
    <w:p w14:paraId="549F8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2020年部门收支总预算34032.23万元，同比减少1352.72万元，同比下降3.82%，减少的主要原因：节能减排专项资金划1000万元到环保局管理；柳州市信息化建设管理中心划入市大数据发展局导致减少支出977.41万元，其他城乡社区公共设施支出减少1500万元，其他城乡社区支出减少1164万元；新增机关事业单位职业年金缴费支出115.79万元，因机构改革，物价局和粮食局及其二层单位并入发改委，增加支出。</w:t>
      </w:r>
    </w:p>
    <w:p w14:paraId="3F85D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六、部门收入预算情况说明</w:t>
      </w:r>
    </w:p>
    <w:p w14:paraId="425AB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2020年部门收入总预算34032.23万元，</w:t>
      </w:r>
      <w:r>
        <w:rPr>
          <w:rFonts w:hint="eastAsia" w:ascii="仿宋_GB2312" w:hAnsi="Helvetica" w:eastAsia="仿宋_GB2312" w:cs="仿宋_GB2312"/>
          <w:i w:val="0"/>
          <w:caps w:val="0"/>
          <w:color w:val="333333"/>
          <w:spacing w:val="0"/>
          <w:sz w:val="32"/>
          <w:szCs w:val="32"/>
          <w:shd w:val="clear" w:fill="FFFFFF"/>
        </w:rPr>
        <w:t>同比减少1352.72万元，同比下降1352.72%。2020年</w:t>
      </w:r>
      <w:r>
        <w:rPr>
          <w:rFonts w:hint="eastAsia" w:ascii="仿宋_GB2312" w:hAnsi="Helvetica" w:eastAsia="仿宋_GB2312" w:cs="仿宋_GB2312"/>
          <w:i w:val="0"/>
          <w:caps w:val="0"/>
          <w:color w:val="000000"/>
          <w:spacing w:val="0"/>
          <w:sz w:val="32"/>
          <w:szCs w:val="32"/>
          <w:shd w:val="clear" w:fill="FFFFFF"/>
        </w:rPr>
        <w:t>部门</w:t>
      </w:r>
      <w:r>
        <w:rPr>
          <w:rFonts w:hint="eastAsia" w:ascii="仿宋_GB2312" w:hAnsi="Helvetica" w:eastAsia="仿宋_GB2312" w:cs="仿宋_GB2312"/>
          <w:i w:val="0"/>
          <w:caps w:val="0"/>
          <w:color w:val="333333"/>
          <w:spacing w:val="0"/>
          <w:sz w:val="32"/>
          <w:szCs w:val="32"/>
          <w:shd w:val="clear" w:fill="FFFFFF"/>
        </w:rPr>
        <w:t>收入预算总体减少的主要原因：</w:t>
      </w:r>
      <w:r>
        <w:rPr>
          <w:rFonts w:hint="eastAsia" w:ascii="仿宋_GB2312" w:hAnsi="Helvetica" w:eastAsia="仿宋_GB2312" w:cs="仿宋_GB2312"/>
          <w:b w:val="0"/>
          <w:i w:val="0"/>
          <w:caps w:val="0"/>
          <w:color w:val="333333"/>
          <w:spacing w:val="0"/>
          <w:sz w:val="32"/>
          <w:szCs w:val="32"/>
          <w:shd w:val="clear" w:fill="FFFFFF"/>
        </w:rPr>
        <w:t>节能减排专项资金划1000万元到环保局管理；柳州市信息化建设管理中心划入市大数据发展局导致减少支出977.41万元，其他城乡社区公共设施支出减少1500万元，其他城乡社区支出减少1164万元；新增机关事业单位职业年金缴费支出115.79万元，因机构改革，物价局和粮食局及其二层单位并入发改委，增加支出。</w:t>
      </w:r>
    </w:p>
    <w:p w14:paraId="6AD4D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一般公共预算收入34032.23万元，</w:t>
      </w:r>
      <w:r>
        <w:rPr>
          <w:rFonts w:hint="eastAsia" w:ascii="仿宋_GB2312" w:hAnsi="Helvetica" w:eastAsia="仿宋_GB2312" w:cs="仿宋_GB2312"/>
          <w:i w:val="0"/>
          <w:caps w:val="0"/>
          <w:color w:val="333333"/>
          <w:spacing w:val="0"/>
          <w:kern w:val="0"/>
          <w:sz w:val="32"/>
          <w:szCs w:val="32"/>
          <w:shd w:val="clear" w:fill="FFFFFF"/>
          <w:lang w:val="en-US" w:eastAsia="zh-CN" w:bidi="ar"/>
        </w:rPr>
        <w:t>同比减少1352.72万元，同比下降3.82%。</w:t>
      </w:r>
    </w:p>
    <w:p w14:paraId="20889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七、部门支出预算情况说明</w:t>
      </w:r>
    </w:p>
    <w:p w14:paraId="68368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2020年部门支出总预算34032.23万元，</w:t>
      </w:r>
      <w:r>
        <w:rPr>
          <w:rFonts w:hint="eastAsia" w:ascii="仿宋_GB2312" w:hAnsi="Helvetica" w:eastAsia="仿宋_GB2312" w:cs="仿宋_GB2312"/>
          <w:i w:val="0"/>
          <w:caps w:val="0"/>
          <w:color w:val="333333"/>
          <w:spacing w:val="0"/>
          <w:sz w:val="32"/>
          <w:szCs w:val="32"/>
          <w:shd w:val="clear" w:fill="FFFFFF"/>
        </w:rPr>
        <w:t>同比减少1352.72万元，同比下降3.82%。2020年</w:t>
      </w:r>
      <w:r>
        <w:rPr>
          <w:rFonts w:hint="eastAsia" w:ascii="仿宋_GB2312" w:hAnsi="Helvetica" w:eastAsia="仿宋_GB2312" w:cs="仿宋_GB2312"/>
          <w:i w:val="0"/>
          <w:caps w:val="0"/>
          <w:color w:val="000000"/>
          <w:spacing w:val="0"/>
          <w:sz w:val="32"/>
          <w:szCs w:val="32"/>
          <w:shd w:val="clear" w:fill="FFFFFF"/>
        </w:rPr>
        <w:t>部门</w:t>
      </w:r>
      <w:r>
        <w:rPr>
          <w:rFonts w:hint="eastAsia" w:ascii="仿宋_GB2312" w:hAnsi="Helvetica" w:eastAsia="仿宋_GB2312" w:cs="仿宋_GB2312"/>
          <w:i w:val="0"/>
          <w:caps w:val="0"/>
          <w:color w:val="333333"/>
          <w:spacing w:val="0"/>
          <w:sz w:val="32"/>
          <w:szCs w:val="32"/>
          <w:shd w:val="clear" w:fill="FFFFFF"/>
        </w:rPr>
        <w:t>支出预算总体减少的主要原因：</w:t>
      </w:r>
      <w:r>
        <w:rPr>
          <w:rFonts w:hint="eastAsia" w:ascii="仿宋_GB2312" w:hAnsi="Helvetica" w:eastAsia="仿宋_GB2312" w:cs="仿宋_GB2312"/>
          <w:b w:val="0"/>
          <w:i w:val="0"/>
          <w:caps w:val="0"/>
          <w:color w:val="333333"/>
          <w:spacing w:val="0"/>
          <w:sz w:val="32"/>
          <w:szCs w:val="32"/>
          <w:shd w:val="clear" w:fill="FFFFFF"/>
        </w:rPr>
        <w:t>节能减排专项资金划1000万元到环保局管理；柳州市信息化建设管理中心划入市大数据发展局导致减少支出977.41万元，其他城乡社区公共设施支出减少1500万元，其他城乡社区支出减少1164万元；新增机关事业单位职业年金缴费支出115.79万元，因机构改革，物价局和粮食局及其二层单位并入发改委，增加支出。</w:t>
      </w:r>
    </w:p>
    <w:p w14:paraId="5DF99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（一）按支出功能分类科目划分（可参考表六支出项目进行说明）</w:t>
      </w:r>
    </w:p>
    <w:p w14:paraId="603A5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1.一般公共服务支出2373.54万元；占支出总预算6.97%，同比增加384.28万元，同比增长19.32%。主要用于</w:t>
      </w:r>
      <w:r>
        <w:rPr>
          <w:rFonts w:hint="eastAsia" w:ascii="仿宋_GB2312" w:hAnsi="Helvetica" w:eastAsia="仿宋_GB2312" w:cs="仿宋_GB2312"/>
          <w:i w:val="0"/>
          <w:caps w:val="0"/>
          <w:color w:val="000000"/>
          <w:spacing w:val="0"/>
          <w:sz w:val="32"/>
          <w:szCs w:val="32"/>
          <w:shd w:val="clear" w:fill="FFFFFF"/>
        </w:rPr>
        <w:t>保障我委日常运转发生的支出，如根据国家规定的基本工资和津补贴标准等安排的人员经费支出，按标准安排的办公费、印刷费、培训费、差旅费、会议费等日常公用经费支出；</w:t>
      </w:r>
      <w:r>
        <w:rPr>
          <w:rFonts w:hint="eastAsia" w:ascii="仿宋_GB2312" w:hAnsi="Helvetica" w:eastAsia="仿宋_GB2312" w:cs="仿宋_GB2312"/>
          <w:i w:val="0"/>
          <w:caps w:val="0"/>
          <w:color w:val="333333"/>
          <w:spacing w:val="0"/>
          <w:sz w:val="32"/>
          <w:szCs w:val="32"/>
          <w:shd w:val="clear" w:fill="FFFFFF"/>
        </w:rPr>
        <w:t>我委为完成各项发改工作任务、保障发改事业发展而发生的项目支出。</w:t>
      </w:r>
      <w:r>
        <w:rPr>
          <w:rFonts w:hint="eastAsia" w:ascii="仿宋_GB2312" w:hAnsi="Helvetica" w:eastAsia="仿宋_GB2312" w:cs="仿宋_GB2312"/>
          <w:i w:val="0"/>
          <w:caps w:val="0"/>
          <w:color w:val="000000"/>
          <w:spacing w:val="0"/>
          <w:sz w:val="32"/>
          <w:szCs w:val="32"/>
          <w:shd w:val="clear" w:fill="FFFFFF"/>
        </w:rPr>
        <w:t>增长的主要原因是2019年机构改革，市物价局、粮食局及二层机构并入我委，人员增加造成。</w:t>
      </w:r>
    </w:p>
    <w:p w14:paraId="0F57E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2.208类社会保障和就业支出464.51万元，占一般公共预算1.36%，同比增加172.99万元，同比增长59.34%。用于行政单位离退休费、机关事业单位基本养老保险缴费支出、机关事业单位职业年金缴费支出。</w:t>
      </w:r>
      <w:r>
        <w:rPr>
          <w:rFonts w:hint="eastAsia" w:ascii="仿宋_GB2312" w:hAnsi="Helvetica" w:eastAsia="仿宋_GB2312" w:cs="仿宋_GB2312"/>
          <w:i w:val="0"/>
          <w:caps w:val="0"/>
          <w:color w:val="333333"/>
          <w:spacing w:val="0"/>
          <w:sz w:val="32"/>
          <w:szCs w:val="32"/>
          <w:shd w:val="clear" w:fill="FFFFFF"/>
        </w:rPr>
        <w:t>增长的主要原因一是增设职业年金缴费，二是机构改革退休人员增加。</w:t>
      </w:r>
    </w:p>
    <w:p w14:paraId="62390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  3. 210类卫生健康支出248.26万元，</w:t>
      </w:r>
      <w:r>
        <w:rPr>
          <w:rFonts w:hint="eastAsia" w:ascii="仿宋_GB2312" w:hAnsi="Helvetica" w:eastAsia="仿宋_GB2312" w:cs="仿宋_GB2312"/>
          <w:b w:val="0"/>
          <w:i w:val="0"/>
          <w:caps w:val="0"/>
          <w:color w:val="333333"/>
          <w:spacing w:val="0"/>
          <w:sz w:val="32"/>
          <w:szCs w:val="32"/>
          <w:shd w:val="clear" w:fill="FFFFFF"/>
        </w:rPr>
        <w:t>占一般公共预算0.73%，同比增加93.01万元，同比增长59.91%。主要用于行政单位医疗、公务员医疗补助。</w:t>
      </w:r>
      <w:r>
        <w:rPr>
          <w:rFonts w:hint="eastAsia" w:ascii="华文仿宋" w:hAnsi="华文仿宋" w:eastAsia="华文仿宋" w:cs="华文仿宋"/>
          <w:b w:val="0"/>
          <w:i w:val="0"/>
          <w:caps w:val="0"/>
          <w:color w:val="333333"/>
          <w:spacing w:val="0"/>
          <w:sz w:val="32"/>
          <w:szCs w:val="32"/>
          <w:shd w:val="clear" w:fill="FFFFFF"/>
        </w:rPr>
        <w:t>  </w:t>
      </w:r>
    </w:p>
    <w:p w14:paraId="0D58E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  4. 211类节能环保支出1300万元，</w:t>
      </w:r>
      <w:r>
        <w:rPr>
          <w:rFonts w:hint="eastAsia" w:ascii="仿宋_GB2312" w:hAnsi="Helvetica" w:eastAsia="仿宋_GB2312" w:cs="仿宋_GB2312"/>
          <w:b w:val="0"/>
          <w:i w:val="0"/>
          <w:caps w:val="0"/>
          <w:color w:val="333333"/>
          <w:spacing w:val="0"/>
          <w:sz w:val="32"/>
          <w:szCs w:val="32"/>
          <w:shd w:val="clear" w:fill="FFFFFF"/>
        </w:rPr>
        <w:t>占一般公共预算3.82%，，同比减少1000万元，同比下降43.48%，用于</w:t>
      </w:r>
      <w:r>
        <w:rPr>
          <w:rFonts w:hint="eastAsia" w:ascii="仿宋_GB2312" w:hAnsi="Helvetica" w:eastAsia="仿宋_GB2312" w:cs="仿宋_GB2312"/>
          <w:i w:val="0"/>
          <w:caps w:val="0"/>
          <w:color w:val="333333"/>
          <w:spacing w:val="0"/>
          <w:sz w:val="32"/>
          <w:szCs w:val="32"/>
          <w:shd w:val="clear" w:fill="FFFFFF"/>
        </w:rPr>
        <w:t>全市性大专项节能减排专项支出。下降的原因为</w:t>
      </w:r>
      <w:r>
        <w:rPr>
          <w:rFonts w:hint="eastAsia" w:ascii="仿宋_GB2312" w:hAnsi="Helvetica" w:eastAsia="仿宋_GB2312" w:cs="仿宋_GB2312"/>
          <w:b w:val="0"/>
          <w:i w:val="0"/>
          <w:caps w:val="0"/>
          <w:color w:val="333333"/>
          <w:spacing w:val="0"/>
          <w:sz w:val="32"/>
          <w:szCs w:val="32"/>
          <w:shd w:val="clear" w:fill="FFFFFF"/>
        </w:rPr>
        <w:t>节能减排专项资金划1000万元由环保局管理。</w:t>
      </w:r>
    </w:p>
    <w:p w14:paraId="5F366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5.212城乡社区支出27836万元，</w:t>
      </w:r>
      <w:r>
        <w:rPr>
          <w:rFonts w:hint="eastAsia" w:ascii="仿宋_GB2312" w:hAnsi="Helvetica" w:eastAsia="仿宋_GB2312" w:cs="仿宋_GB2312"/>
          <w:b w:val="0"/>
          <w:i w:val="0"/>
          <w:caps w:val="0"/>
          <w:color w:val="333333"/>
          <w:spacing w:val="0"/>
          <w:sz w:val="32"/>
          <w:szCs w:val="32"/>
          <w:shd w:val="clear" w:fill="FFFFFF"/>
        </w:rPr>
        <w:t>占一般公共预算81.79%，，同比减少2664万元，同比下降8.73%，用于城乡社区规划与管理、其他城乡社区公共设施支出和其他城乡社区支出，下降的主要原因为经济下行压力大，厉行节约，压缩经费。</w:t>
      </w:r>
    </w:p>
    <w:p w14:paraId="6FCF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0"/>
        <w:jc w:val="left"/>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6.221类住房保障支出173.69万元，占一般公共预算0.51%，同比增加24.77万元，同比增长16.64%。用于行政事业单位住房公积金支出。</w:t>
      </w:r>
    </w:p>
    <w:p w14:paraId="019CA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7.222粮油物资储备支出1636.23万元，</w:t>
      </w:r>
      <w:r>
        <w:rPr>
          <w:rFonts w:hint="eastAsia" w:ascii="仿宋_GB2312" w:hAnsi="Helvetica" w:eastAsia="仿宋_GB2312" w:cs="仿宋_GB2312"/>
          <w:b w:val="0"/>
          <w:i w:val="0"/>
          <w:caps w:val="0"/>
          <w:color w:val="333333"/>
          <w:spacing w:val="0"/>
          <w:sz w:val="32"/>
          <w:szCs w:val="32"/>
          <w:shd w:val="clear" w:fill="FFFFFF"/>
        </w:rPr>
        <w:t>占一般公共预算4.81%，同比增加</w:t>
      </w:r>
      <w:r>
        <w:rPr>
          <w:rFonts w:hint="eastAsia" w:ascii="仿宋_GB2312" w:hAnsi="Helvetica" w:eastAsia="仿宋_GB2312" w:cs="仿宋_GB2312"/>
          <w:i w:val="0"/>
          <w:caps w:val="0"/>
          <w:color w:val="000000"/>
          <w:spacing w:val="0"/>
          <w:sz w:val="32"/>
          <w:szCs w:val="32"/>
          <w:shd w:val="clear" w:fill="FFFFFF"/>
        </w:rPr>
        <w:t>1636.23万元，用于行政运行（粮油事务）、一般行政管理事务（粮油事务）、粮食专项业务活动、其他粮油事务支出，增长的原因是2019年机构改革，粮食局及二层单位并入我委。</w:t>
      </w:r>
    </w:p>
    <w:p w14:paraId="5D318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（二）按支出结构划分</w:t>
      </w:r>
    </w:p>
    <w:p w14:paraId="35363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1.基本支出2513.13万元；占</w:t>
      </w:r>
      <w:r>
        <w:rPr>
          <w:rFonts w:hint="eastAsia" w:ascii="仿宋_GB2312" w:hAnsi="Helvetica" w:eastAsia="仿宋_GB2312" w:cs="仿宋_GB2312"/>
          <w:i w:val="0"/>
          <w:caps w:val="0"/>
          <w:color w:val="000000"/>
          <w:spacing w:val="0"/>
          <w:sz w:val="32"/>
          <w:szCs w:val="32"/>
          <w:shd w:val="clear" w:fill="FFFFFF"/>
        </w:rPr>
        <w:t>支出总预算7.38%，同比增加596.11万元，同比增长31.10%。主要用于一是工资福利支出，如按规定发放的基本工资、津贴补贴、奖金、社会保障缴费、住房公积金等；二是商品和服务支出，如柳州市统一规定开支标准安排的办公费、印刷费、水电费、培训费、差旅费、会议费等日常公用经费支出。三是对个人和家庭的补助支出，如离休费、退休费。</w:t>
      </w:r>
      <w:r>
        <w:rPr>
          <w:rFonts w:ascii="微软雅黑" w:hAnsi="微软雅黑" w:eastAsia="微软雅黑" w:cs="微软雅黑"/>
          <w:i w:val="0"/>
          <w:caps w:val="0"/>
          <w:color w:val="000000"/>
          <w:spacing w:val="0"/>
          <w:sz w:val="32"/>
          <w:szCs w:val="32"/>
          <w:shd w:val="clear" w:fill="FFFFFF"/>
        </w:rPr>
        <w:t>  </w:t>
      </w:r>
    </w:p>
    <w:p w14:paraId="2C167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00"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333333"/>
          <w:spacing w:val="0"/>
          <w:sz w:val="32"/>
          <w:szCs w:val="32"/>
          <w:shd w:val="clear" w:fill="FFFFFF"/>
        </w:rPr>
        <w:t>2.项目支出31519.10</w:t>
      </w:r>
      <w:r>
        <w:rPr>
          <w:rFonts w:hint="eastAsia" w:ascii="仿宋_GB2312" w:hAnsi="Helvetica" w:eastAsia="仿宋_GB2312" w:cs="仿宋_GB2312"/>
          <w:i w:val="0"/>
          <w:caps w:val="0"/>
          <w:color w:val="000000"/>
          <w:spacing w:val="0"/>
          <w:sz w:val="32"/>
          <w:szCs w:val="32"/>
          <w:shd w:val="clear" w:fill="FFFFFF"/>
        </w:rPr>
        <w:t>万元；占支出总预算92.62%，同比减少1948.83万元，同比下降5.82%。主要用于推进柳州发展的全市性大专项项目，如基本建设；城市规划编制和项目前期费用；城建项目前期经费；节能减排专项资金（节能）；粮油储备管理政策性补贴。</w:t>
      </w:r>
    </w:p>
    <w:p w14:paraId="7F872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八、政府性基金预算情况说明</w:t>
      </w:r>
    </w:p>
    <w:p w14:paraId="1E1C4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80"/>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sz w:val="32"/>
          <w:szCs w:val="32"/>
          <w:shd w:val="clear" w:fill="FFFFFF"/>
        </w:rPr>
        <w:t>  </w:t>
      </w:r>
      <w:r>
        <w:rPr>
          <w:rFonts w:hint="eastAsia" w:ascii="仿宋_GB2312" w:hAnsi="Helvetica" w:eastAsia="仿宋_GB2312" w:cs="仿宋_GB2312"/>
          <w:i w:val="0"/>
          <w:caps w:val="0"/>
          <w:color w:val="000000"/>
          <w:spacing w:val="0"/>
          <w:sz w:val="32"/>
          <w:szCs w:val="32"/>
          <w:shd w:val="clear" w:fill="FFFFFF"/>
        </w:rPr>
        <w:t>本部门无政府性基金预算。</w:t>
      </w:r>
    </w:p>
    <w:p w14:paraId="0DA98C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九、国有资本经营预算情况说明</w:t>
      </w:r>
    </w:p>
    <w:p w14:paraId="37201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b w:val="0"/>
          <w:i w:val="0"/>
          <w:caps w:val="0"/>
          <w:color w:val="333333"/>
          <w:spacing w:val="0"/>
          <w:sz w:val="32"/>
          <w:szCs w:val="32"/>
          <w:shd w:val="clear" w:fill="FFFFFF"/>
        </w:rPr>
        <w:t>本部门无国有资本经营预算。</w:t>
      </w:r>
    </w:p>
    <w:p w14:paraId="5DA1CE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十、政府采购预算情况说明</w:t>
      </w:r>
    </w:p>
    <w:p w14:paraId="0935F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2020年政府采购预算103.30万元，同比减少204.84万元，下降66.48%，减少的原因原我委二层单位信息化建设管理中心的政府采购预算较多，该单位已</w:t>
      </w:r>
      <w:r>
        <w:rPr>
          <w:rFonts w:hint="eastAsia" w:ascii="仿宋_GB2312" w:hAnsi="Helvetica" w:eastAsia="仿宋_GB2312" w:cs="仿宋_GB2312"/>
          <w:i w:val="0"/>
          <w:caps w:val="0"/>
          <w:color w:val="333333"/>
          <w:spacing w:val="0"/>
          <w:kern w:val="0"/>
          <w:sz w:val="32"/>
          <w:szCs w:val="32"/>
          <w:shd w:val="clear" w:fill="FFFFFF"/>
          <w:lang w:val="en-US" w:eastAsia="zh-CN" w:bidi="ar"/>
        </w:rPr>
        <w:t>划入市大数据发展局</w:t>
      </w:r>
      <w:r>
        <w:rPr>
          <w:rFonts w:hint="eastAsia" w:ascii="仿宋_GB2312" w:hAnsi="Helvetica" w:eastAsia="仿宋_GB2312" w:cs="仿宋_GB2312"/>
          <w:i w:val="0"/>
          <w:caps w:val="0"/>
          <w:color w:val="000000"/>
          <w:spacing w:val="0"/>
          <w:kern w:val="0"/>
          <w:sz w:val="32"/>
          <w:szCs w:val="32"/>
          <w:shd w:val="clear" w:fill="FFFFFF"/>
          <w:lang w:val="en-US" w:eastAsia="zh-CN" w:bidi="ar"/>
        </w:rPr>
        <w:t>。按政府采购项目类型划分：</w:t>
      </w:r>
    </w:p>
    <w:p w14:paraId="794278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（一）集中采购10.80万元（全部为货物类采购10.8万元），占政府采购预算的10.46%，同比减少286.88万元，下降96.37%。</w:t>
      </w:r>
    </w:p>
    <w:p w14:paraId="5CD4D6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（二）分散采购92.50万元（其中：货物类采购9.5万元，工程类采购0万元，服务类采购83万元），占政府采购预算的89.54，同比增加82.04万元，增长784.32%。</w:t>
      </w:r>
    </w:p>
    <w:p w14:paraId="7F0CC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left"/>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十一、政府购买服务预算情况说明</w:t>
      </w:r>
    </w:p>
    <w:p w14:paraId="3D0E65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2020年纳入政府购买服务预算管理的项目有4个，涉及金额82万元。</w:t>
      </w:r>
    </w:p>
    <w:p w14:paraId="1E7B8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sz w:val="32"/>
          <w:szCs w:val="32"/>
          <w:shd w:val="clear" w:fill="FFFFFF"/>
        </w:rPr>
        <w:t>十二、其他重要事项情况说明</w:t>
      </w:r>
    </w:p>
    <w:p w14:paraId="1ACD7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（一）机关运行经费安排情况说明</w:t>
      </w:r>
    </w:p>
    <w:p w14:paraId="6DF56E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2020年本级及下属单位共有1个行政机关和3个参照公务员法管理的事业单位，机关运行经费财政拨款预算384.48万元，同比增加4.34万元，同比增长1.15%，增加的原因是机构改革，原市物价局、粮食局及其二层机构并入我委，人员增加。</w:t>
      </w:r>
    </w:p>
    <w:p w14:paraId="22216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sz w:val="32"/>
          <w:szCs w:val="32"/>
          <w:shd w:val="clear" w:fill="FFFFFF"/>
        </w:rPr>
        <w:t>（二）国有资产占用情况说明</w:t>
      </w:r>
    </w:p>
    <w:p w14:paraId="0F3C3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kern w:val="0"/>
          <w:sz w:val="32"/>
          <w:szCs w:val="32"/>
          <w:shd w:val="clear" w:fill="FFFFFF"/>
          <w:lang w:val="en-US" w:eastAsia="zh-CN" w:bidi="ar"/>
        </w:rPr>
        <w:t>根据公务用车制度改革方案相关规定核定本部门保留的公务用车编制1辆，实有车辆1辆。其中：机关本级核定公务用车编制1辆，实有1辆公车。</w:t>
      </w:r>
    </w:p>
    <w:p w14:paraId="6EC5E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楷体_GB2312" w:hAnsi="Helvetica" w:eastAsia="楷体_GB2312" w:cs="楷体_GB2312"/>
          <w:b/>
          <w:i w:val="0"/>
          <w:caps w:val="0"/>
          <w:color w:val="000000"/>
          <w:spacing w:val="0"/>
          <w:kern w:val="0"/>
          <w:sz w:val="32"/>
          <w:szCs w:val="32"/>
          <w:shd w:val="clear" w:fill="FFFFFF"/>
          <w:lang w:val="en-US" w:eastAsia="zh-CN" w:bidi="ar"/>
        </w:rPr>
        <w:t>（三）重点项目预算绩效目标等情况说明</w:t>
      </w:r>
    </w:p>
    <w:p w14:paraId="1065F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2020年纳入预算绩效目标管理的项目有2个，金额1682万元，涉及一般公共预算拨款支出1682万元。其中：</w:t>
      </w:r>
      <w:r>
        <w:rPr>
          <w:rFonts w:hint="eastAsia" w:ascii="仿宋_GB2312" w:hAnsi="Helvetica" w:eastAsia="仿宋_GB2312" w:cs="仿宋_GB2312"/>
          <w:i w:val="0"/>
          <w:caps w:val="0"/>
          <w:color w:val="333333"/>
          <w:spacing w:val="0"/>
          <w:sz w:val="32"/>
          <w:szCs w:val="32"/>
          <w:shd w:val="clear" w:fill="FFFFFF"/>
        </w:rPr>
        <w:t>粮油储备管理政策性补贴，项目预算1300万元；冻猪肉储备资金，项目预算382万元。</w:t>
      </w:r>
    </w:p>
    <w:p w14:paraId="743B6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sz w:val="32"/>
          <w:szCs w:val="32"/>
          <w:shd w:val="clear" w:fill="FFFFFF"/>
        </w:rPr>
        <w:t>  </w:t>
      </w:r>
    </w:p>
    <w:p w14:paraId="07A0F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218" w:firstLine="480"/>
        <w:jc w:val="center"/>
        <w:rPr>
          <w:rFonts w:hint="default" w:ascii="Helvetica" w:hAnsi="Helvetica" w:eastAsia="Helvetica" w:cs="Helvetica"/>
          <w:i w:val="0"/>
          <w:caps w:val="0"/>
          <w:color w:val="333333"/>
          <w:spacing w:val="0"/>
          <w:sz w:val="24"/>
          <w:szCs w:val="24"/>
        </w:rPr>
      </w:pPr>
      <w:r>
        <w:rPr>
          <w:rStyle w:val="5"/>
          <w:rFonts w:hint="eastAsia" w:ascii="仿宋_GB2312" w:hAnsi="Helvetica" w:eastAsia="仿宋_GB2312" w:cs="仿宋_GB2312"/>
          <w:b/>
          <w:i w:val="0"/>
          <w:caps w:val="0"/>
          <w:color w:val="000000"/>
          <w:spacing w:val="0"/>
          <w:kern w:val="0"/>
          <w:sz w:val="32"/>
          <w:szCs w:val="32"/>
          <w:shd w:val="clear" w:fill="FFFFFF"/>
          <w:lang w:val="en-US" w:eastAsia="zh-CN" w:bidi="ar"/>
        </w:rPr>
        <w:t>第四部分：名词解释</w:t>
      </w:r>
    </w:p>
    <w:p w14:paraId="3AA22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一、财政拨款收入</w:t>
      </w:r>
      <w:r>
        <w:rPr>
          <w:rFonts w:hint="eastAsia" w:ascii="仿宋_GB2312" w:hAnsi="Helvetica" w:eastAsia="仿宋_GB2312" w:cs="仿宋_GB2312"/>
          <w:i w:val="0"/>
          <w:caps w:val="0"/>
          <w:color w:val="000000"/>
          <w:spacing w:val="0"/>
          <w:kern w:val="0"/>
          <w:sz w:val="32"/>
          <w:szCs w:val="32"/>
          <w:shd w:val="clear" w:fill="FFFFFF"/>
          <w:lang w:val="en-US" w:eastAsia="zh-CN" w:bidi="ar"/>
        </w:rPr>
        <w:t>：指市本级财政部门当年拨付的资金。  </w:t>
      </w:r>
    </w:p>
    <w:p w14:paraId="4E087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二、事业收入</w:t>
      </w:r>
      <w:r>
        <w:rPr>
          <w:rFonts w:hint="eastAsia" w:ascii="仿宋_GB2312" w:hAnsi="Helvetica" w:eastAsia="仿宋_GB2312" w:cs="仿宋_GB2312"/>
          <w:i w:val="0"/>
          <w:caps w:val="0"/>
          <w:color w:val="000000"/>
          <w:spacing w:val="0"/>
          <w:kern w:val="0"/>
          <w:sz w:val="32"/>
          <w:szCs w:val="32"/>
          <w:shd w:val="clear" w:fill="FFFFFF"/>
          <w:lang w:val="en-US" w:eastAsia="zh-CN" w:bidi="ar"/>
        </w:rPr>
        <w:t>：指事业单位开展专业业务活动及辅助活动所取得的收入。</w:t>
      </w:r>
    </w:p>
    <w:p w14:paraId="0866D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三、经营收入</w:t>
      </w:r>
      <w:r>
        <w:rPr>
          <w:rFonts w:hint="eastAsia" w:ascii="仿宋_GB2312" w:hAnsi="Helvetica" w:eastAsia="仿宋_GB2312" w:cs="仿宋_GB2312"/>
          <w:i w:val="0"/>
          <w:caps w:val="0"/>
          <w:color w:val="000000"/>
          <w:spacing w:val="0"/>
          <w:kern w:val="0"/>
          <w:sz w:val="32"/>
          <w:szCs w:val="32"/>
          <w:shd w:val="clear" w:fill="FFFFFF"/>
          <w:lang w:val="en-US" w:eastAsia="zh-CN" w:bidi="ar"/>
        </w:rPr>
        <w:t>：指事业单位在专业业务活动及其辅助活动之外开展非独立核算经营活动取得的收入。</w:t>
      </w:r>
    </w:p>
    <w:p w14:paraId="49148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四、其他收入</w:t>
      </w:r>
      <w:r>
        <w:rPr>
          <w:rFonts w:hint="eastAsia" w:ascii="仿宋_GB2312" w:hAnsi="Helvetica" w:eastAsia="仿宋_GB2312" w:cs="仿宋_GB2312"/>
          <w:i w:val="0"/>
          <w:caps w:val="0"/>
          <w:color w:val="000000"/>
          <w:spacing w:val="0"/>
          <w:kern w:val="0"/>
          <w:sz w:val="32"/>
          <w:szCs w:val="32"/>
          <w:shd w:val="clear" w:fill="FFFFFF"/>
          <w:lang w:val="en-US" w:eastAsia="zh-CN" w:bidi="ar"/>
        </w:rPr>
        <w:t>：指除上述“财政拨款收入”“事业收入”“经营收入”等以外的收入。</w:t>
      </w:r>
    </w:p>
    <w:p w14:paraId="542CE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五、上年结转</w:t>
      </w:r>
      <w:r>
        <w:rPr>
          <w:rFonts w:hint="eastAsia" w:ascii="仿宋_GB2312" w:hAnsi="Helvetica" w:eastAsia="仿宋_GB2312" w:cs="仿宋_GB2312"/>
          <w:i w:val="0"/>
          <w:caps w:val="0"/>
          <w:color w:val="000000"/>
          <w:spacing w:val="0"/>
          <w:kern w:val="0"/>
          <w:sz w:val="32"/>
          <w:szCs w:val="32"/>
          <w:shd w:val="clear" w:fill="FFFFFF"/>
          <w:lang w:val="en-US" w:eastAsia="zh-CN" w:bidi="ar"/>
        </w:rPr>
        <w:t>：指以前年度尚未完成，按有关规定结转到本年继续使用的资金。</w:t>
      </w:r>
    </w:p>
    <w:p w14:paraId="153F05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六、基本支出</w:t>
      </w:r>
      <w:r>
        <w:rPr>
          <w:rFonts w:hint="eastAsia" w:ascii="仿宋_GB2312" w:hAnsi="Helvetica" w:eastAsia="仿宋_GB2312" w:cs="仿宋_GB2312"/>
          <w:i w:val="0"/>
          <w:caps w:val="0"/>
          <w:color w:val="000000"/>
          <w:spacing w:val="0"/>
          <w:kern w:val="0"/>
          <w:sz w:val="32"/>
          <w:szCs w:val="32"/>
          <w:shd w:val="clear" w:fill="FFFFFF"/>
          <w:lang w:val="en-US" w:eastAsia="zh-CN" w:bidi="ar"/>
        </w:rPr>
        <w:t>：指为保障机构正常运转、完成日常工作任务而发生的人员支出和公用支出。</w:t>
      </w:r>
    </w:p>
    <w:p w14:paraId="3761CE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七、项目支出</w:t>
      </w:r>
      <w:r>
        <w:rPr>
          <w:rFonts w:hint="eastAsia" w:ascii="仿宋_GB2312" w:hAnsi="Helvetica" w:eastAsia="仿宋_GB2312" w:cs="仿宋_GB2312"/>
          <w:i w:val="0"/>
          <w:caps w:val="0"/>
          <w:color w:val="000000"/>
          <w:spacing w:val="0"/>
          <w:kern w:val="0"/>
          <w:sz w:val="32"/>
          <w:szCs w:val="32"/>
          <w:shd w:val="clear" w:fill="FFFFFF"/>
          <w:lang w:val="en-US" w:eastAsia="zh-CN" w:bidi="ar"/>
        </w:rPr>
        <w:t>：指在基本支出之外为完成特定行政任务和事业发展目标所发生的支出。  </w:t>
      </w:r>
    </w:p>
    <w:p w14:paraId="5EEAF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八、经营支出</w:t>
      </w:r>
      <w:r>
        <w:rPr>
          <w:rFonts w:hint="eastAsia" w:ascii="仿宋_GB2312" w:hAnsi="Helvetica" w:eastAsia="仿宋_GB2312" w:cs="仿宋_GB2312"/>
          <w:i w:val="0"/>
          <w:caps w:val="0"/>
          <w:color w:val="000000"/>
          <w:spacing w:val="0"/>
          <w:kern w:val="0"/>
          <w:sz w:val="32"/>
          <w:szCs w:val="32"/>
          <w:shd w:val="clear" w:fill="FFFFFF"/>
          <w:lang w:val="en-US" w:eastAsia="zh-CN" w:bidi="ar"/>
        </w:rPr>
        <w:t>：指事业单位在专业业务活动及其辅助活动之外开展非独立核算经营活动发生的支出。</w:t>
      </w:r>
    </w:p>
    <w:p w14:paraId="733A2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九、“三公”经费</w:t>
      </w:r>
      <w:r>
        <w:rPr>
          <w:rFonts w:hint="eastAsia" w:ascii="仿宋_GB2312" w:hAnsi="Helvetica" w:eastAsia="仿宋_GB2312" w:cs="仿宋_GB2312"/>
          <w:i w:val="0"/>
          <w:caps w:val="0"/>
          <w:color w:val="000000"/>
          <w:spacing w:val="0"/>
          <w:kern w:val="0"/>
          <w:sz w:val="32"/>
          <w:szCs w:val="32"/>
          <w:shd w:val="clear" w:fill="FFFFFF"/>
          <w:lang w:val="en-US" w:eastAsia="zh-CN" w:bidi="ar"/>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8DF6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0" w:right="0" w:firstLine="480"/>
        <w:jc w:val="both"/>
        <w:rPr>
          <w:rFonts w:hint="default" w:ascii="Helvetica" w:hAnsi="Helvetica" w:eastAsia="Helvetica" w:cs="Helvetica"/>
          <w:i w:val="0"/>
          <w:caps w:val="0"/>
          <w:color w:val="333333"/>
          <w:spacing w:val="0"/>
          <w:sz w:val="24"/>
          <w:szCs w:val="24"/>
        </w:rPr>
      </w:pPr>
      <w:r>
        <w:rPr>
          <w:rStyle w:val="5"/>
          <w:rFonts w:hint="eastAsia" w:ascii="黑体" w:hAnsi="宋体" w:eastAsia="黑体" w:cs="黑体"/>
          <w:b/>
          <w:i w:val="0"/>
          <w:caps w:val="0"/>
          <w:color w:val="000000"/>
          <w:spacing w:val="0"/>
          <w:kern w:val="0"/>
          <w:sz w:val="32"/>
          <w:szCs w:val="32"/>
          <w:shd w:val="clear" w:fill="FFFFFF"/>
          <w:lang w:val="en-US" w:eastAsia="zh-CN" w:bidi="ar"/>
        </w:rPr>
        <w:t>十、机关运行经费</w:t>
      </w:r>
      <w:r>
        <w:rPr>
          <w:rFonts w:hint="eastAsia" w:ascii="仿宋_GB2312" w:hAnsi="Helvetica" w:eastAsia="仿宋_GB2312" w:cs="仿宋_GB2312"/>
          <w:i w:val="0"/>
          <w:caps w:val="0"/>
          <w:color w:val="000000"/>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F0A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  </w:t>
      </w:r>
    </w:p>
    <w:p w14:paraId="6F5DC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480"/>
        <w:rPr>
          <w:rFonts w:hint="default" w:ascii="Helvetica" w:hAnsi="Helvetica" w:eastAsia="Helvetica" w:cs="Helvetica"/>
          <w:i w:val="0"/>
          <w:caps w:val="0"/>
          <w:color w:val="333333"/>
          <w:spacing w:val="0"/>
          <w:sz w:val="24"/>
          <w:szCs w:val="24"/>
        </w:rPr>
      </w:pPr>
      <w:r>
        <w:rPr>
          <w:rFonts w:hint="eastAsia" w:ascii="仿宋_GB2312" w:hAnsi="Helvetica" w:eastAsia="仿宋_GB2312" w:cs="仿宋_GB2312"/>
          <w:i w:val="0"/>
          <w:caps w:val="0"/>
          <w:color w:val="000000"/>
          <w:spacing w:val="0"/>
          <w:sz w:val="32"/>
          <w:szCs w:val="32"/>
          <w:shd w:val="clear" w:fill="FFFFFF"/>
        </w:rPr>
        <w:t>附表：柳州市发展和改革委员会2020年部门预算公开表</w:t>
      </w:r>
    </w:p>
    <w:p w14:paraId="0FAF26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AAE130-D3D5-4E2D-8633-877194B9CC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embedRegular r:id="rId2" w:fontKey="{5375BEB9-A561-4AC7-B949-0DC22DB4F556}"/>
  </w:font>
  <w:font w:name="方正小标宋简体">
    <w:panose1 w:val="02000000000000000000"/>
    <w:charset w:val="86"/>
    <w:family w:val="auto"/>
    <w:pitch w:val="default"/>
    <w:sig w:usb0="00000001" w:usb1="080E0000" w:usb2="00000000" w:usb3="00000000" w:csb0="00040000" w:csb1="00000000"/>
    <w:embedRegular r:id="rId3" w:fontKey="{F51DE3C0-79BE-461C-80E0-65AA10917365}"/>
  </w:font>
  <w:font w:name="仿宋_GB2312">
    <w:panose1 w:val="02010609030101010101"/>
    <w:charset w:val="86"/>
    <w:family w:val="auto"/>
    <w:pitch w:val="default"/>
    <w:sig w:usb0="00000001" w:usb1="080E0000" w:usb2="00000000" w:usb3="00000000" w:csb0="00040000" w:csb1="00000000"/>
    <w:embedRegular r:id="rId4" w:fontKey="{B5C141BC-FB34-4CBC-81D5-726107C6E7D6}"/>
  </w:font>
  <w:font w:name="楷体_GB2312">
    <w:panose1 w:val="02010609030101010101"/>
    <w:charset w:val="86"/>
    <w:family w:val="auto"/>
    <w:pitch w:val="default"/>
    <w:sig w:usb0="00000001" w:usb1="080E0000" w:usb2="00000000" w:usb3="00000000" w:csb0="00040000" w:csb1="00000000"/>
    <w:embedRegular r:id="rId5" w:fontKey="{BB10D304-8CD0-454C-AB15-EB92AFFB16B0}"/>
  </w:font>
  <w:font w:name="仿宋">
    <w:panose1 w:val="02010609060101010101"/>
    <w:charset w:val="86"/>
    <w:family w:val="auto"/>
    <w:pitch w:val="default"/>
    <w:sig w:usb0="800002BF" w:usb1="38CF7CFA" w:usb2="00000016" w:usb3="00000000" w:csb0="00040001" w:csb1="00000000"/>
    <w:embedRegular r:id="rId6" w:fontKey="{54440D7B-177A-4796-8C31-7A8BF7EE3AD3}"/>
  </w:font>
  <w:font w:name="华文仿宋">
    <w:panose1 w:val="02010600040101010101"/>
    <w:charset w:val="86"/>
    <w:family w:val="auto"/>
    <w:pitch w:val="default"/>
    <w:sig w:usb0="00000287" w:usb1="080F0000" w:usb2="00000000" w:usb3="00000000" w:csb0="0004009F" w:csb1="DFD70000"/>
    <w:embedRegular r:id="rId7" w:fontKey="{9287F9F4-66B7-4B8E-8971-E3CF23BEDA7C}"/>
  </w:font>
  <w:font w:name="微软雅黑">
    <w:panose1 w:val="020B0503020204020204"/>
    <w:charset w:val="86"/>
    <w:family w:val="auto"/>
    <w:pitch w:val="default"/>
    <w:sig w:usb0="80000287" w:usb1="2ACF3C50" w:usb2="00000016" w:usb3="00000000" w:csb0="0004001F" w:csb1="00000000"/>
    <w:embedRegular r:id="rId8" w:fontKey="{F7E915D9-48CD-406E-ACBE-56F50EFC65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5252"/>
    <w:rsid w:val="3C2C1BC8"/>
    <w:rsid w:val="3CD4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fgw</Company>
  <Pages>25</Pages>
  <Words>9665</Words>
  <Characters>10856</Characters>
  <Lines>0</Lines>
  <Paragraphs>0</Paragraphs>
  <TotalTime>1</TotalTime>
  <ScaleCrop>false</ScaleCrop>
  <LinksUpToDate>false</LinksUpToDate>
  <CharactersWithSpaces>10863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2022-07-12T01:30:00Z</dcterms:created>
  <dc:creator>lenovo</dc:creator>
  <cp:lastModifiedBy>橘生淮南</cp:lastModifiedBy>
  <dcterms:modified xsi:type="dcterms:W3CDTF">2025-01-17T07:55:21Z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eyJoZGlkIjoiNjcwZDc2YTcyMTA3YWRkNmYyNzZmYWI5ZjVmMjc4ODciLCJ1c2VySWQiOiIxMDczMjgzMjYxIn0=</vt:lpwstr>
  </property>
  <property fmtid="{D5CDD505-2E9C-101B-9397-08002B2CF9AE}" pid="4" name="ICV">
    <vt:lpwstr>1953359B12AF460B947FB61B44B23E26_12</vt:lpwstr>
  </property>
</Properties>
</file>