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柳州市人力资源和社会保障局</w:t>
      </w:r>
    </w:p>
    <w:p>
      <w:pPr>
        <w:spacing w:line="560" w:lineRule="exact"/>
        <w:jc w:val="center"/>
        <w:rPr>
          <w:rFonts w:ascii="方正小标宋简体" w:hAnsi="华文仿宋" w:eastAsia="方正小标宋简体"/>
          <w:sz w:val="44"/>
          <w:szCs w:val="44"/>
        </w:rPr>
      </w:pPr>
      <w:r>
        <w:rPr>
          <w:rFonts w:hint="eastAsia" w:ascii="方正小标宋简体" w:hAnsi="华文仿宋" w:eastAsia="方正小标宋简体"/>
          <w:sz w:val="44"/>
          <w:szCs w:val="44"/>
        </w:rPr>
        <w:t>2019年部门预算</w:t>
      </w:r>
    </w:p>
    <w:p>
      <w:pPr>
        <w:spacing w:line="560" w:lineRule="exact"/>
        <w:rPr>
          <w:rFonts w:ascii="方正小标宋简体" w:hAnsi="华文仿宋" w:eastAsia="方正小标宋简体"/>
          <w:sz w:val="44"/>
          <w:szCs w:val="44"/>
        </w:rPr>
      </w:pPr>
    </w:p>
    <w:p>
      <w:pPr>
        <w:spacing w:line="560" w:lineRule="exact"/>
        <w:jc w:val="center"/>
        <w:rPr>
          <w:rStyle w:val="7"/>
          <w:rFonts w:ascii="方正小标宋简体" w:hAnsi="华文仿宋" w:eastAsia="方正小标宋简体"/>
          <w:bCs w:val="0"/>
          <w:sz w:val="44"/>
          <w:szCs w:val="44"/>
        </w:rPr>
      </w:pPr>
      <w:r>
        <w:rPr>
          <w:rStyle w:val="7"/>
          <w:rFonts w:hint="eastAsia" w:ascii="方正小标宋简体" w:hAnsi="华文仿宋" w:eastAsia="方正小标宋简体"/>
          <w:bCs w:val="0"/>
          <w:sz w:val="44"/>
          <w:szCs w:val="44"/>
        </w:rPr>
        <w:t>目 录</w:t>
      </w:r>
    </w:p>
    <w:p>
      <w:pPr>
        <w:pStyle w:val="5"/>
        <w:spacing w:before="0" w:beforeAutospacing="0" w:after="0" w:afterAutospacing="0" w:line="560" w:lineRule="exact"/>
        <w:jc w:val="center"/>
        <w:rPr>
          <w:rStyle w:val="7"/>
          <w:rFonts w:ascii="方正小标宋简体" w:hAnsi="华文仿宋" w:eastAsia="方正小标宋简体"/>
          <w:bCs w:val="0"/>
          <w:sz w:val="44"/>
          <w:szCs w:val="44"/>
        </w:rPr>
      </w:pP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w:t>
      </w:r>
    </w:p>
    <w:p>
      <w:pPr>
        <w:pStyle w:val="5"/>
        <w:spacing w:before="0" w:beforeAutospacing="0" w:after="0" w:afterAutospacing="0" w:line="560" w:lineRule="exact"/>
        <w:rPr>
          <w:rFonts w:ascii="仿宋_GB2312" w:hAnsi="华文仿宋" w:eastAsia="仿宋_GB2312"/>
          <w:b/>
          <w:bCs/>
          <w:color w:val="000000"/>
          <w:spacing w:val="-4"/>
          <w:sz w:val="32"/>
          <w:szCs w:val="32"/>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pacing w:val="-4"/>
          <w:sz w:val="32"/>
          <w:szCs w:val="32"/>
        </w:rPr>
        <w:t>柳州市人力资源和社会保障局2019年部门预算表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一、财政拨款收支总表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二、一般公共预算支出表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三、一般公共预算基本支出表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四、一般公共预算“三公”经费支出表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五、部门收支总表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六、部门收入总表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七、部门支出总表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第三部分：2019年部门预算情况说明</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spacing w:line="560" w:lineRule="exact"/>
        <w:rPr>
          <w:rStyle w:val="7"/>
          <w:rFonts w:ascii="仿宋_GB2312" w:hAnsi="华文仿宋" w:eastAsia="仿宋_GB2312" w:cs="宋体"/>
          <w:color w:val="000000"/>
          <w:kern w:val="0"/>
          <w:sz w:val="32"/>
          <w:szCs w:val="32"/>
        </w:rPr>
      </w:pPr>
    </w:p>
    <w:p>
      <w:pPr>
        <w:adjustRightInd w:val="0"/>
        <w:snapToGrid w:val="0"/>
        <w:spacing w:line="560" w:lineRule="exact"/>
        <w:ind w:right="-218" w:rightChars="-104"/>
        <w:jc w:val="center"/>
        <w:rPr>
          <w:rStyle w:val="7"/>
          <w:rFonts w:ascii="仿宋_GB2312" w:hAnsi="华文仿宋" w:eastAsia="仿宋_GB2312"/>
          <w:color w:val="000000"/>
          <w:sz w:val="32"/>
          <w:szCs w:val="32"/>
        </w:rPr>
      </w:pPr>
      <w:r>
        <w:rPr>
          <w:rStyle w:val="7"/>
          <w:rFonts w:hint="eastAsia" w:ascii="仿宋_GB2312" w:hAnsi="华文仿宋" w:eastAsia="仿宋_GB2312"/>
          <w:color w:val="000000"/>
          <w:sz w:val="32"/>
          <w:szCs w:val="32"/>
        </w:rPr>
        <w:t>第一部分 柳州市人力资源和社会保障局概况</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一）贯彻执行国家、自治区人力资源和社会保障事业的法律法规和政策；拟订全市人力资源和社会保障事业发展规划并组织实施，组织起草人力资源和社会保障工作的规范性文件，拟订相关政策并组织实施和监督检查。</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（二）拟订全市人力资源市场发展规划和人力资源流动政策，建立统一规范的人力资源市场，促进人力资源合理流动、有效配置。</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三）负责全市促进就业工作。拟订统筹城乡就业发展规划、政策，完善公共就业服务体系，建立就业援助制度，拟订落实职业资格制度相关政策，统筹建立面向城乡劳动者的职业培训制度，贯彻落实自治区有关大中专、职业院校、技工学校毕业生就业政策；会同有关部门拟订高技能人才、农村实用人才培养和激励政策并组织实施，拟订落实国（境）外人员来柳就业管理政策。</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四）统筹建立覆盖全市城乡的社会保障体系。落实自治区关于城乡社会及其补充保险政策及标准并监督检查，组织实施统一的社会保险关系转续办法和社会保险基金统筹办法；贯彻执行机关企事业单位基本养老保险和农村社会养老保险政策；组织实施工伤认定和劳动能力鉴定；会同有关部门建立和完善社会保险及其补充保险基金管理和监督机制，并实施对社会保险基金的管理和监督。</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（五）负责全市就业、失业、社会保险基金预测预警及信息引导，拟订应对预案，实施预防、调节和控制，保持就业形势稳定和社会保险基金总体收支平衡。</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六）会同有关部门拟订机关、事业单位人员的总体规划、结构调整和工资收入分配制度改革的方案，拟订企业职工工资收入分配宏观调控政策，建立机关、企事业单位人员工资正常增长和支付保障机制，拟订机关、企事业单位人员福利和离退休政策，负责市级机关、事业单位补充人员计划的核准。</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七）拟订事业单位人员和机关工勤人员管理政策。拟订全市事业单位人事制度改革政策并指导实施；拟订专业技术人员管理和继续教育政策并组织实施，牵头推进深化职称制度改革工作；负责高层次专业技术人才选拔、引进和培养工作；会同有关部门具体规划、部署柳州市人才小高地工作；</w:t>
      </w:r>
      <w:r>
        <w:rPr>
          <w:rFonts w:eastAsia="仿宋_GB2312"/>
          <w:bCs/>
          <w:sz w:val="32"/>
          <w:szCs w:val="32"/>
        </w:rPr>
        <w:t>建立、健全高级人才管理制度；</w:t>
      </w:r>
      <w:r>
        <w:rPr>
          <w:rFonts w:eastAsia="仿宋_GB2312"/>
          <w:bCs/>
          <w:kern w:val="0"/>
          <w:sz w:val="32"/>
          <w:szCs w:val="32"/>
        </w:rPr>
        <w:t>拟订并落实吸引国（境）外留学人员来柳工作或定居政策。</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（八）会同有关部门贯彻落实军队转业干部安置政策，拟订安置计划，做好安置工作；负责军队转业干部教育培训工作，负责自主择业军队转业干部管理服务工作，会同有关部门做好企业军队转业干部解困工作。</w:t>
      </w:r>
    </w:p>
    <w:p>
      <w:pPr>
        <w:spacing w:line="580" w:lineRule="exact"/>
        <w:ind w:firstLine="640" w:firstLineChars="200"/>
        <w:rPr>
          <w:rFonts w:eastAsia="仿宋_GB2312"/>
          <w:bCs/>
          <w:sz w:val="32"/>
          <w:szCs w:val="32"/>
        </w:rPr>
      </w:pPr>
      <w:r>
        <w:rPr>
          <w:rFonts w:eastAsia="仿宋_GB2312"/>
          <w:bCs/>
          <w:kern w:val="0"/>
          <w:sz w:val="32"/>
          <w:szCs w:val="32"/>
        </w:rPr>
        <w:t>（九）</w:t>
      </w:r>
      <w:r>
        <w:rPr>
          <w:rFonts w:eastAsia="仿宋_GB2312"/>
          <w:bCs/>
          <w:sz w:val="32"/>
          <w:szCs w:val="32"/>
          <w:shd w:val="clear" w:color="auto" w:fill="FFFFFF"/>
        </w:rPr>
        <w:t>负责全市行政机关的公务员、参照公务员法管理事业单位工作人员的综合管理；会同有关部门拟订全市公务员管理的政策规定，并组织实施；</w:t>
      </w:r>
      <w:r>
        <w:rPr>
          <w:rFonts w:eastAsia="仿宋_GB2312"/>
          <w:bCs/>
          <w:sz w:val="32"/>
          <w:szCs w:val="32"/>
        </w:rPr>
        <w:t>拟订公务员行为规范、职业道德建设和能力建设规划并组织实施；</w:t>
      </w:r>
      <w:r>
        <w:rPr>
          <w:rFonts w:eastAsia="仿宋_GB2312"/>
          <w:bCs/>
          <w:sz w:val="32"/>
          <w:szCs w:val="32"/>
          <w:shd w:val="clear" w:color="auto" w:fill="FFFFFF"/>
        </w:rPr>
        <w:t>拟订和实施有关政府奖励制度；</w:t>
      </w:r>
      <w:r>
        <w:rPr>
          <w:rFonts w:eastAsia="仿宋_GB2312"/>
          <w:bCs/>
          <w:sz w:val="32"/>
          <w:szCs w:val="32"/>
        </w:rPr>
        <w:t>负责公务员信息统计管理工作。</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（十）会同有关部门拟订农民工工作综合性政策和规划，推动农民工相关政策的落实，协调解决重点难点问题，维护农民工合法权益。</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（十一）贯彻落实国家、自治区引进国外智力规划、政策，完善我市引进国外智力服务体系，归口管理出国（境）培训工作，综合管理来柳工作的外国专家。</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二）贯彻落实劳动、人事争议调解仲裁制度和劳动关系政策，完善市本级劳动关系协调机制；实施消除非法使用童工政策和女工、未成年工的特殊劳动保护政策；组织实施劳动保障监察，协调劳动者维权工作，依法查处违反人力资源和社会保障法律法规的案件。</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（十三）建立并完善人力资源和社会保障系统信访、维护稳定工作制度，会同有关部门协调处理重大信访事件或突发事件。</w:t>
      </w:r>
    </w:p>
    <w:p>
      <w:pPr>
        <w:spacing w:line="580" w:lineRule="exact"/>
        <w:ind w:firstLine="624" w:firstLineChars="195"/>
        <w:rPr>
          <w:rFonts w:eastAsia="仿宋_GB2312"/>
          <w:bCs/>
          <w:kern w:val="0"/>
          <w:sz w:val="32"/>
          <w:szCs w:val="32"/>
        </w:rPr>
      </w:pPr>
      <w:r>
        <w:rPr>
          <w:rFonts w:eastAsia="仿宋_GB2312"/>
          <w:bCs/>
          <w:kern w:val="0"/>
          <w:sz w:val="32"/>
          <w:szCs w:val="32"/>
        </w:rPr>
        <w:t>（十四）会同有关部门拟订公务员分类、录用、考核、奖惩、任用、培训、交流、辞职辞退、申诉控告等方面的规范性文件；拟订事业单位工作人员参照公务员法管理办法和聘任制公务员管理办法，并组织实施和监督检查。完善公务员申诉控告制度和聘任制公务员人事争议仲裁制度，保障公务员合法权益。完善政府奖励制度，指导和协调全市公务员政府奖励工作，审核以市人民政府名义实施的公务员奖励活动，审核以市人民政府名义奖励的公务员人选。</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五）完善公务员考试录用制度，负责组织公务员及参照公务员法管理单位工作人员的考试录用工作。拟订公务员行为规范、职业道德建设和能力建设规划并组织实施；拟订公务员职位分类标准和管理办法；负责公务员信息统计管理工作。</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（十六）负责本系统国际交流与合作工作。</w:t>
      </w:r>
    </w:p>
    <w:p>
      <w:pPr>
        <w:widowControl/>
        <w:shd w:val="clear" w:color="auto" w:fill="FFFFFF"/>
        <w:spacing w:line="580" w:lineRule="exact"/>
        <w:ind w:firstLine="640"/>
        <w:jc w:val="left"/>
        <w:rPr>
          <w:rFonts w:eastAsia="仿宋_GB2312"/>
          <w:bCs/>
          <w:kern w:val="0"/>
          <w:sz w:val="32"/>
          <w:szCs w:val="32"/>
        </w:rPr>
      </w:pPr>
      <w:r>
        <w:rPr>
          <w:rFonts w:eastAsia="仿宋_GB2312"/>
          <w:bCs/>
          <w:kern w:val="0"/>
          <w:sz w:val="32"/>
          <w:szCs w:val="32"/>
        </w:rPr>
        <w:t>（十七）承办市人民政府交办的其他事项。</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柳州市人力资源和社会保障局共有直属单位11个。其中：</w:t>
      </w:r>
    </w:p>
    <w:p>
      <w:pPr>
        <w:spacing w:line="560" w:lineRule="exact"/>
        <w:ind w:firstLine="643" w:firstLineChars="200"/>
        <w:rPr>
          <w:rFonts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（一）行政单位</w:t>
      </w:r>
      <w:r>
        <w:rPr>
          <w:rFonts w:hint="eastAsia" w:ascii="仿宋_GB2312" w:hAnsi="华文仿宋" w:eastAsia="仿宋_GB2312"/>
          <w:color w:val="000000"/>
          <w:sz w:val="32"/>
          <w:szCs w:val="32"/>
        </w:rPr>
        <w:t>1个，是柳州市人力资源和社会保障局机关；</w:t>
      </w:r>
    </w:p>
    <w:p>
      <w:pPr>
        <w:spacing w:line="560" w:lineRule="exact"/>
        <w:ind w:firstLine="643" w:firstLineChars="200"/>
        <w:rPr>
          <w:rFonts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（二）参照公务员管理事业单位</w:t>
      </w:r>
      <w:r>
        <w:rPr>
          <w:rFonts w:hint="eastAsia" w:ascii="仿宋_GB2312" w:hAnsi="华文仿宋" w:eastAsia="仿宋_GB2312"/>
          <w:color w:val="000000"/>
          <w:sz w:val="32"/>
          <w:szCs w:val="32"/>
        </w:rPr>
        <w:t>7个，分别是柳州市人才服务管理办公室、柳州市转业军官培训与自主择业管理办公室、柳州市劳动保障监察支队、柳州市社会保险事业局、柳州市就业服务中心、柳州市劳动人事争议仲裁院、柳州市机关事业单位社会保险服务中心；</w:t>
      </w:r>
    </w:p>
    <w:p>
      <w:pPr>
        <w:spacing w:line="560" w:lineRule="exact"/>
        <w:ind w:firstLine="643" w:firstLineChars="200"/>
        <w:rPr>
          <w:rFonts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（三）全额拨款事业单位</w:t>
      </w:r>
      <w:r>
        <w:rPr>
          <w:rFonts w:hint="eastAsia" w:ascii="仿宋_GB2312" w:hAnsi="华文仿宋" w:eastAsia="仿宋_GB2312"/>
          <w:color w:val="000000"/>
          <w:sz w:val="32"/>
          <w:szCs w:val="32"/>
        </w:rPr>
        <w:t>2个，分别是柳州市技工学校、柳州市劳动职业培训指导中心；</w:t>
      </w:r>
    </w:p>
    <w:p>
      <w:pPr>
        <w:spacing w:line="560" w:lineRule="exact"/>
        <w:ind w:firstLine="643" w:firstLineChars="200"/>
        <w:rPr>
          <w:rFonts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（四）自收自支事业单位</w:t>
      </w:r>
      <w:r>
        <w:rPr>
          <w:rFonts w:hint="eastAsia" w:ascii="仿宋_GB2312" w:hAnsi="华文仿宋" w:eastAsia="仿宋_GB2312"/>
          <w:color w:val="000000"/>
          <w:sz w:val="32"/>
          <w:szCs w:val="32"/>
        </w:rPr>
        <w:t>1个，是柳州市职业技能鉴定指导中心。</w:t>
      </w:r>
    </w:p>
    <w:p>
      <w:pPr>
        <w:spacing w:line="560" w:lineRule="exact"/>
        <w:ind w:firstLine="643" w:firstLineChars="200"/>
        <w:rPr>
          <w:rFonts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机关本级</w:t>
      </w:r>
      <w:r>
        <w:rPr>
          <w:rFonts w:hint="eastAsia" w:ascii="仿宋_GB2312" w:hAnsi="华文仿宋" w:eastAsia="仿宋_GB2312"/>
          <w:color w:val="000000"/>
          <w:sz w:val="32"/>
          <w:szCs w:val="32"/>
        </w:rPr>
        <w:t>内设24个科室，分别为：</w:t>
      </w:r>
      <w:r>
        <w:rPr>
          <w:rFonts w:eastAsia="仿宋_GB2312"/>
          <w:bCs/>
          <w:kern w:val="0"/>
          <w:sz w:val="32"/>
          <w:szCs w:val="32"/>
        </w:rPr>
        <w:t>办公室</w:t>
      </w:r>
      <w:r>
        <w:rPr>
          <w:rFonts w:hint="eastAsia" w:eastAsia="仿宋_GB2312"/>
          <w:bCs/>
          <w:kern w:val="0"/>
          <w:sz w:val="32"/>
          <w:szCs w:val="32"/>
        </w:rPr>
        <w:t>、政策法规科、规划财务科、就业促进科、人力资源市场科、</w:t>
      </w:r>
      <w:r>
        <w:rPr>
          <w:rFonts w:eastAsia="仿宋_GB2312"/>
          <w:bCs/>
          <w:sz w:val="32"/>
          <w:szCs w:val="32"/>
        </w:rPr>
        <w:t>军官转业安置工作科（市军队转业干部安置工作小组办公室）</w:t>
      </w:r>
      <w:r>
        <w:rPr>
          <w:rFonts w:hint="eastAsia" w:eastAsia="仿宋_GB2312"/>
          <w:bCs/>
          <w:sz w:val="32"/>
          <w:szCs w:val="32"/>
        </w:rPr>
        <w:t>、</w:t>
      </w:r>
      <w:r>
        <w:rPr>
          <w:rFonts w:eastAsia="仿宋_GB2312"/>
          <w:bCs/>
          <w:sz w:val="32"/>
          <w:szCs w:val="32"/>
        </w:rPr>
        <w:t>职业能力建设科</w:t>
      </w:r>
      <w:r>
        <w:rPr>
          <w:rFonts w:hint="eastAsia" w:eastAsia="仿宋_GB2312"/>
          <w:bCs/>
          <w:sz w:val="32"/>
          <w:szCs w:val="32"/>
        </w:rPr>
        <w:t>、</w:t>
      </w:r>
      <w:r>
        <w:rPr>
          <w:rFonts w:eastAsia="仿宋_GB2312"/>
          <w:bCs/>
          <w:sz w:val="32"/>
          <w:szCs w:val="32"/>
        </w:rPr>
        <w:t>专业技术人员管理科（市职称改革工作领导小组办公室）</w:t>
      </w:r>
      <w:r>
        <w:rPr>
          <w:rFonts w:hint="eastAsia" w:eastAsia="仿宋_GB2312"/>
          <w:bCs/>
          <w:sz w:val="32"/>
          <w:szCs w:val="32"/>
        </w:rPr>
        <w:t>、</w:t>
      </w:r>
      <w:r>
        <w:rPr>
          <w:rFonts w:eastAsia="仿宋_GB2312"/>
          <w:bCs/>
          <w:sz w:val="32"/>
          <w:szCs w:val="32"/>
        </w:rPr>
        <w:t>事业单位人事管理科</w:t>
      </w:r>
      <w:r>
        <w:rPr>
          <w:rFonts w:hint="eastAsia" w:eastAsia="仿宋_GB2312"/>
          <w:bCs/>
          <w:sz w:val="32"/>
          <w:szCs w:val="32"/>
        </w:rPr>
        <w:t>、</w:t>
      </w:r>
      <w:r>
        <w:rPr>
          <w:rFonts w:eastAsia="仿宋_GB2312"/>
          <w:bCs/>
          <w:sz w:val="32"/>
          <w:szCs w:val="32"/>
        </w:rPr>
        <w:t>农民工工作科</w:t>
      </w:r>
      <w:r>
        <w:rPr>
          <w:rFonts w:hint="eastAsia" w:eastAsia="仿宋_GB2312"/>
          <w:bCs/>
          <w:sz w:val="32"/>
          <w:szCs w:val="32"/>
        </w:rPr>
        <w:t>、</w:t>
      </w:r>
      <w:r>
        <w:rPr>
          <w:rFonts w:eastAsia="仿宋_GB2312"/>
          <w:bCs/>
          <w:sz w:val="32"/>
          <w:szCs w:val="32"/>
        </w:rPr>
        <w:t>劳动关系科</w:t>
      </w:r>
      <w:r>
        <w:rPr>
          <w:rFonts w:hint="eastAsia" w:eastAsia="仿宋_GB2312"/>
          <w:bCs/>
          <w:sz w:val="32"/>
          <w:szCs w:val="32"/>
        </w:rPr>
        <w:t>、</w:t>
      </w:r>
      <w:r>
        <w:rPr>
          <w:rFonts w:eastAsia="仿宋_GB2312"/>
          <w:bCs/>
          <w:sz w:val="32"/>
          <w:szCs w:val="32"/>
        </w:rPr>
        <w:t>工资福利科</w:t>
      </w:r>
      <w:r>
        <w:rPr>
          <w:rFonts w:hint="eastAsia" w:eastAsia="仿宋_GB2312"/>
          <w:bCs/>
          <w:sz w:val="32"/>
          <w:szCs w:val="32"/>
        </w:rPr>
        <w:t>、</w:t>
      </w:r>
      <w:r>
        <w:rPr>
          <w:rFonts w:eastAsia="仿宋_GB2312"/>
          <w:bCs/>
          <w:sz w:val="32"/>
          <w:szCs w:val="32"/>
        </w:rPr>
        <w:t>养老保险科</w:t>
      </w:r>
      <w:r>
        <w:rPr>
          <w:rFonts w:hint="eastAsia" w:eastAsia="仿宋_GB2312"/>
          <w:bCs/>
          <w:sz w:val="32"/>
          <w:szCs w:val="32"/>
        </w:rPr>
        <w:t>、</w:t>
      </w:r>
      <w:r>
        <w:rPr>
          <w:rFonts w:eastAsia="仿宋_GB2312"/>
          <w:bCs/>
          <w:sz w:val="32"/>
          <w:szCs w:val="32"/>
        </w:rPr>
        <w:t>失业保险科</w:t>
      </w:r>
      <w:r>
        <w:rPr>
          <w:rFonts w:hint="eastAsia" w:eastAsia="仿宋_GB2312"/>
          <w:bCs/>
          <w:sz w:val="32"/>
          <w:szCs w:val="32"/>
        </w:rPr>
        <w:t>、</w:t>
      </w:r>
      <w:r>
        <w:rPr>
          <w:rFonts w:eastAsia="仿宋_GB2312"/>
          <w:bCs/>
          <w:sz w:val="32"/>
          <w:szCs w:val="32"/>
        </w:rPr>
        <w:t>医疗保险科</w:t>
      </w:r>
      <w:r>
        <w:rPr>
          <w:rFonts w:hint="eastAsia" w:eastAsia="仿宋_GB2312"/>
          <w:bCs/>
          <w:sz w:val="32"/>
          <w:szCs w:val="32"/>
        </w:rPr>
        <w:t>、</w:t>
      </w:r>
      <w:r>
        <w:rPr>
          <w:rFonts w:eastAsia="仿宋_GB2312"/>
          <w:bCs/>
          <w:sz w:val="32"/>
          <w:szCs w:val="32"/>
        </w:rPr>
        <w:t>工伤保险科</w:t>
      </w:r>
      <w:r>
        <w:rPr>
          <w:rFonts w:hint="eastAsia" w:eastAsia="仿宋_GB2312"/>
          <w:bCs/>
          <w:sz w:val="32"/>
          <w:szCs w:val="32"/>
        </w:rPr>
        <w:t>、</w:t>
      </w:r>
      <w:r>
        <w:rPr>
          <w:rFonts w:eastAsia="仿宋_GB2312"/>
          <w:bCs/>
          <w:sz w:val="32"/>
          <w:szCs w:val="32"/>
        </w:rPr>
        <w:t>城乡居民社会保险科</w:t>
      </w:r>
      <w:r>
        <w:rPr>
          <w:rFonts w:hint="eastAsia" w:eastAsia="仿宋_GB2312"/>
          <w:bCs/>
          <w:sz w:val="32"/>
          <w:szCs w:val="32"/>
        </w:rPr>
        <w:t>、</w:t>
      </w:r>
      <w:r>
        <w:rPr>
          <w:rFonts w:eastAsia="仿宋_GB2312"/>
          <w:bCs/>
          <w:sz w:val="32"/>
          <w:szCs w:val="32"/>
        </w:rPr>
        <w:t>社会保险基金监督科</w:t>
      </w:r>
      <w:r>
        <w:rPr>
          <w:rFonts w:hint="eastAsia" w:eastAsia="仿宋_GB2312"/>
          <w:bCs/>
          <w:sz w:val="32"/>
          <w:szCs w:val="32"/>
        </w:rPr>
        <w:t>、</w:t>
      </w:r>
      <w:r>
        <w:rPr>
          <w:rFonts w:eastAsia="仿宋_GB2312"/>
          <w:bCs/>
          <w:sz w:val="32"/>
          <w:szCs w:val="32"/>
        </w:rPr>
        <w:t>调解仲裁管理科</w:t>
      </w:r>
      <w:r>
        <w:rPr>
          <w:rFonts w:hint="eastAsia" w:eastAsia="仿宋_GB2312"/>
          <w:bCs/>
          <w:sz w:val="32"/>
          <w:szCs w:val="32"/>
        </w:rPr>
        <w:t>、</w:t>
      </w:r>
      <w:r>
        <w:rPr>
          <w:rFonts w:eastAsia="仿宋_GB2312"/>
          <w:bCs/>
          <w:sz w:val="32"/>
          <w:szCs w:val="32"/>
        </w:rPr>
        <w:t>劳动监察科</w:t>
      </w:r>
      <w:r>
        <w:rPr>
          <w:rFonts w:hint="eastAsia" w:eastAsia="仿宋_GB2312"/>
          <w:bCs/>
          <w:sz w:val="32"/>
          <w:szCs w:val="32"/>
        </w:rPr>
        <w:t>、</w:t>
      </w:r>
      <w:r>
        <w:rPr>
          <w:rFonts w:eastAsia="仿宋_GB2312"/>
          <w:bCs/>
          <w:sz w:val="32"/>
          <w:szCs w:val="32"/>
        </w:rPr>
        <w:t>引进国外智力科</w:t>
      </w:r>
      <w:r>
        <w:rPr>
          <w:rFonts w:hint="eastAsia" w:eastAsia="仿宋_GB2312"/>
          <w:bCs/>
          <w:sz w:val="32"/>
          <w:szCs w:val="32"/>
        </w:rPr>
        <w:t>、</w:t>
      </w:r>
      <w:r>
        <w:rPr>
          <w:rFonts w:eastAsia="仿宋_GB2312"/>
          <w:bCs/>
          <w:sz w:val="32"/>
          <w:szCs w:val="32"/>
        </w:rPr>
        <w:t>信访科</w:t>
      </w:r>
      <w:r>
        <w:rPr>
          <w:rFonts w:hint="eastAsia" w:eastAsia="仿宋_GB2312"/>
          <w:bCs/>
          <w:sz w:val="32"/>
          <w:szCs w:val="32"/>
        </w:rPr>
        <w:t>、</w:t>
      </w:r>
      <w:r>
        <w:rPr>
          <w:rFonts w:eastAsia="仿宋_GB2312"/>
          <w:bCs/>
          <w:sz w:val="32"/>
          <w:szCs w:val="32"/>
        </w:rPr>
        <w:t>公务员职位管理与考试录用科</w:t>
      </w:r>
      <w:r>
        <w:rPr>
          <w:rFonts w:hint="eastAsia" w:eastAsia="仿宋_GB2312"/>
          <w:bCs/>
          <w:sz w:val="32"/>
          <w:szCs w:val="32"/>
        </w:rPr>
        <w:t>、</w:t>
      </w:r>
      <w:r>
        <w:rPr>
          <w:rFonts w:eastAsia="仿宋_GB2312"/>
          <w:bCs/>
          <w:sz w:val="32"/>
          <w:szCs w:val="32"/>
        </w:rPr>
        <w:t>公务员考核奖励与培训监督科</w:t>
      </w:r>
      <w:r>
        <w:rPr>
          <w:rFonts w:hint="eastAsia" w:eastAsia="仿宋_GB2312"/>
          <w:bCs/>
          <w:sz w:val="32"/>
          <w:szCs w:val="32"/>
        </w:rPr>
        <w:t>。</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三、编制现状及人员构成</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单位人员编制总数为545人，其中：行政编制（含参公单位）385人，事业编制147人，工勤编制13人。</w:t>
      </w:r>
    </w:p>
    <w:p>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编内在职461人，其中：行政在职（含参公单位）337人，全额事业在职108人，自收自支事业在职3人，工勤编制13人。离休人员1人，退休人员286人。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（一）机关本级</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编制83人，其中：行政编制77人，工勤编制6人。</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编内在职80人，其中：行政在职74人，工勤编制6人。退休人员53人。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（二）柳州市人才服务管理办公室</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参公编制10人，编内在职10人，聘用人员25人。退休人员4人。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（三）柳州市转业军官培训与自主择业管理办公室</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参公编制18人，编内在职18人，聘用人员6人。退休人员5人。</w:t>
      </w:r>
    </w:p>
    <w:p>
      <w:pPr>
        <w:pStyle w:val="5"/>
        <w:spacing w:before="0" w:beforeAutospacing="0" w:after="0" w:afterAutospacing="0" w:line="560" w:lineRule="exact"/>
        <w:ind w:firstLine="643" w:firstLineChars="200"/>
        <w:jc w:val="both"/>
        <w:rPr>
          <w:rFonts w:ascii="仿宋_GB2312" w:hAnsi="华文仿宋" w:eastAsia="仿宋_GB2312" w:cs="Times New Roman"/>
          <w:color w:val="000000"/>
          <w:kern w:val="2"/>
          <w:sz w:val="32"/>
          <w:szCs w:val="32"/>
        </w:rPr>
      </w:pPr>
      <w:r>
        <w:rPr>
          <w:rFonts w:hint="eastAsia" w:ascii="楷体_GB2312" w:hAnsi="华文仿宋" w:eastAsia="楷体_GB2312"/>
          <w:b/>
          <w:color w:val="000000"/>
          <w:sz w:val="32"/>
          <w:szCs w:val="32"/>
        </w:rPr>
        <w:t>（四）柳州市技工学校</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全额事业编制139人，编内在职105人，工勤编制6人，聘用人员63人。离休人员1人，退休人员122人。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（五）柳州市劳动保障监察支队</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参公编制29人，编内在职27人，聘用人员15人。退休人员6人。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（六）柳州市社会保险事业管理局</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参公编制195人，编内在职161人，聘用人员136人。退休人员64人。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（七）柳州市就业服务中心</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参公编制30人，编内在职23人，聘用人员48人。退休人员20人。</w:t>
      </w:r>
    </w:p>
    <w:p>
      <w:pPr>
        <w:pStyle w:val="5"/>
        <w:spacing w:before="0" w:beforeAutospacing="0" w:after="0" w:afterAutospacing="0" w:line="560" w:lineRule="exact"/>
        <w:ind w:firstLine="643" w:firstLineChars="200"/>
        <w:jc w:val="both"/>
        <w:rPr>
          <w:rFonts w:ascii="仿宋_GB2312" w:hAnsi="华文仿宋" w:eastAsia="仿宋_GB2312" w:cs="Times New Roman"/>
          <w:color w:val="000000"/>
          <w:kern w:val="2"/>
          <w:sz w:val="32"/>
          <w:szCs w:val="32"/>
        </w:rPr>
      </w:pPr>
      <w:r>
        <w:rPr>
          <w:rFonts w:hint="eastAsia" w:ascii="楷体_GB2312" w:hAnsi="华文仿宋" w:eastAsia="楷体_GB2312"/>
          <w:b/>
          <w:color w:val="000000"/>
          <w:sz w:val="32"/>
          <w:szCs w:val="32"/>
        </w:rPr>
        <w:t>（八）柳州市劳动职业培训指导中心</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全额事业编制12人，编内在职10人，工勤编制1人，聘用人员8人。退休人员7人。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（九）柳州市劳动争仪仲裁院</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参公编制10人，编内在职9人，聘用人员15人。</w:t>
      </w:r>
    </w:p>
    <w:p>
      <w:pPr>
        <w:pStyle w:val="5"/>
        <w:spacing w:before="0" w:beforeAutospacing="0" w:after="0" w:afterAutospacing="0" w:line="560" w:lineRule="exact"/>
        <w:ind w:firstLine="643" w:firstLineChars="200"/>
        <w:jc w:val="both"/>
        <w:rPr>
          <w:rFonts w:ascii="楷体_GB2312" w:hAnsi="华文仿宋" w:eastAsia="楷体_GB2312"/>
          <w:b/>
          <w:color w:val="000000"/>
          <w:sz w:val="32"/>
          <w:szCs w:val="32"/>
        </w:rPr>
      </w:pPr>
      <w:r>
        <w:rPr>
          <w:rFonts w:hint="eastAsia" w:ascii="楷体_GB2312" w:hAnsi="华文仿宋" w:eastAsia="楷体_GB2312"/>
          <w:b/>
          <w:color w:val="000000"/>
          <w:sz w:val="32"/>
          <w:szCs w:val="32"/>
        </w:rPr>
        <w:t>（十）柳州市机关事业单位社会保险服务中心</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参公编制16人，编内在职15人，聘用人员20人。退休人员4人。</w:t>
      </w:r>
    </w:p>
    <w:p>
      <w:pPr>
        <w:pStyle w:val="5"/>
        <w:spacing w:before="0" w:beforeAutospacing="0" w:after="0" w:afterAutospacing="0" w:line="560" w:lineRule="exact"/>
        <w:ind w:firstLine="643" w:firstLineChars="200"/>
        <w:jc w:val="both"/>
        <w:rPr>
          <w:rFonts w:ascii="仿宋_GB2312" w:hAnsi="华文仿宋" w:eastAsia="仿宋_GB2312" w:cs="Times New Roman"/>
          <w:color w:val="000000"/>
          <w:kern w:val="2"/>
          <w:sz w:val="32"/>
          <w:szCs w:val="32"/>
        </w:rPr>
      </w:pPr>
      <w:r>
        <w:rPr>
          <w:rFonts w:hint="eastAsia" w:ascii="楷体_GB2312" w:hAnsi="华文仿宋" w:eastAsia="楷体_GB2312"/>
          <w:b/>
          <w:color w:val="000000"/>
          <w:sz w:val="32"/>
          <w:szCs w:val="32"/>
        </w:rPr>
        <w:t>（十一）柳州市职业技能鉴定指导中心</w:t>
      </w:r>
    </w:p>
    <w:p>
      <w:pPr>
        <w:pStyle w:val="5"/>
        <w:spacing w:before="0" w:beforeAutospacing="0" w:after="0" w:afterAutospacing="0" w:line="560" w:lineRule="exact"/>
        <w:ind w:firstLine="640" w:firstLineChars="200"/>
        <w:jc w:val="both"/>
        <w:rPr>
          <w:rFonts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自收自支事业编制3人，编内在职3人，聘用人员8人。退休人员1人。</w:t>
      </w:r>
    </w:p>
    <w:p>
      <w:pPr>
        <w:adjustRightInd w:val="0"/>
        <w:snapToGrid w:val="0"/>
        <w:spacing w:line="560" w:lineRule="exact"/>
        <w:ind w:right="-218" w:rightChars="-104"/>
        <w:jc w:val="center"/>
        <w:rPr>
          <w:rStyle w:val="7"/>
          <w:rFonts w:ascii="仿宋_GB2312" w:hAnsi="华文仿宋" w:eastAsia="仿宋_GB2312"/>
          <w:color w:val="000000"/>
          <w:sz w:val="32"/>
          <w:szCs w:val="32"/>
          <w:highlight w:val="yellow"/>
        </w:rPr>
      </w:pPr>
    </w:p>
    <w:p>
      <w:pPr>
        <w:adjustRightInd w:val="0"/>
        <w:snapToGrid w:val="0"/>
        <w:spacing w:line="560" w:lineRule="exact"/>
        <w:ind w:right="-218" w:rightChars="-104"/>
        <w:jc w:val="center"/>
        <w:rPr>
          <w:rStyle w:val="7"/>
          <w:rFonts w:ascii="仿宋_GB2312" w:hAnsi="华文仿宋" w:eastAsia="仿宋_GB2312"/>
          <w:color w:val="000000"/>
          <w:sz w:val="32"/>
          <w:szCs w:val="32"/>
          <w:highlight w:val="yellow"/>
        </w:rPr>
      </w:pPr>
    </w:p>
    <w:p>
      <w:pPr>
        <w:adjustRightInd w:val="0"/>
        <w:snapToGrid w:val="0"/>
        <w:spacing w:line="560" w:lineRule="exact"/>
        <w:ind w:right="-218" w:rightChars="-104"/>
        <w:jc w:val="center"/>
        <w:rPr>
          <w:rStyle w:val="7"/>
          <w:rFonts w:ascii="仿宋_GB2312" w:hAnsi="华文仿宋" w:eastAsia="仿宋_GB2312"/>
          <w:color w:val="000000"/>
          <w:sz w:val="32"/>
          <w:szCs w:val="32"/>
        </w:rPr>
      </w:pPr>
      <w:r>
        <w:rPr>
          <w:rStyle w:val="7"/>
          <w:rFonts w:hint="eastAsia" w:ascii="仿宋_GB2312" w:hAnsi="华文仿宋" w:eastAsia="仿宋_GB2312"/>
          <w:color w:val="000000"/>
          <w:sz w:val="32"/>
          <w:szCs w:val="32"/>
        </w:rPr>
        <w:t>第二部分：柳州市人力资源和社会保障局2019年部门预算表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一、财政拨款收支总表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二、一般公共预算支出表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三、一般公共预算基本支出表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四、一般公共预算“三公”经费支出表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五、部门收支总表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六、部门收入总表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七、部门支出总表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p>
    <w:p>
      <w:pPr>
        <w:adjustRightInd w:val="0"/>
        <w:snapToGrid w:val="0"/>
        <w:spacing w:line="560" w:lineRule="exact"/>
        <w:ind w:right="-218" w:rightChars="-104"/>
        <w:jc w:val="center"/>
        <w:rPr>
          <w:rFonts w:ascii="仿宋_GB2312" w:hAnsi="华文仿宋" w:eastAsia="仿宋_GB2312"/>
          <w:b/>
          <w:sz w:val="32"/>
          <w:szCs w:val="32"/>
        </w:rPr>
      </w:pPr>
      <w:r>
        <w:rPr>
          <w:rFonts w:hint="eastAsia" w:ascii="仿宋_GB2312" w:hAnsi="华文仿宋" w:eastAsia="仿宋_GB2312"/>
          <w:b/>
          <w:sz w:val="32"/>
          <w:szCs w:val="32"/>
        </w:rPr>
        <w:t>上述报表详见附件。</w:t>
      </w: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rPr>
      </w:pPr>
    </w:p>
    <w:p>
      <w:pPr>
        <w:adjustRightInd w:val="0"/>
        <w:snapToGrid w:val="0"/>
        <w:spacing w:line="560" w:lineRule="exact"/>
        <w:ind w:right="-218" w:rightChars="-104" w:firstLine="643" w:firstLineChars="200"/>
        <w:rPr>
          <w:rFonts w:ascii="仿宋_GB2312" w:hAnsi="华文仿宋" w:eastAsia="仿宋_GB2312"/>
          <w:b/>
          <w:sz w:val="32"/>
          <w:szCs w:val="32"/>
          <w:highlight w:val="cyan"/>
        </w:rPr>
      </w:pPr>
    </w:p>
    <w:p>
      <w:pPr>
        <w:pStyle w:val="5"/>
        <w:spacing w:before="0" w:beforeAutospacing="0" w:after="0" w:afterAutospacing="0" w:line="560" w:lineRule="exact"/>
        <w:jc w:val="center"/>
        <w:rPr>
          <w:rFonts w:ascii="仿宋_GB2312" w:hAnsi="华文仿宋" w:eastAsia="仿宋_GB2312" w:cs="Times New Roman"/>
          <w:b/>
          <w:bCs/>
          <w:color w:val="000000"/>
          <w:kern w:val="2"/>
          <w:sz w:val="32"/>
          <w:szCs w:val="32"/>
        </w:rPr>
      </w:pPr>
      <w:r>
        <w:rPr>
          <w:rFonts w:hint="eastAsia" w:ascii="仿宋_GB2312" w:hAnsi="华文仿宋" w:eastAsia="仿宋_GB2312" w:cs="Times New Roman"/>
          <w:b/>
          <w:bCs/>
          <w:color w:val="000000"/>
          <w:kern w:val="2"/>
          <w:sz w:val="32"/>
          <w:szCs w:val="32"/>
        </w:rPr>
        <w:t>第三部分：柳州市人力资源和社会保障局2019年部门预算情况说明</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一、财政拨款收支预算情况说明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2019年财政拨款收支预算103511.81万元，同比增加87013.71万元，同比增长527.4%，</w:t>
      </w:r>
      <w:r>
        <w:rPr>
          <w:rFonts w:hint="eastAsia" w:ascii="仿宋_GB2312" w:hAnsi="华文仿宋" w:eastAsia="仿宋_GB2312"/>
          <w:bCs/>
          <w:color w:val="000000"/>
          <w:sz w:val="32"/>
          <w:szCs w:val="32"/>
        </w:rPr>
        <w:t>增加的主要原因</w:t>
      </w:r>
      <w:r>
        <w:rPr>
          <w:rFonts w:hint="eastAsia" w:ascii="仿宋_GB2312" w:hAnsi="华文仿宋" w:eastAsia="仿宋_GB2312" w:cs="Times New Roman"/>
          <w:kern w:val="2"/>
          <w:sz w:val="32"/>
          <w:szCs w:val="32"/>
        </w:rPr>
        <w:t>：新增了全市人才集聚专项经费及全市养老保险基金及医疗保险基金、技工学校教育支出、公务员医疗补助等支出增加。</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二、一般公共预算支出情况说明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2019年部门一般公共预算支出103511.81万元，同比增加87013.71万元，同比增长527.4%，</w:t>
      </w:r>
      <w:r>
        <w:rPr>
          <w:rFonts w:hint="eastAsia" w:ascii="仿宋_GB2312" w:hAnsi="华文仿宋" w:eastAsia="仿宋_GB2312"/>
          <w:bCs/>
          <w:color w:val="000000"/>
          <w:sz w:val="32"/>
          <w:szCs w:val="32"/>
        </w:rPr>
        <w:t>增加的主要原因</w:t>
      </w:r>
      <w:r>
        <w:rPr>
          <w:rFonts w:hint="eastAsia" w:ascii="仿宋_GB2312" w:hAnsi="华文仿宋" w:eastAsia="仿宋_GB2312" w:cs="Times New Roman"/>
          <w:kern w:val="2"/>
          <w:sz w:val="32"/>
          <w:szCs w:val="32"/>
        </w:rPr>
        <w:t>：新增了全市人才集聚专项经费及全市养老保险基金及医疗保险基金、技工学校教育支出、公务员医疗补助等支出增加。</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按支出功能分类科目划分，具体支出预算如下：</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bCs/>
          <w:sz w:val="32"/>
          <w:szCs w:val="32"/>
        </w:rPr>
        <w:t>（一）201类一般公共服务支出</w:t>
      </w:r>
      <w:r>
        <w:rPr>
          <w:rFonts w:hint="eastAsia" w:ascii="仿宋_GB2312" w:hAnsi="华文仿宋" w:eastAsia="仿宋_GB2312" w:cs="Times New Roman"/>
          <w:kern w:val="2"/>
          <w:sz w:val="32"/>
          <w:szCs w:val="32"/>
        </w:rPr>
        <w:t>16498.10万元，</w:t>
      </w:r>
      <w:r>
        <w:rPr>
          <w:rFonts w:hint="eastAsia" w:ascii="仿宋_GB2312" w:hAnsi="华文仿宋" w:eastAsia="仿宋_GB2312"/>
          <w:sz w:val="32"/>
          <w:szCs w:val="32"/>
        </w:rPr>
        <w:t>占一般公共预算15.9%，</w:t>
      </w:r>
      <w:r>
        <w:rPr>
          <w:rFonts w:hint="eastAsia" w:ascii="仿宋_GB2312" w:hAnsi="华文仿宋" w:eastAsia="仿宋_GB2312" w:cs="Times New Roman"/>
          <w:kern w:val="2"/>
          <w:sz w:val="32"/>
          <w:szCs w:val="32"/>
        </w:rPr>
        <w:t>同比增加11682.75万元，同比增长242.6%，主要用于全市人才集聚专项经费、</w:t>
      </w:r>
      <w:r>
        <w:rPr>
          <w:rFonts w:hint="eastAsia" w:ascii="仿宋_GB2312" w:hAnsi="仿宋_GB2312" w:eastAsia="仿宋_GB2312" w:cs="仿宋_GB2312"/>
          <w:bCs/>
          <w:sz w:val="32"/>
          <w:szCs w:val="32"/>
        </w:rPr>
        <w:t>河东新办公大楼物业费、水电费等支出、</w:t>
      </w:r>
      <w:r>
        <w:rPr>
          <w:rFonts w:hint="eastAsia" w:ascii="仿宋_GB2312" w:hAnsi="华文仿宋" w:eastAsia="仿宋_GB2312" w:cs="Times New Roman"/>
          <w:kern w:val="2"/>
          <w:sz w:val="32"/>
          <w:szCs w:val="32"/>
        </w:rPr>
        <w:t>出国（境）培训五年计划专项资金、</w:t>
      </w:r>
      <w:r>
        <w:rPr>
          <w:rFonts w:hint="eastAsia" w:ascii="仿宋_GB2312" w:hAnsi="华文仿宋" w:eastAsia="仿宋_GB2312" w:cs="Times New Roman"/>
          <w:bCs/>
          <w:kern w:val="2"/>
          <w:sz w:val="32"/>
          <w:szCs w:val="32"/>
        </w:rPr>
        <w:t>机关、事业单位公招考试报名及随军未就业家属面试专项经费、</w:t>
      </w:r>
      <w:r>
        <w:rPr>
          <w:rFonts w:hint="eastAsia" w:ascii="仿宋_GB2312" w:hAnsi="仿宋_GB2312" w:eastAsia="仿宋_GB2312" w:cs="仿宋_GB2312"/>
          <w:bCs/>
          <w:sz w:val="32"/>
          <w:szCs w:val="32"/>
        </w:rPr>
        <w:t>人力资源综合业务培训专项经费等</w:t>
      </w:r>
      <w:r>
        <w:rPr>
          <w:rFonts w:hint="eastAsia" w:ascii="仿宋_GB2312" w:hAnsi="华文仿宋" w:eastAsia="仿宋_GB2312" w:cs="Times New Roman"/>
          <w:kern w:val="2"/>
          <w:sz w:val="32"/>
          <w:szCs w:val="32"/>
        </w:rPr>
        <w:t>。</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（二）205类教育支出</w:t>
      </w:r>
      <w:r>
        <w:rPr>
          <w:rFonts w:hint="eastAsia" w:ascii="仿宋_GB2312" w:hAnsi="华文仿宋" w:eastAsia="仿宋_GB2312" w:cs="Times New Roman"/>
          <w:kern w:val="2"/>
          <w:sz w:val="32"/>
          <w:szCs w:val="32"/>
        </w:rPr>
        <w:t>1199.13万元，</w:t>
      </w:r>
      <w:r>
        <w:rPr>
          <w:rFonts w:hint="eastAsia" w:ascii="仿宋_GB2312" w:hAnsi="华文仿宋" w:eastAsia="仿宋_GB2312"/>
          <w:sz w:val="32"/>
          <w:szCs w:val="32"/>
        </w:rPr>
        <w:t>占一般公共预算1.2%，</w:t>
      </w:r>
      <w:r>
        <w:rPr>
          <w:rFonts w:hint="eastAsia" w:ascii="仿宋_GB2312" w:hAnsi="华文仿宋" w:eastAsia="仿宋_GB2312" w:cs="Times New Roman"/>
          <w:kern w:val="2"/>
          <w:sz w:val="32"/>
          <w:szCs w:val="32"/>
        </w:rPr>
        <w:t>同比增加199.99万元，同比增长20%，主要用于市技工学校非实名编人员及后勤人员经费、聘用人员经费及技工学校日常运行等方面的支出。</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（三）208类社会保障和就业支出82740.10万元，占一般公共预算79.9%，</w:t>
      </w:r>
      <w:r>
        <w:rPr>
          <w:rFonts w:hint="eastAsia" w:ascii="仿宋_GB2312" w:hAnsi="华文仿宋" w:eastAsia="仿宋_GB2312" w:cs="Times New Roman"/>
          <w:kern w:val="2"/>
          <w:sz w:val="32"/>
          <w:szCs w:val="32"/>
        </w:rPr>
        <w:t>同比增加70953.23万元，同比增长602%，主要用于</w:t>
      </w:r>
      <w:r>
        <w:rPr>
          <w:rFonts w:hint="eastAsia" w:ascii="仿宋_GB2312" w:eastAsia="仿宋_GB2312"/>
          <w:sz w:val="32"/>
          <w:szCs w:val="32"/>
        </w:rPr>
        <w:t>对机关事业单位基本养老保险基金的补助、</w:t>
      </w:r>
      <w:r>
        <w:rPr>
          <w:rFonts w:hint="eastAsia" w:ascii="仿宋_GB2312" w:hAnsi="仿宋_GB2312" w:eastAsia="仿宋_GB2312" w:cs="仿宋_GB2312"/>
          <w:bCs/>
          <w:sz w:val="32"/>
          <w:szCs w:val="32"/>
        </w:rPr>
        <w:t>促进就业发展专项资金、特困企业离休医疗费、聘用人员经费、机关事业单位基本养老保险缴费支出、公益性岗位补贴、离退休费、</w:t>
      </w:r>
      <w:r>
        <w:rPr>
          <w:rFonts w:hint="eastAsia" w:ascii="仿宋_GB2312" w:hAnsi="仿宋" w:eastAsia="仿宋_GB2312" w:cs="仿宋_GB2312"/>
          <w:sz w:val="32"/>
          <w:szCs w:val="32"/>
        </w:rPr>
        <w:t>各项考试组织管理经费、</w:t>
      </w:r>
      <w:r>
        <w:rPr>
          <w:rFonts w:hint="eastAsia" w:ascii="仿宋_GB2312" w:hAnsi="仿宋_GB2312" w:eastAsia="仿宋_GB2312" w:cs="仿宋_GB2312"/>
          <w:sz w:val="32"/>
          <w:szCs w:val="32"/>
        </w:rPr>
        <w:t>劳动保障监察工作经费、</w:t>
      </w:r>
      <w:r>
        <w:rPr>
          <w:rFonts w:hint="eastAsia" w:ascii="仿宋_GB2312" w:hAnsi="仿宋_GB2312" w:eastAsia="仿宋_GB2312" w:cs="仿宋_GB2312"/>
          <w:bCs/>
          <w:sz w:val="32"/>
          <w:szCs w:val="32"/>
        </w:rPr>
        <w:t>四套离休医疗费、</w:t>
      </w:r>
      <w:r>
        <w:rPr>
          <w:rFonts w:hint="eastAsia" w:ascii="仿宋_GB2312" w:hAnsi="仿宋_GB2312" w:eastAsia="仿宋_GB2312"/>
          <w:color w:val="000000"/>
          <w:sz w:val="32"/>
          <w:szCs w:val="32"/>
        </w:rPr>
        <w:t>社会保险管理工作经费等</w:t>
      </w:r>
      <w:r>
        <w:rPr>
          <w:rFonts w:hint="eastAsia" w:ascii="仿宋_GB2312" w:hAnsi="华文仿宋" w:eastAsia="仿宋_GB2312"/>
          <w:sz w:val="32"/>
          <w:szCs w:val="32"/>
        </w:rPr>
        <w:t>。</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sz w:val="32"/>
          <w:szCs w:val="32"/>
        </w:rPr>
        <w:t>（四）210类卫生健康支出2516.59万元，占一般公共预算2.4%，</w:t>
      </w:r>
      <w:r>
        <w:rPr>
          <w:rFonts w:hint="eastAsia" w:ascii="仿宋_GB2312" w:hAnsi="华文仿宋" w:eastAsia="仿宋_GB2312" w:cs="Times New Roman"/>
          <w:kern w:val="2"/>
          <w:sz w:val="32"/>
          <w:szCs w:val="32"/>
        </w:rPr>
        <w:t>同比增加2183.88万元，同比增长656.4%。主要用于对城乡居民基本医疗保险基金的补助、公务员医疗补助、行政单位医疗等。</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（五）221类住房保障支出557.90</w:t>
      </w:r>
      <w:r>
        <w:rPr>
          <w:rFonts w:hint="eastAsia" w:ascii="仿宋_GB2312" w:hAnsi="华文仿宋" w:eastAsia="仿宋_GB2312"/>
          <w:sz w:val="32"/>
          <w:szCs w:val="32"/>
        </w:rPr>
        <w:t>万元，占一般公共预算0.5%，</w:t>
      </w:r>
      <w:r>
        <w:rPr>
          <w:rFonts w:hint="eastAsia" w:ascii="仿宋_GB2312" w:hAnsi="华文仿宋" w:eastAsia="仿宋_GB2312" w:cs="Times New Roman"/>
          <w:kern w:val="2"/>
          <w:sz w:val="32"/>
          <w:szCs w:val="32"/>
        </w:rPr>
        <w:t>同比增加25.63万元，同比增长4.8%。主要用于住房公积金支出。</w:t>
      </w:r>
    </w:p>
    <w:p>
      <w:pPr>
        <w:pStyle w:val="5"/>
        <w:spacing w:before="0" w:beforeAutospacing="0" w:after="0" w:afterAutospacing="0" w:line="560" w:lineRule="exact"/>
        <w:ind w:firstLine="643" w:firstLineChars="200"/>
        <w:rPr>
          <w:rFonts w:ascii="黑体" w:hAnsi="黑体" w:eastAsia="黑体" w:cs="黑体"/>
          <w:b/>
          <w:bCs/>
          <w:color w:val="000000"/>
          <w:sz w:val="32"/>
          <w:szCs w:val="32"/>
        </w:rPr>
      </w:pPr>
      <w:r>
        <w:rPr>
          <w:rFonts w:hint="eastAsia" w:ascii="黑体" w:hAnsi="黑体" w:eastAsia="黑体" w:cs="黑体"/>
          <w:b/>
          <w:bCs/>
          <w:color w:val="000000"/>
          <w:sz w:val="32"/>
          <w:szCs w:val="32"/>
        </w:rPr>
        <w:t>三、一般公共预算基本支出情况说明</w:t>
      </w:r>
    </w:p>
    <w:p>
      <w:pPr>
        <w:pStyle w:val="5"/>
        <w:spacing w:before="0" w:beforeAutospacing="0" w:after="0" w:afterAutospacing="0" w:line="56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s="Times New Roman"/>
          <w:kern w:val="2"/>
          <w:sz w:val="32"/>
          <w:szCs w:val="32"/>
        </w:rPr>
        <w:t>2019年部门一般公共预算基本支出7919.22万元，同比增加1906.99万元，同比增长31.7%，</w:t>
      </w:r>
      <w:r>
        <w:rPr>
          <w:rFonts w:hint="eastAsia" w:ascii="仿宋_GB2312" w:hAnsi="华文仿宋" w:eastAsia="仿宋_GB2312"/>
          <w:bCs/>
          <w:color w:val="000000"/>
          <w:sz w:val="32"/>
          <w:szCs w:val="32"/>
        </w:rPr>
        <w:t>增加的主要原因：</w:t>
      </w:r>
      <w:r>
        <w:rPr>
          <w:rFonts w:hint="eastAsia" w:ascii="仿宋_GB2312" w:hAnsi="华文仿宋" w:eastAsia="仿宋_GB2312" w:cs="Times New Roman"/>
          <w:kern w:val="2"/>
          <w:sz w:val="32"/>
          <w:szCs w:val="32"/>
        </w:rPr>
        <w:t>工资福利费、社保缴费基数、公用经费及退休费增加。按支出经济分类科目划分，具体人员、公用经费安排如下：</w:t>
      </w:r>
      <w:r>
        <w:rPr>
          <w:rFonts w:hint="eastAsia" w:ascii="仿宋_GB2312" w:hAnsi="华文仿宋" w:eastAsia="仿宋_GB2312"/>
          <w:color w:val="000000"/>
          <w:sz w:val="32"/>
          <w:szCs w:val="32"/>
        </w:rPr>
        <w:t xml:space="preserve"> </w:t>
      </w:r>
    </w:p>
    <w:p>
      <w:pPr>
        <w:pStyle w:val="5"/>
        <w:spacing w:before="0" w:beforeAutospacing="0" w:after="0" w:afterAutospacing="0" w:line="560" w:lineRule="exact"/>
        <w:ind w:firstLine="640" w:firstLineChars="200"/>
        <w:jc w:val="both"/>
        <w:rPr>
          <w:rFonts w:ascii="仿宋_GB2312" w:hAnsi="华文仿宋" w:eastAsia="仿宋_GB2312"/>
          <w:color w:val="000000"/>
          <w:sz w:val="32"/>
          <w:szCs w:val="32"/>
        </w:rPr>
      </w:pPr>
      <w:r>
        <w:rPr>
          <w:rFonts w:hint="eastAsia" w:ascii="仿宋_GB2312" w:hAnsi="华文仿宋" w:eastAsia="仿宋_GB2312" w:cs="Times New Roman"/>
          <w:kern w:val="2"/>
          <w:sz w:val="32"/>
          <w:szCs w:val="32"/>
        </w:rPr>
        <w:t>（一）人员经费6664.67万元，同比增加1682.56万元，同比增长33.8%，</w:t>
      </w:r>
      <w:r>
        <w:rPr>
          <w:rFonts w:hint="eastAsia" w:ascii="仿宋_GB2312" w:hAnsi="华文仿宋" w:eastAsia="仿宋_GB2312"/>
          <w:bCs/>
          <w:color w:val="000000"/>
          <w:sz w:val="32"/>
          <w:szCs w:val="32"/>
        </w:rPr>
        <w:t>其中</w:t>
      </w:r>
      <w:r>
        <w:rPr>
          <w:rFonts w:hint="eastAsia" w:ascii="仿宋_GB2312" w:hAnsi="华文仿宋" w:eastAsia="仿宋_GB2312" w:cs="Times New Roman"/>
          <w:kern w:val="2"/>
          <w:sz w:val="32"/>
          <w:szCs w:val="32"/>
        </w:rPr>
        <w:t>：</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bCs/>
          <w:color w:val="000000"/>
          <w:sz w:val="32"/>
          <w:szCs w:val="32"/>
        </w:rPr>
        <w:t>基本工资</w:t>
      </w:r>
      <w:r>
        <w:rPr>
          <w:rFonts w:hint="eastAsia" w:ascii="仿宋_GB2312" w:hAnsi="华文仿宋" w:eastAsia="仿宋_GB2312" w:cs="Times New Roman"/>
          <w:kern w:val="2"/>
          <w:sz w:val="32"/>
          <w:szCs w:val="32"/>
        </w:rPr>
        <w:t>1629.27万元，同比减少39.14万元，同比下降2.3%；</w:t>
      </w:r>
      <w:r>
        <w:rPr>
          <w:rFonts w:hint="eastAsia" w:ascii="仿宋_GB2312" w:hAnsi="华文仿宋" w:eastAsia="仿宋_GB2312"/>
          <w:bCs/>
          <w:color w:val="000000"/>
          <w:sz w:val="32"/>
          <w:szCs w:val="32"/>
        </w:rPr>
        <w:t>津贴补贴</w:t>
      </w:r>
      <w:r>
        <w:rPr>
          <w:rFonts w:ascii="仿宋_GB2312" w:hAnsi="华文仿宋" w:eastAsia="仿宋_GB2312" w:cs="Times New Roman"/>
          <w:kern w:val="2"/>
          <w:sz w:val="32"/>
          <w:szCs w:val="32"/>
        </w:rPr>
        <w:t>1044.55</w:t>
      </w:r>
      <w:r>
        <w:rPr>
          <w:rFonts w:hint="eastAsia" w:ascii="仿宋_GB2312" w:hAnsi="华文仿宋" w:eastAsia="仿宋_GB2312" w:cs="Times New Roman"/>
          <w:kern w:val="2"/>
          <w:sz w:val="32"/>
          <w:szCs w:val="32"/>
        </w:rPr>
        <w:t>万元，同比减少18.25万元，同比下降1.8%；绩效工资</w:t>
      </w:r>
      <w:r>
        <w:rPr>
          <w:rFonts w:ascii="仿宋_GB2312" w:hAnsi="华文仿宋" w:eastAsia="仿宋_GB2312" w:cs="Times New Roman"/>
          <w:kern w:val="2"/>
          <w:sz w:val="32"/>
          <w:szCs w:val="32"/>
        </w:rPr>
        <w:t>557.21</w:t>
      </w:r>
      <w:r>
        <w:rPr>
          <w:rFonts w:hint="eastAsia" w:ascii="仿宋_GB2312" w:hAnsi="华文仿宋" w:eastAsia="仿宋_GB2312" w:cs="Times New Roman"/>
          <w:kern w:val="2"/>
          <w:sz w:val="32"/>
          <w:szCs w:val="32"/>
        </w:rPr>
        <w:t>万元，同比增加185.67万元；机关事业单位基本养老保险缴费929.83万元，同比增加42.54万元，同比增长4.8%；职业年金缴费1.15万元，同比减少1.17万元；职工基本医疗保险缴费348.69万元，同比增加15.98万元，同比增长4.8%；公务员医疗补助缴费657.81万元，同比增加657.81万元；其他社会保障缴费41.85万元，同比增加1.96万元，同比增长4.9%；住房公积金557.9万元，同比增加25.53万元，同比增长4.8%。</w:t>
      </w:r>
      <w:r>
        <w:rPr>
          <w:rFonts w:hint="eastAsia" w:ascii="仿宋_GB2312" w:hAnsi="华文仿宋" w:eastAsia="仿宋_GB2312"/>
          <w:sz w:val="32"/>
          <w:szCs w:val="32"/>
        </w:rPr>
        <w:t>离休费13.13万元，同比增加3.46万元，同比增长35.8%；退休费247.36万元，同比增加234.33万元。</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（二）公用经费1254.55万元，同比增加224.44万元，同比增长21.8%。其中：</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bCs/>
          <w:color w:val="000000"/>
          <w:sz w:val="32"/>
          <w:szCs w:val="32"/>
        </w:rPr>
        <w:t>办公费</w:t>
      </w:r>
      <w:r>
        <w:rPr>
          <w:rFonts w:hint="eastAsia" w:ascii="仿宋_GB2312" w:hAnsi="华文仿宋" w:eastAsia="仿宋_GB2312" w:cs="Times New Roman"/>
          <w:kern w:val="2"/>
          <w:sz w:val="32"/>
          <w:szCs w:val="32"/>
        </w:rPr>
        <w:t>89.66万元，同比增加35.91万元，同比增长66.8%；印刷费12.28万元，同比减少0.2万元，同比下降1.6%；</w:t>
      </w:r>
      <w:r>
        <w:rPr>
          <w:rFonts w:hint="eastAsia" w:ascii="仿宋_GB2312" w:hAnsi="华文仿宋" w:eastAsia="仿宋_GB2312"/>
          <w:bCs/>
          <w:color w:val="000000"/>
          <w:sz w:val="32"/>
          <w:szCs w:val="32"/>
        </w:rPr>
        <w:t>水费</w:t>
      </w:r>
      <w:r>
        <w:rPr>
          <w:rFonts w:hint="eastAsia" w:ascii="仿宋_GB2312" w:hAnsi="华文仿宋" w:eastAsia="仿宋_GB2312" w:cs="Times New Roman"/>
          <w:kern w:val="2"/>
          <w:sz w:val="32"/>
          <w:szCs w:val="32"/>
        </w:rPr>
        <w:t>9.3万元，同比减少0.2万元，同比下降2.1%；电费40.37万元，同比增加6.12万元，同比增长17.9%；邮电费73.51万元，同比增加49.40万元，同比增长204.9%；物业管理费7.12万元，同比减少0.12万元，同比下降1.7%；差旅费135.20万元，同比增加7.6万元，同比增长6.0%；维修(护)费21.50万元，同比减少8.96万元，同比下降71.5%；会议费24.53万元，同比减少3.31万元，同比下降11.9%；培训费22.16万元，同比增加3.49万元，同比增长18.7%；公务接待费14.58万元，同比增加1.69万元，同比增长13.1%；工会经费92.98万元，同比增加4.25万元，同比增长4.8%；公务用车运行维护费30万元，同比增加6万元，同比增长25%；其他交通费用299.34万元，同比减少4.86万元，同比下降1.6%；其他商品和服务支出382.03万元，同比增加140.04万元，同比增长57.9%。</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四、一般公共预算“三公”经费情况说明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2019年一般公共预算安排的“三公”经费支出预算944万元，比2018年预算984.52万元，同比减少40.52万元，同比下降4.1%。减少的主要原因:</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仿宋_GB2312" w:eastAsia="仿宋_GB2312" w:cs="仿宋_GB2312"/>
          <w:sz w:val="32"/>
          <w:szCs w:val="32"/>
        </w:rPr>
      </w:pPr>
      <w:r>
        <w:rPr>
          <w:rFonts w:hint="eastAsia" w:ascii="仿宋_GB2312" w:hAnsi="华文仿宋" w:eastAsia="仿宋_GB2312"/>
          <w:kern w:val="2"/>
          <w:sz w:val="32"/>
          <w:szCs w:val="32"/>
        </w:rPr>
        <w:t>（一）</w:t>
      </w:r>
      <w:r>
        <w:rPr>
          <w:rFonts w:hint="eastAsia" w:ascii="仿宋_GB2312" w:hAnsi="华文仿宋" w:eastAsia="仿宋_GB2312"/>
          <w:bCs/>
          <w:color w:val="000000"/>
          <w:sz w:val="32"/>
          <w:szCs w:val="32"/>
        </w:rPr>
        <w:t>因公出国（境）经费2019年预算385.20万元，同比减少2万元，同比下降0.5%。减少的原因为：</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rPr>
        <w:t>年度优秀中青年干部赴国外培训项目计划招生25人，预计市直机关、参公单位及全额拨款事业单位生源14人，差拨单位、县区及企业生源11人，由市财政承担经费的生源有所减少。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华文仿宋" w:eastAsia="仿宋_GB2312"/>
          <w:bCs/>
          <w:color w:val="000000"/>
          <w:sz w:val="32"/>
          <w:szCs w:val="32"/>
        </w:rPr>
      </w:pPr>
      <w:r>
        <w:rPr>
          <w:rFonts w:hint="eastAsia" w:ascii="仿宋_GB2312" w:hAnsi="华文仿宋" w:eastAsia="仿宋_GB2312"/>
          <w:kern w:val="2"/>
          <w:sz w:val="32"/>
          <w:szCs w:val="32"/>
        </w:rPr>
        <w:t>（二）</w:t>
      </w:r>
      <w:r>
        <w:rPr>
          <w:rFonts w:hint="eastAsia" w:ascii="仿宋_GB2312" w:hAnsi="华文仿宋" w:eastAsia="仿宋_GB2312"/>
          <w:bCs/>
          <w:color w:val="000000"/>
          <w:sz w:val="32"/>
          <w:szCs w:val="32"/>
        </w:rPr>
        <w:t>公务接待费2019年预算132.32万元，同比增加19.47万元，同比增长17.3%，增加的原因为：</w:t>
      </w:r>
      <w:r>
        <w:rPr>
          <w:rFonts w:hint="eastAsia" w:ascii="仿宋_GB2312" w:hAnsi="仿宋_GB2312" w:eastAsia="仿宋_GB2312" w:cs="仿宋_GB2312"/>
          <w:sz w:val="32"/>
          <w:szCs w:val="32"/>
          <w:lang w:val="en-US"/>
        </w:rPr>
        <w:t>根据人才集聚政策，加大了对优秀人才的政策宣传力度，邀请</w:t>
      </w:r>
      <w:r>
        <w:rPr>
          <w:rFonts w:hint="eastAsia" w:ascii="仿宋_GB2312" w:hAnsi="仿宋_GB2312" w:eastAsia="仿宋_GB2312" w:cs="仿宋_GB2312"/>
          <w:sz w:val="32"/>
          <w:szCs w:val="32"/>
        </w:rPr>
        <w:t>区外“211”工程高校的工科硕士、博士生以及其它高层次人才来柳考察调研</w:t>
      </w:r>
      <w:r>
        <w:rPr>
          <w:rFonts w:hint="eastAsia" w:ascii="仿宋_GB2312" w:hAnsi="仿宋_GB2312" w:eastAsia="仿宋_GB2312" w:cs="仿宋_GB2312"/>
          <w:sz w:val="32"/>
          <w:szCs w:val="32"/>
          <w:lang w:val="en-US"/>
        </w:rPr>
        <w:t>的人数比上年增加130人左右。</w:t>
      </w:r>
      <w:r>
        <w:rPr>
          <w:rFonts w:hint="eastAsia" w:ascii="仿宋_GB2312" w:hAnsi="华文仿宋" w:eastAsia="仿宋_GB2312"/>
          <w:bCs/>
          <w:color w:val="000000"/>
          <w:sz w:val="32"/>
          <w:szCs w:val="32"/>
        </w:rPr>
        <w:t xml:space="preserve"> </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仿宋_GB2312" w:eastAsia="仿宋_GB2312"/>
          <w:sz w:val="32"/>
        </w:rPr>
      </w:pPr>
      <w:r>
        <w:rPr>
          <w:rFonts w:hint="eastAsia" w:ascii="仿宋_GB2312" w:hAnsi="华文仿宋" w:eastAsia="仿宋_GB2312"/>
          <w:bCs/>
          <w:sz w:val="32"/>
          <w:szCs w:val="32"/>
        </w:rPr>
        <w:t>（三）</w:t>
      </w:r>
      <w:r>
        <w:rPr>
          <w:rFonts w:hint="eastAsia" w:ascii="仿宋_GB2312" w:hAnsi="华文仿宋" w:eastAsia="仿宋_GB2312"/>
          <w:bCs/>
          <w:color w:val="000000"/>
          <w:sz w:val="32"/>
          <w:szCs w:val="32"/>
        </w:rPr>
        <w:t>公务用车购置费及运行费2019年预算30万元，同比增加6万元，同比增长25%，</w:t>
      </w:r>
      <w:r>
        <w:rPr>
          <w:rFonts w:hint="eastAsia" w:ascii="仿宋_GB2312" w:hAnsi="仿宋_GB2312" w:eastAsia="仿宋_GB2312"/>
          <w:sz w:val="32"/>
        </w:rPr>
        <w:t>增长</w:t>
      </w:r>
      <w:r>
        <w:rPr>
          <w:rFonts w:ascii="仿宋_GB2312" w:hAnsi="仿宋_GB2312" w:eastAsia="仿宋_GB2312"/>
          <w:sz w:val="32"/>
        </w:rPr>
        <w:t>的原因为：</w:t>
      </w:r>
      <w:r>
        <w:rPr>
          <w:rFonts w:hint="eastAsia" w:ascii="仿宋_GB2312" w:hAnsi="仿宋_GB2312" w:eastAsia="仿宋_GB2312"/>
          <w:sz w:val="32"/>
          <w:lang w:val="en-US"/>
        </w:rPr>
        <w:t>2018年事业单位公车改革核定</w:t>
      </w:r>
      <w:r>
        <w:rPr>
          <w:rFonts w:hint="eastAsia" w:ascii="仿宋_GB2312" w:hAnsi="仿宋_GB2312" w:eastAsia="仿宋_GB2312"/>
          <w:sz w:val="32"/>
        </w:rPr>
        <w:t>柳州市劳动职业培训指导中心核定经费车辆数为</w:t>
      </w:r>
      <w:r>
        <w:rPr>
          <w:rFonts w:hint="eastAsia" w:ascii="仿宋_GB2312" w:hAnsi="仿宋_GB2312" w:eastAsia="仿宋_GB2312"/>
          <w:sz w:val="32"/>
          <w:lang w:val="en-US"/>
        </w:rPr>
        <w:t>4辆，</w:t>
      </w:r>
      <w:r>
        <w:rPr>
          <w:rFonts w:hint="eastAsia" w:ascii="仿宋_GB2312" w:hAnsi="仿宋_GB2312" w:eastAsia="仿宋_GB2312"/>
          <w:sz w:val="32"/>
        </w:rPr>
        <w:t>比</w:t>
      </w:r>
      <w:r>
        <w:rPr>
          <w:rFonts w:hint="eastAsia" w:ascii="仿宋_GB2312" w:hAnsi="仿宋_GB2312" w:eastAsia="仿宋_GB2312"/>
          <w:sz w:val="32"/>
          <w:lang w:val="en-US"/>
        </w:rPr>
        <w:t>2018年多3辆。</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bCs/>
          <w:color w:val="000000"/>
          <w:sz w:val="32"/>
          <w:szCs w:val="32"/>
        </w:rPr>
        <w:t>1. 2019年无公务用车购置费预算。</w:t>
      </w:r>
    </w:p>
    <w:p>
      <w:pPr>
        <w:pStyle w:val="5"/>
        <w:spacing w:before="0" w:beforeAutospacing="0" w:after="0" w:afterAutospacing="0" w:line="560" w:lineRule="exact"/>
        <w:ind w:firstLine="640" w:firstLineChars="200"/>
        <w:jc w:val="both"/>
        <w:rPr>
          <w:rFonts w:ascii="仿宋_GB2312" w:hAnsi="华文仿宋" w:eastAsia="仿宋_GB2312"/>
          <w:sz w:val="32"/>
          <w:szCs w:val="32"/>
          <w:highlight w:val="cyan"/>
        </w:rPr>
      </w:pPr>
      <w:r>
        <w:rPr>
          <w:rFonts w:hint="eastAsia" w:ascii="仿宋_GB2312" w:hAnsi="华文仿宋" w:eastAsia="仿宋_GB2312"/>
          <w:bCs/>
          <w:color w:val="000000"/>
          <w:sz w:val="32"/>
          <w:szCs w:val="32"/>
        </w:rPr>
        <w:t>2.公务用车运行维护费2019年预算30万元，同比增加6万元，同比增长25%。</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五、部门收支预算情况说明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2019年部门收支总预算105093.11万元，同比增加85336.52万元，同比增长431.9%，增加的主要原因：2019年新增了全市人才集聚专项经费及对机关事业单位及企业职工基本养老保险基金的补助、对城乡居民基本医疗保险基金的补助、技工学校教育支出、公务员医疗补助等支出增加。</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六、部门收入预算情况说明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olor w:val="000000"/>
          <w:sz w:val="32"/>
          <w:szCs w:val="32"/>
        </w:rPr>
        <w:t>2019年部门收入总预算</w:t>
      </w:r>
      <w:r>
        <w:rPr>
          <w:rFonts w:hint="eastAsia" w:ascii="仿宋_GB2312" w:hAnsi="华文仿宋" w:eastAsia="仿宋_GB2312" w:cs="Times New Roman"/>
          <w:kern w:val="2"/>
          <w:sz w:val="32"/>
          <w:szCs w:val="32"/>
        </w:rPr>
        <w:t>105093.11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cs="Times New Roman"/>
          <w:kern w:val="2"/>
          <w:sz w:val="32"/>
          <w:szCs w:val="32"/>
        </w:rPr>
        <w:t>85336.52万元</w:t>
      </w:r>
      <w:r>
        <w:rPr>
          <w:rFonts w:hint="eastAsia" w:ascii="仿宋_GB2312" w:hAnsi="华文仿宋" w:eastAsia="仿宋_GB2312"/>
          <w:sz w:val="32"/>
          <w:szCs w:val="32"/>
        </w:rPr>
        <w:t>，同比增长</w:t>
      </w:r>
      <w:r>
        <w:rPr>
          <w:rFonts w:hint="eastAsia" w:ascii="仿宋_GB2312" w:hAnsi="华文仿宋" w:eastAsia="仿宋_GB2312" w:cs="Times New Roman"/>
          <w:kern w:val="2"/>
          <w:sz w:val="32"/>
          <w:szCs w:val="32"/>
        </w:rPr>
        <w:t>431.9%</w:t>
      </w:r>
      <w:r>
        <w:rPr>
          <w:rFonts w:hint="eastAsia" w:ascii="仿宋_GB2312" w:hAnsi="华文仿宋" w:eastAsia="仿宋_GB2312"/>
          <w:sz w:val="32"/>
          <w:szCs w:val="32"/>
        </w:rPr>
        <w:t>。2019年</w:t>
      </w:r>
      <w:r>
        <w:rPr>
          <w:rFonts w:hint="eastAsia" w:ascii="仿宋_GB2312" w:hAnsi="华文仿宋" w:eastAsia="仿宋_GB2312"/>
          <w:color w:val="000000"/>
          <w:sz w:val="32"/>
          <w:szCs w:val="32"/>
        </w:rPr>
        <w:t>部门</w:t>
      </w:r>
      <w:r>
        <w:rPr>
          <w:rFonts w:hint="eastAsia" w:ascii="仿宋_GB2312" w:hAnsi="华文仿宋" w:eastAsia="仿宋_GB2312"/>
          <w:sz w:val="32"/>
          <w:szCs w:val="32"/>
        </w:rPr>
        <w:t>收入预算总体增加的主要原因：</w:t>
      </w:r>
      <w:r>
        <w:rPr>
          <w:rFonts w:hint="eastAsia" w:ascii="仿宋_GB2312" w:hAnsi="华文仿宋" w:eastAsia="仿宋_GB2312" w:cs="Times New Roman"/>
          <w:kern w:val="2"/>
          <w:sz w:val="32"/>
          <w:szCs w:val="32"/>
        </w:rPr>
        <w:t>2019年新增了全市人才集聚专项经费、对机关事业单位及企业职工基本养老保险基金的补助、对城乡居民基本医疗保险基金的补助、</w:t>
      </w:r>
      <w:r>
        <w:rPr>
          <w:rFonts w:hint="eastAsia" w:ascii="仿宋_GB2312" w:hAnsi="仿宋_GB2312" w:eastAsia="仿宋_GB2312"/>
          <w:sz w:val="32"/>
        </w:rPr>
        <w:t>中职学费</w:t>
      </w:r>
      <w:r>
        <w:rPr>
          <w:rFonts w:hint="eastAsia" w:ascii="仿宋_GB2312" w:hAnsi="华文仿宋" w:eastAsia="仿宋_GB2312" w:cs="Times New Roman"/>
          <w:kern w:val="2"/>
          <w:sz w:val="32"/>
          <w:szCs w:val="32"/>
        </w:rPr>
        <w:t>等收入增加</w:t>
      </w:r>
      <w:r>
        <w:rPr>
          <w:rFonts w:hint="eastAsia" w:ascii="仿宋_GB2312" w:hAnsi="华文仿宋" w:eastAsia="仿宋_GB2312"/>
          <w:sz w:val="32"/>
          <w:szCs w:val="32"/>
        </w:rPr>
        <w:t>。</w:t>
      </w:r>
    </w:p>
    <w:p>
      <w:pPr>
        <w:spacing w:line="560" w:lineRule="exact"/>
        <w:ind w:firstLine="640" w:firstLineChars="200"/>
        <w:rPr>
          <w:rFonts w:ascii="仿宋_GB2312" w:hAnsi="华文仿宋" w:eastAsia="仿宋_GB2312" w:cs="宋体"/>
          <w:sz w:val="32"/>
          <w:szCs w:val="32"/>
        </w:rPr>
      </w:pPr>
      <w:r>
        <w:rPr>
          <w:rFonts w:hint="eastAsia" w:ascii="仿宋_GB2312" w:hAnsi="华文仿宋" w:eastAsia="仿宋_GB2312"/>
          <w:sz w:val="32"/>
          <w:szCs w:val="32"/>
        </w:rPr>
        <w:t>（一）</w:t>
      </w:r>
      <w:r>
        <w:rPr>
          <w:rFonts w:hint="eastAsia" w:ascii="仿宋_GB2312" w:hAnsi="华文仿宋" w:eastAsia="仿宋_GB2312"/>
          <w:color w:val="000000"/>
          <w:sz w:val="32"/>
          <w:szCs w:val="32"/>
        </w:rPr>
        <w:t>一般公共预算收入</w:t>
      </w:r>
      <w:r>
        <w:rPr>
          <w:rFonts w:ascii="仿宋_GB2312" w:hAnsi="华文仿宋" w:eastAsia="仿宋_GB2312"/>
          <w:color w:val="000000"/>
          <w:sz w:val="32"/>
          <w:szCs w:val="32"/>
        </w:rPr>
        <w:t>103511.81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同比增加83755.22万元，同比增长453.6%。</w:t>
      </w:r>
      <w:r>
        <w:rPr>
          <w:rFonts w:hint="eastAsia" w:ascii="仿宋_GB2312" w:hAnsi="仿宋_GB2312" w:eastAsia="仿宋_GB2312"/>
          <w:sz w:val="32"/>
        </w:rPr>
        <w:t>增加的原因为：</w:t>
      </w:r>
      <w:r>
        <w:rPr>
          <w:rFonts w:hint="eastAsia" w:ascii="仿宋_GB2312" w:hAnsi="华文仿宋" w:eastAsia="仿宋_GB2312"/>
          <w:sz w:val="32"/>
          <w:szCs w:val="32"/>
        </w:rPr>
        <w:t>2019年新增了全市人才集聚专项经费、对机关事业单位及企业职工基本养老保险基金的补助、对城乡居民基本医疗保险基金的补助等项目收入。</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420"/>
        <w:rPr>
          <w:rFonts w:ascii="仿宋_GB2312" w:hAnsi="仿宋_GB2312" w:eastAsia="仿宋_GB2312"/>
          <w:sz w:val="32"/>
        </w:rPr>
      </w:pPr>
      <w:r>
        <w:rPr>
          <w:rFonts w:hint="eastAsia" w:ascii="仿宋_GB2312" w:hAnsi="华文仿宋" w:eastAsia="仿宋_GB2312"/>
          <w:sz w:val="32"/>
          <w:szCs w:val="32"/>
        </w:rPr>
        <w:t>（二）</w:t>
      </w:r>
      <w:r>
        <w:rPr>
          <w:rFonts w:hint="eastAsia" w:ascii="仿宋_GB2312" w:hAnsi="华文仿宋" w:eastAsia="仿宋_GB2312"/>
          <w:color w:val="000000"/>
          <w:sz w:val="32"/>
          <w:szCs w:val="32"/>
        </w:rPr>
        <w:t>纳入财政专户管理的收入安排的资金预算收入1581.30万元</w:t>
      </w:r>
      <w:r>
        <w:rPr>
          <w:rFonts w:hint="eastAsia" w:ascii="仿宋_GB2312" w:hAnsi="华文仿宋" w:eastAsia="仿宋_GB2312"/>
          <w:sz w:val="32"/>
          <w:szCs w:val="32"/>
        </w:rPr>
        <w:t>，</w:t>
      </w:r>
      <w:r>
        <w:rPr>
          <w:rFonts w:ascii="仿宋_GB2312" w:hAnsi="仿宋_GB2312" w:eastAsia="仿宋_GB2312"/>
          <w:sz w:val="32"/>
        </w:rPr>
        <w:t>比上年</w:t>
      </w:r>
      <w:r>
        <w:rPr>
          <w:rFonts w:hint="eastAsia" w:ascii="仿宋_GB2312" w:hAnsi="仿宋_GB2312" w:eastAsia="仿宋_GB2312"/>
          <w:sz w:val="32"/>
        </w:rPr>
        <w:t>增加</w:t>
      </w:r>
      <w:r>
        <w:rPr>
          <w:rFonts w:hint="eastAsia" w:ascii="仿宋_GB2312" w:hAnsi="仿宋_GB2312" w:eastAsia="仿宋_GB2312"/>
          <w:sz w:val="32"/>
          <w:lang w:val="en-US"/>
        </w:rPr>
        <w:t>288.16</w:t>
      </w:r>
      <w:r>
        <w:rPr>
          <w:rFonts w:ascii="仿宋_GB2312" w:hAnsi="仿宋_GB2312" w:eastAsia="仿宋_GB2312"/>
          <w:sz w:val="32"/>
        </w:rPr>
        <w:t>万元，</w:t>
      </w:r>
      <w:r>
        <w:rPr>
          <w:rFonts w:hint="eastAsia" w:ascii="仿宋_GB2312" w:hAnsi="仿宋_GB2312" w:eastAsia="仿宋_GB2312"/>
          <w:sz w:val="32"/>
        </w:rPr>
        <w:t>增长</w:t>
      </w:r>
      <w:r>
        <w:rPr>
          <w:rFonts w:hint="eastAsia" w:ascii="仿宋_GB2312" w:hAnsi="仿宋_GB2312" w:eastAsia="仿宋_GB2312"/>
          <w:sz w:val="32"/>
          <w:lang w:val="en-US"/>
        </w:rPr>
        <w:t>22.28</w:t>
      </w:r>
      <w:r>
        <w:rPr>
          <w:rFonts w:ascii="仿宋_GB2312" w:hAnsi="仿宋_GB2312" w:eastAsia="仿宋_GB2312"/>
          <w:sz w:val="32"/>
        </w:rPr>
        <w:t>%</w:t>
      </w:r>
      <w:r>
        <w:rPr>
          <w:rFonts w:hint="eastAsia" w:ascii="仿宋_GB2312" w:hAnsi="仿宋_GB2312" w:eastAsia="仿宋_GB2312"/>
          <w:sz w:val="32"/>
        </w:rPr>
        <w:t>。增加的原因为：技工学校招生人数增加，</w:t>
      </w:r>
      <w:r>
        <w:rPr>
          <w:rFonts w:ascii="仿宋_GB2312" w:hAnsi="仿宋_GB2312" w:eastAsia="仿宋_GB2312"/>
          <w:sz w:val="32"/>
        </w:rPr>
        <w:t>教育收费收入</w:t>
      </w:r>
      <w:r>
        <w:rPr>
          <w:rFonts w:hint="eastAsia" w:ascii="仿宋_GB2312" w:hAnsi="仿宋_GB2312" w:eastAsia="仿宋_GB2312"/>
          <w:sz w:val="32"/>
        </w:rPr>
        <w:t>相应增长。</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七、部门支出预算情况说明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olor w:val="000000"/>
          <w:sz w:val="32"/>
          <w:szCs w:val="32"/>
        </w:rPr>
        <w:t>20</w:t>
      </w:r>
      <w:r>
        <w:rPr>
          <w:rFonts w:hint="eastAsia" w:ascii="仿宋_GB2312" w:hAnsi="华文仿宋" w:eastAsia="仿宋_GB2312"/>
          <w:sz w:val="32"/>
          <w:szCs w:val="32"/>
        </w:rPr>
        <w:t>19</w:t>
      </w:r>
      <w:r>
        <w:rPr>
          <w:rFonts w:hint="eastAsia" w:ascii="仿宋_GB2312" w:hAnsi="华文仿宋" w:eastAsia="仿宋_GB2312"/>
          <w:color w:val="000000"/>
          <w:sz w:val="32"/>
          <w:szCs w:val="32"/>
        </w:rPr>
        <w:t>年部门支出总预算</w:t>
      </w:r>
      <w:r>
        <w:rPr>
          <w:rFonts w:hint="eastAsia" w:ascii="仿宋_GB2312" w:hAnsi="华文仿宋" w:eastAsia="仿宋_GB2312" w:cs="Times New Roman"/>
          <w:kern w:val="2"/>
          <w:sz w:val="32"/>
          <w:szCs w:val="32"/>
        </w:rPr>
        <w:t>105093.11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cs="Times New Roman"/>
          <w:kern w:val="2"/>
          <w:sz w:val="32"/>
          <w:szCs w:val="32"/>
        </w:rPr>
        <w:t>85336.52万元</w:t>
      </w:r>
      <w:r>
        <w:rPr>
          <w:rFonts w:hint="eastAsia" w:ascii="仿宋_GB2312" w:hAnsi="华文仿宋" w:eastAsia="仿宋_GB2312"/>
          <w:sz w:val="32"/>
          <w:szCs w:val="32"/>
        </w:rPr>
        <w:t>，同比增长</w:t>
      </w:r>
      <w:r>
        <w:rPr>
          <w:rFonts w:hint="eastAsia" w:ascii="仿宋_GB2312" w:hAnsi="华文仿宋" w:eastAsia="仿宋_GB2312" w:cs="Times New Roman"/>
          <w:kern w:val="2"/>
          <w:sz w:val="32"/>
          <w:szCs w:val="32"/>
        </w:rPr>
        <w:t>431.9%</w:t>
      </w:r>
      <w:r>
        <w:rPr>
          <w:rFonts w:hint="eastAsia" w:ascii="仿宋_GB2312" w:hAnsi="华文仿宋" w:eastAsia="仿宋_GB2312"/>
          <w:sz w:val="32"/>
          <w:szCs w:val="32"/>
        </w:rPr>
        <w:t>，增加的主要原因：</w:t>
      </w:r>
      <w:r>
        <w:rPr>
          <w:rFonts w:hint="eastAsia" w:ascii="仿宋_GB2312" w:hAnsi="华文仿宋" w:eastAsia="仿宋_GB2312" w:cs="Times New Roman"/>
          <w:kern w:val="2"/>
          <w:sz w:val="32"/>
          <w:szCs w:val="32"/>
        </w:rPr>
        <w:t>2019年新增了全市人才集聚专项经费及对机关事业单位及企业职工基本养老保险基金的补助、对城乡居民基本医疗保险基金的补助、技工学校教育支出、公务员医疗补助等支出增加</w:t>
      </w:r>
      <w:r>
        <w:rPr>
          <w:rFonts w:hint="eastAsia" w:ascii="仿宋_GB2312" w:hAnsi="华文仿宋" w:eastAsia="仿宋_GB2312"/>
          <w:sz w:val="32"/>
          <w:szCs w:val="32"/>
        </w:rPr>
        <w:t>。</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（一）按支出功能分类科目划分</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1.201类一般公共服务支出16498.10万元；占支出总预算15.7%，</w:t>
      </w:r>
      <w:r>
        <w:rPr>
          <w:rFonts w:hint="eastAsia" w:ascii="仿宋_GB2312" w:hAnsi="华文仿宋" w:eastAsia="仿宋_GB2312"/>
          <w:color w:val="000000"/>
          <w:sz w:val="32"/>
          <w:szCs w:val="32"/>
        </w:rPr>
        <w:t>4518.35</w:t>
      </w:r>
      <w:r>
        <w:rPr>
          <w:rFonts w:hint="eastAsia" w:ascii="仿宋_GB2312" w:hAnsi="华文仿宋" w:eastAsia="仿宋_GB2312" w:cs="Times New Roman"/>
          <w:kern w:val="2"/>
          <w:sz w:val="32"/>
          <w:szCs w:val="32"/>
        </w:rPr>
        <w:t>同比增加11979.75万元，同比增长265.1%。主要用于全市人才集聚专项经费、</w:t>
      </w:r>
      <w:r>
        <w:rPr>
          <w:rFonts w:hint="eastAsia" w:ascii="仿宋_GB2312" w:hAnsi="仿宋_GB2312" w:eastAsia="仿宋_GB2312" w:cs="仿宋_GB2312"/>
          <w:bCs/>
          <w:sz w:val="32"/>
          <w:szCs w:val="32"/>
        </w:rPr>
        <w:t>河东新办公大楼物业费、水电费等支出、</w:t>
      </w:r>
      <w:r>
        <w:rPr>
          <w:rFonts w:hint="eastAsia" w:ascii="仿宋_GB2312" w:hAnsi="华文仿宋" w:eastAsia="仿宋_GB2312" w:cs="Times New Roman"/>
          <w:kern w:val="2"/>
          <w:sz w:val="32"/>
          <w:szCs w:val="32"/>
        </w:rPr>
        <w:t>出国（境）培训五年计划专项资金、</w:t>
      </w:r>
      <w:r>
        <w:rPr>
          <w:rFonts w:hint="eastAsia" w:ascii="仿宋_GB2312" w:hAnsi="华文仿宋" w:eastAsia="仿宋_GB2312" w:cs="Times New Roman"/>
          <w:bCs/>
          <w:kern w:val="2"/>
          <w:sz w:val="32"/>
          <w:szCs w:val="32"/>
        </w:rPr>
        <w:t>机关事业单位公招考试报名及随军未就业家属面试专项经费、</w:t>
      </w:r>
      <w:r>
        <w:rPr>
          <w:rFonts w:hint="eastAsia" w:ascii="仿宋_GB2312" w:hAnsi="仿宋_GB2312" w:eastAsia="仿宋_GB2312" w:cs="仿宋_GB2312"/>
          <w:bCs/>
          <w:sz w:val="32"/>
          <w:szCs w:val="32"/>
        </w:rPr>
        <w:t>人力资源综合业务培训专项经费等</w:t>
      </w:r>
      <w:r>
        <w:rPr>
          <w:rFonts w:hint="eastAsia" w:ascii="仿宋_GB2312" w:hAnsi="华文仿宋" w:eastAsia="仿宋_GB2312" w:cs="Times New Roman"/>
          <w:kern w:val="2"/>
          <w:sz w:val="32"/>
          <w:szCs w:val="32"/>
        </w:rPr>
        <w:t>。</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s="Times New Roman"/>
          <w:kern w:val="2"/>
          <w:sz w:val="32"/>
          <w:szCs w:val="32"/>
        </w:rPr>
        <w:t>2.205类教育支出2780.43万元，占支出总预算2.6%，同比增加491.14万元，同比增长21.5%。主要用于市技工学校非实名编人员及后勤人员经费、聘用人员经费及技工学校日常运行等方面的支出。</w:t>
      </w:r>
    </w:p>
    <w:p>
      <w:pPr>
        <w:pStyle w:val="5"/>
        <w:spacing w:before="0" w:beforeAutospacing="0" w:after="0" w:afterAutospacing="0" w:line="560" w:lineRule="exact"/>
        <w:ind w:firstLine="640" w:firstLineChars="200"/>
        <w:rPr>
          <w:rFonts w:ascii="仿宋_GB2312" w:hAnsi="华文仿宋" w:eastAsia="仿宋_GB2312"/>
          <w:sz w:val="32"/>
          <w:szCs w:val="32"/>
        </w:rPr>
      </w:pPr>
      <w:r>
        <w:rPr>
          <w:rFonts w:hint="eastAsia" w:ascii="仿宋_GB2312" w:hAnsi="华文仿宋" w:eastAsia="仿宋_GB2312" w:cs="Times New Roman"/>
          <w:kern w:val="2"/>
          <w:sz w:val="32"/>
          <w:szCs w:val="32"/>
        </w:rPr>
        <w:t>3.208类社会保障和就业支出</w:t>
      </w:r>
      <w:r>
        <w:rPr>
          <w:rFonts w:ascii="仿宋_GB2312" w:hAnsi="华文仿宋" w:eastAsia="仿宋_GB2312" w:cs="Times New Roman"/>
          <w:kern w:val="2"/>
          <w:sz w:val="32"/>
          <w:szCs w:val="32"/>
        </w:rPr>
        <w:t>82740.</w:t>
      </w:r>
      <w:r>
        <w:rPr>
          <w:rFonts w:hint="eastAsia" w:ascii="仿宋_GB2312" w:hAnsi="华文仿宋" w:eastAsia="仿宋_GB2312" w:cs="Times New Roman"/>
          <w:kern w:val="2"/>
          <w:sz w:val="32"/>
          <w:szCs w:val="32"/>
        </w:rPr>
        <w:t>10万元，占支出总预算78.7%，同比增加70953.23万元，同比增长602%。主要用于</w:t>
      </w:r>
      <w:r>
        <w:rPr>
          <w:rFonts w:hint="eastAsia" w:ascii="仿宋_GB2312" w:eastAsia="仿宋_GB2312"/>
          <w:sz w:val="32"/>
          <w:szCs w:val="32"/>
        </w:rPr>
        <w:t>对机关事业单位基本养老保险基金的补助、</w:t>
      </w:r>
      <w:r>
        <w:rPr>
          <w:rFonts w:hint="eastAsia" w:ascii="仿宋_GB2312" w:hAnsi="仿宋_GB2312" w:eastAsia="仿宋_GB2312" w:cs="仿宋_GB2312"/>
          <w:bCs/>
          <w:sz w:val="32"/>
          <w:szCs w:val="32"/>
        </w:rPr>
        <w:t>促进就业发展专项资金、特困企业离休医疗费、聘用人员经费、机关事业单位基本养老保险缴费支出、公益性岗位补贴、离退休费、</w:t>
      </w:r>
      <w:r>
        <w:rPr>
          <w:rFonts w:hint="eastAsia" w:ascii="仿宋_GB2312" w:hAnsi="仿宋" w:eastAsia="仿宋_GB2312" w:cs="仿宋_GB2312"/>
          <w:sz w:val="32"/>
          <w:szCs w:val="32"/>
        </w:rPr>
        <w:t>各项考试组织管理经费、</w:t>
      </w:r>
      <w:r>
        <w:rPr>
          <w:rFonts w:hint="eastAsia" w:ascii="仿宋_GB2312" w:hAnsi="仿宋_GB2312" w:eastAsia="仿宋_GB2312" w:cs="仿宋_GB2312"/>
          <w:sz w:val="32"/>
          <w:szCs w:val="32"/>
        </w:rPr>
        <w:t>劳动保障监察工作经费、</w:t>
      </w:r>
      <w:r>
        <w:rPr>
          <w:rFonts w:hint="eastAsia" w:ascii="仿宋_GB2312" w:hAnsi="仿宋_GB2312" w:eastAsia="仿宋_GB2312" w:cs="仿宋_GB2312"/>
          <w:bCs/>
          <w:sz w:val="32"/>
          <w:szCs w:val="32"/>
        </w:rPr>
        <w:t>四套离休医疗费、</w:t>
      </w:r>
      <w:r>
        <w:rPr>
          <w:rFonts w:hint="eastAsia" w:ascii="仿宋_GB2312" w:hAnsi="仿宋_GB2312" w:eastAsia="仿宋_GB2312"/>
          <w:color w:val="000000"/>
          <w:sz w:val="32"/>
          <w:szCs w:val="32"/>
        </w:rPr>
        <w:t>社会保险管理工作经费等</w:t>
      </w:r>
      <w:r>
        <w:rPr>
          <w:rFonts w:hint="eastAsia" w:ascii="仿宋_GB2312" w:hAnsi="华文仿宋" w:eastAsia="仿宋_GB2312"/>
          <w:sz w:val="32"/>
          <w:szCs w:val="32"/>
        </w:rPr>
        <w:t>。</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4.</w:t>
      </w:r>
      <w:r>
        <w:rPr>
          <w:rFonts w:hint="eastAsia"/>
        </w:rPr>
        <w:t xml:space="preserve"> </w:t>
      </w:r>
      <w:r>
        <w:rPr>
          <w:rFonts w:hint="eastAsia" w:ascii="仿宋_GB2312" w:hAnsi="华文仿宋" w:eastAsia="仿宋_GB2312" w:cs="Times New Roman"/>
          <w:kern w:val="2"/>
          <w:sz w:val="32"/>
          <w:szCs w:val="32"/>
        </w:rPr>
        <w:t>210类卫生健康支出</w:t>
      </w:r>
      <w:r>
        <w:rPr>
          <w:rFonts w:ascii="仿宋_GB2312" w:hAnsi="华文仿宋" w:eastAsia="仿宋_GB2312" w:cs="Times New Roman"/>
          <w:kern w:val="2"/>
          <w:sz w:val="32"/>
          <w:szCs w:val="32"/>
        </w:rPr>
        <w:t>2516.5</w:t>
      </w:r>
      <w:r>
        <w:rPr>
          <w:rFonts w:hint="eastAsia" w:ascii="仿宋_GB2312" w:hAnsi="华文仿宋" w:eastAsia="仿宋_GB2312" w:cs="Times New Roman"/>
          <w:kern w:val="2"/>
          <w:sz w:val="32"/>
          <w:szCs w:val="32"/>
        </w:rPr>
        <w:t>9万元，占支出总预算2.4%，同比增加2183.88万元，同比增长656.4%。主要用于对城乡居民基本医疗保险基金的补助、公务员医疗补助、行政单位医疗等。</w:t>
      </w:r>
    </w:p>
    <w:p>
      <w:pPr>
        <w:pStyle w:val="5"/>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5.</w:t>
      </w:r>
      <w:r>
        <w:rPr>
          <w:rFonts w:hint="eastAsia"/>
        </w:rPr>
        <w:t xml:space="preserve"> </w:t>
      </w:r>
      <w:r>
        <w:rPr>
          <w:rFonts w:hint="eastAsia" w:ascii="仿宋_GB2312" w:hAnsi="华文仿宋" w:eastAsia="仿宋_GB2312" w:cs="Times New Roman"/>
          <w:kern w:val="2"/>
          <w:sz w:val="32"/>
          <w:szCs w:val="32"/>
        </w:rPr>
        <w:t>221类住房保障支出557.90</w:t>
      </w:r>
      <w:r>
        <w:rPr>
          <w:rFonts w:hint="eastAsia" w:ascii="仿宋_GB2312" w:hAnsi="华文仿宋" w:eastAsia="仿宋_GB2312"/>
          <w:sz w:val="32"/>
          <w:szCs w:val="32"/>
        </w:rPr>
        <w:t>万元，占</w:t>
      </w:r>
      <w:r>
        <w:rPr>
          <w:rFonts w:hint="eastAsia" w:ascii="仿宋_GB2312" w:hAnsi="华文仿宋" w:eastAsia="仿宋_GB2312" w:cs="Times New Roman"/>
          <w:kern w:val="2"/>
          <w:sz w:val="32"/>
          <w:szCs w:val="32"/>
        </w:rPr>
        <w:t>支出总</w:t>
      </w:r>
      <w:r>
        <w:rPr>
          <w:rFonts w:hint="eastAsia" w:ascii="仿宋_GB2312" w:hAnsi="华文仿宋" w:eastAsia="仿宋_GB2312"/>
          <w:sz w:val="32"/>
          <w:szCs w:val="32"/>
        </w:rPr>
        <w:t>预算0.5%，</w:t>
      </w:r>
      <w:r>
        <w:rPr>
          <w:rFonts w:hint="eastAsia" w:ascii="仿宋_GB2312" w:hAnsi="华文仿宋" w:eastAsia="仿宋_GB2312" w:cs="Times New Roman"/>
          <w:kern w:val="2"/>
          <w:sz w:val="32"/>
          <w:szCs w:val="32"/>
        </w:rPr>
        <w:t>同比增加25.63万元，同比增长4.8%。主要用于住房公积金支出。</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（二）按支出结构划分</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1.基本支出</w:t>
      </w:r>
      <w:r>
        <w:rPr>
          <w:rFonts w:ascii="仿宋_GB2312" w:hAnsi="华文仿宋" w:eastAsia="仿宋_GB2312" w:cs="Times New Roman"/>
          <w:kern w:val="2"/>
          <w:sz w:val="32"/>
          <w:szCs w:val="32"/>
        </w:rPr>
        <w:t>7919.22</w:t>
      </w:r>
      <w:r>
        <w:rPr>
          <w:rFonts w:hint="eastAsia" w:ascii="仿宋_GB2312" w:hAnsi="华文仿宋" w:eastAsia="仿宋_GB2312" w:cs="Times New Roman"/>
          <w:kern w:val="2"/>
          <w:sz w:val="32"/>
          <w:szCs w:val="32"/>
        </w:rPr>
        <w:t>万元；占支出总预算7.5%，</w:t>
      </w:r>
      <w:r>
        <w:rPr>
          <w:rFonts w:ascii="仿宋_GB2312" w:hAnsi="仿宋_GB2312" w:eastAsia="仿宋_GB2312"/>
          <w:sz w:val="32"/>
        </w:rPr>
        <w:t>同比增加</w:t>
      </w:r>
      <w:r>
        <w:rPr>
          <w:rFonts w:hint="eastAsia" w:ascii="仿宋_GB2312" w:hAnsi="仿宋_GB2312" w:eastAsia="仿宋_GB2312"/>
          <w:sz w:val="32"/>
        </w:rPr>
        <w:t>1906.99</w:t>
      </w:r>
      <w:r>
        <w:rPr>
          <w:rFonts w:ascii="仿宋_GB2312" w:hAnsi="仿宋_GB2312" w:eastAsia="仿宋_GB2312"/>
          <w:sz w:val="32"/>
        </w:rPr>
        <w:t>万元，</w:t>
      </w:r>
      <w:r>
        <w:rPr>
          <w:rFonts w:hint="eastAsia" w:ascii="仿宋_GB2312" w:hAnsi="仿宋_GB2312" w:eastAsia="仿宋_GB2312"/>
          <w:sz w:val="32"/>
        </w:rPr>
        <w:t>同比</w:t>
      </w:r>
      <w:r>
        <w:rPr>
          <w:rFonts w:ascii="仿宋_GB2312" w:hAnsi="仿宋_GB2312" w:eastAsia="仿宋_GB2312"/>
          <w:sz w:val="32"/>
        </w:rPr>
        <w:t>增长</w:t>
      </w:r>
      <w:r>
        <w:rPr>
          <w:rFonts w:hint="eastAsia" w:ascii="仿宋_GB2312" w:hAnsi="仿宋_GB2312" w:eastAsia="仿宋_GB2312"/>
          <w:sz w:val="32"/>
        </w:rPr>
        <w:t>31.7</w:t>
      </w:r>
      <w:r>
        <w:rPr>
          <w:rFonts w:ascii="仿宋_GB2312" w:hAnsi="仿宋_GB2312" w:eastAsia="仿宋_GB2312"/>
          <w:sz w:val="32"/>
        </w:rPr>
        <w:t xml:space="preserve"> %</w:t>
      </w:r>
      <w:r>
        <w:rPr>
          <w:rFonts w:hint="eastAsia" w:ascii="仿宋_GB2312" w:hAnsi="仿宋_GB2312" w:eastAsia="仿宋_GB2312"/>
          <w:sz w:val="32"/>
        </w:rPr>
        <w:t>。</w:t>
      </w:r>
      <w:r>
        <w:rPr>
          <w:rFonts w:hint="eastAsia" w:ascii="仿宋_GB2312" w:hAnsi="华文仿宋" w:eastAsia="仿宋_GB2312" w:cs="Times New Roman"/>
          <w:kern w:val="2"/>
          <w:sz w:val="32"/>
          <w:szCs w:val="32"/>
        </w:rPr>
        <w:t>主要用于人员经费、公用经费、离退休费。</w:t>
      </w:r>
    </w:p>
    <w:p>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bCs/>
          <w:sz w:val="32"/>
          <w:szCs w:val="32"/>
          <w:lang w:val="en-US"/>
        </w:rPr>
      </w:pPr>
      <w:r>
        <w:rPr>
          <w:rFonts w:hint="eastAsia" w:ascii="仿宋_GB2312" w:hAnsi="华文仿宋" w:eastAsia="仿宋_GB2312"/>
          <w:sz w:val="32"/>
          <w:szCs w:val="32"/>
        </w:rPr>
        <w:t>2.项目支出97173.89万元；</w:t>
      </w:r>
      <w:r>
        <w:rPr>
          <w:rFonts w:ascii="仿宋_GB2312" w:hAnsi="仿宋_GB2312" w:eastAsia="仿宋_GB2312"/>
          <w:sz w:val="32"/>
        </w:rPr>
        <w:t>占本年支出预算合计</w:t>
      </w:r>
      <w:r>
        <w:rPr>
          <w:rFonts w:hint="eastAsia" w:ascii="仿宋_GB2312" w:hAnsi="仿宋_GB2312" w:eastAsia="仿宋_GB2312"/>
          <w:sz w:val="32"/>
          <w:lang w:val="en-US"/>
        </w:rPr>
        <w:t>92.</w:t>
      </w:r>
      <w:r>
        <w:rPr>
          <w:rFonts w:hint="eastAsia" w:ascii="仿宋_GB2312" w:hAnsi="仿宋_GB2312" w:eastAsia="仿宋_GB2312"/>
          <w:sz w:val="32"/>
        </w:rPr>
        <w:t>5</w:t>
      </w:r>
      <w:r>
        <w:rPr>
          <w:rFonts w:ascii="仿宋_GB2312" w:hAnsi="仿宋_GB2312" w:eastAsia="仿宋_GB2312"/>
          <w:sz w:val="32"/>
        </w:rPr>
        <w:t>%，同比增加</w:t>
      </w:r>
      <w:r>
        <w:rPr>
          <w:rFonts w:hint="eastAsia" w:ascii="仿宋_GB2312" w:hAnsi="仿宋_GB2312" w:eastAsia="仿宋_GB2312"/>
          <w:sz w:val="32"/>
          <w:lang w:val="en-US"/>
        </w:rPr>
        <w:t>86429.53</w:t>
      </w:r>
      <w:r>
        <w:rPr>
          <w:rFonts w:ascii="仿宋_GB2312" w:hAnsi="仿宋_GB2312" w:eastAsia="仿宋_GB2312"/>
          <w:sz w:val="32"/>
        </w:rPr>
        <w:t>万元，增长</w:t>
      </w:r>
      <w:r>
        <w:rPr>
          <w:rFonts w:hint="eastAsia" w:ascii="仿宋_GB2312" w:hAnsi="仿宋_GB2312" w:eastAsia="仿宋_GB2312"/>
          <w:sz w:val="32"/>
        </w:rPr>
        <w:t>628.8</w:t>
      </w:r>
      <w:r>
        <w:rPr>
          <w:rFonts w:ascii="仿宋_GB2312" w:hAnsi="仿宋_GB2312" w:eastAsia="仿宋_GB2312"/>
          <w:sz w:val="32"/>
        </w:rPr>
        <w:t xml:space="preserve"> %。</w:t>
      </w:r>
      <w:r>
        <w:rPr>
          <w:rFonts w:hint="eastAsia" w:ascii="仿宋_GB2312" w:hAnsi="华文仿宋" w:eastAsia="仿宋_GB2312"/>
          <w:sz w:val="32"/>
          <w:szCs w:val="32"/>
        </w:rPr>
        <w:t>主要用于</w:t>
      </w:r>
      <w:r>
        <w:rPr>
          <w:rFonts w:hint="eastAsia" w:ascii="仿宋_GB2312" w:eastAsia="仿宋_GB2312"/>
          <w:sz w:val="32"/>
          <w:szCs w:val="32"/>
        </w:rPr>
        <w:t>对机关事业单位及企业职工基本养老保险基金的补助、</w:t>
      </w:r>
      <w:r>
        <w:rPr>
          <w:rFonts w:hint="eastAsia" w:ascii="仿宋_GB2312" w:hAnsi="仿宋_GB2312" w:eastAsia="仿宋_GB2312" w:cs="仿宋_GB2312"/>
          <w:bCs/>
          <w:sz w:val="32"/>
          <w:szCs w:val="32"/>
          <w:lang w:val="en-US"/>
        </w:rPr>
        <w:t>人才集聚专项经费、促进就业发展专项资金、</w:t>
      </w:r>
      <w:r>
        <w:rPr>
          <w:rFonts w:hint="eastAsia" w:ascii="仿宋_GB2312" w:hAnsi="宋体" w:eastAsia="仿宋_GB2312"/>
          <w:bCs/>
          <w:sz w:val="32"/>
          <w:szCs w:val="32"/>
          <w:lang w:val="en-US"/>
        </w:rPr>
        <w:t>技工学校教育支出、</w:t>
      </w:r>
      <w:r>
        <w:rPr>
          <w:rFonts w:hint="eastAsia" w:ascii="仿宋_GB2312" w:hAnsi="仿宋_GB2312" w:eastAsia="仿宋_GB2312" w:cs="仿宋_GB2312"/>
          <w:bCs/>
          <w:sz w:val="32"/>
          <w:szCs w:val="32"/>
        </w:rPr>
        <w:t>特困企业离休医疗费</w:t>
      </w:r>
      <w:r>
        <w:rPr>
          <w:rFonts w:hint="eastAsia" w:ascii="仿宋_GB2312" w:hAnsi="仿宋_GB2312" w:eastAsia="仿宋_GB2312" w:cs="仿宋_GB2312"/>
          <w:bCs/>
          <w:sz w:val="32"/>
          <w:szCs w:val="32"/>
          <w:lang w:val="en-US"/>
        </w:rPr>
        <w:t>、公益性岗位补贴</w:t>
      </w:r>
      <w:r>
        <w:rPr>
          <w:rFonts w:hint="eastAsia" w:ascii="仿宋_GB2312" w:hAnsi="仿宋_GB2312" w:eastAsia="仿宋_GB2312" w:cs="仿宋_GB2312"/>
          <w:bCs/>
          <w:sz w:val="32"/>
          <w:szCs w:val="32"/>
        </w:rPr>
        <w:t>、河东新办公大楼物业费及水电费等支出、出国（境）培训五年计划专项资金</w:t>
      </w:r>
      <w:r>
        <w:rPr>
          <w:rFonts w:hint="eastAsia" w:ascii="仿宋_GB2312" w:hAnsi="仿宋_GB2312" w:eastAsia="仿宋_GB2312" w:cs="仿宋_GB2312"/>
          <w:bCs/>
          <w:sz w:val="32"/>
          <w:szCs w:val="32"/>
          <w:lang w:val="en-US"/>
        </w:rPr>
        <w:t>、</w:t>
      </w:r>
      <w:r>
        <w:rPr>
          <w:rFonts w:hint="eastAsia" w:ascii="仿宋_GB2312" w:hAnsi="仿宋" w:eastAsia="仿宋_GB2312" w:cs="仿宋_GB2312"/>
          <w:sz w:val="32"/>
          <w:szCs w:val="32"/>
        </w:rPr>
        <w:t>各项考试组织管理经费、</w:t>
      </w:r>
      <w:r>
        <w:rPr>
          <w:rFonts w:hint="eastAsia" w:ascii="仿宋_GB2312" w:hAnsi="仿宋_GB2312" w:eastAsia="仿宋_GB2312"/>
          <w:color w:val="000000"/>
          <w:sz w:val="32"/>
          <w:szCs w:val="32"/>
        </w:rPr>
        <w:t>社会保险管理工作经费、</w:t>
      </w:r>
      <w:r>
        <w:rPr>
          <w:rFonts w:hint="eastAsia" w:ascii="仿宋_GB2312" w:hAnsi="仿宋_GB2312" w:eastAsia="仿宋_GB2312" w:cs="仿宋_GB2312"/>
          <w:bCs/>
          <w:sz w:val="32"/>
          <w:szCs w:val="32"/>
        </w:rPr>
        <w:t>四套离休医疗费</w:t>
      </w:r>
      <w:r>
        <w:rPr>
          <w:rFonts w:hint="eastAsia" w:ascii="仿宋_GB2312" w:hAnsi="仿宋_GB2312" w:eastAsia="仿宋_GB2312" w:cs="仿宋_GB2312"/>
          <w:bCs/>
          <w:sz w:val="32"/>
          <w:szCs w:val="32"/>
          <w:lang w:val="en-US"/>
        </w:rPr>
        <w:t>、</w:t>
      </w:r>
      <w:r>
        <w:rPr>
          <w:rFonts w:hint="eastAsia" w:ascii="仿宋_GB2312" w:hAnsi="仿宋_GB2312" w:eastAsia="仿宋_GB2312"/>
          <w:bCs/>
          <w:sz w:val="32"/>
          <w:szCs w:val="32"/>
          <w:lang w:val="en-US"/>
        </w:rPr>
        <w:t>机关事业单位公招考试报名及随军未就业家属面试专项经费、</w:t>
      </w:r>
      <w:r>
        <w:rPr>
          <w:rFonts w:hint="eastAsia" w:ascii="仿宋_GB2312" w:hAnsi="仿宋_GB2312" w:eastAsia="仿宋_GB2312" w:cs="仿宋_GB2312"/>
          <w:bCs/>
          <w:sz w:val="32"/>
          <w:szCs w:val="32"/>
          <w:lang w:val="en-US"/>
        </w:rPr>
        <w:t>人力资源及社保综合业务培训专项经费等。</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八、政府性基金预算情况说明</w:t>
      </w:r>
    </w:p>
    <w:p>
      <w:pPr>
        <w:pStyle w:val="5"/>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本部门无</w:t>
      </w:r>
      <w:r>
        <w:rPr>
          <w:rFonts w:hint="eastAsia" w:ascii="仿宋_GB2312" w:hAnsi="华文仿宋" w:eastAsia="仿宋_GB2312"/>
          <w:bCs/>
          <w:color w:val="000000"/>
          <w:sz w:val="32"/>
          <w:szCs w:val="32"/>
        </w:rPr>
        <w:t>政府性基金预算</w:t>
      </w:r>
      <w:r>
        <w:rPr>
          <w:rFonts w:hint="eastAsia" w:ascii="仿宋_GB2312" w:hAnsi="华文仿宋" w:eastAsia="仿宋_GB2312" w:cs="Times New Roman"/>
          <w:kern w:val="2"/>
          <w:sz w:val="32"/>
          <w:szCs w:val="32"/>
        </w:rPr>
        <w:t>。</w:t>
      </w:r>
    </w:p>
    <w:p>
      <w:pPr>
        <w:tabs>
          <w:tab w:val="center" w:pos="4475"/>
        </w:tabs>
        <w:spacing w:line="56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九、国有资本经营预算情况说明</w:t>
      </w:r>
    </w:p>
    <w:p>
      <w:pPr>
        <w:pStyle w:val="5"/>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本部门无</w:t>
      </w:r>
      <w:r>
        <w:rPr>
          <w:rFonts w:hint="eastAsia" w:ascii="仿宋_GB2312" w:hAnsi="华文仿宋" w:eastAsia="仿宋_GB2312"/>
          <w:bCs/>
          <w:color w:val="000000"/>
          <w:sz w:val="32"/>
          <w:szCs w:val="32"/>
        </w:rPr>
        <w:t>国有资本经营预算。</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十、政府采购预算情况说明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2019年政府采购预算</w:t>
      </w:r>
      <w:r>
        <w:rPr>
          <w:rFonts w:ascii="仿宋_GB2312" w:hAnsi="华文仿宋" w:eastAsia="仿宋_GB2312" w:cs="宋体"/>
          <w:bCs/>
          <w:color w:val="000000"/>
          <w:kern w:val="0"/>
          <w:sz w:val="32"/>
          <w:szCs w:val="32"/>
        </w:rPr>
        <w:t>2695.37</w:t>
      </w:r>
      <w:r>
        <w:rPr>
          <w:rFonts w:hint="eastAsia" w:ascii="仿宋_GB2312" w:hAnsi="华文仿宋" w:eastAsia="仿宋_GB2312" w:cs="宋体"/>
          <w:bCs/>
          <w:color w:val="000000"/>
          <w:kern w:val="0"/>
          <w:sz w:val="32"/>
          <w:szCs w:val="32"/>
        </w:rPr>
        <w:t>万元，同比增加</w:t>
      </w:r>
      <w:r>
        <w:rPr>
          <w:rFonts w:hint="eastAsia" w:ascii="仿宋_GB2312" w:hAnsi="仿宋_GB2312" w:eastAsia="仿宋_GB2312"/>
          <w:sz w:val="32"/>
        </w:rPr>
        <w:t>334.55</w:t>
      </w:r>
      <w:r>
        <w:rPr>
          <w:rFonts w:ascii="仿宋_GB2312" w:hAnsi="仿宋_GB2312" w:eastAsia="仿宋_GB2312"/>
          <w:sz w:val="32"/>
        </w:rPr>
        <w:t>万元，增长</w:t>
      </w:r>
      <w:r>
        <w:rPr>
          <w:rFonts w:hint="eastAsia" w:ascii="仿宋_GB2312" w:hAnsi="仿宋_GB2312" w:eastAsia="仿宋_GB2312"/>
          <w:sz w:val="32"/>
        </w:rPr>
        <w:t>14.2</w:t>
      </w:r>
      <w:r>
        <w:rPr>
          <w:rFonts w:ascii="仿宋_GB2312" w:hAnsi="仿宋_GB2312" w:eastAsia="仿宋_GB2312"/>
          <w:sz w:val="32"/>
        </w:rPr>
        <w:t>%</w:t>
      </w:r>
      <w:r>
        <w:rPr>
          <w:rFonts w:hint="eastAsia" w:ascii="仿宋_GB2312" w:hAnsi="华文仿宋" w:eastAsia="仿宋_GB2312" w:cs="宋体"/>
          <w:bCs/>
          <w:color w:val="000000"/>
          <w:kern w:val="0"/>
          <w:sz w:val="32"/>
          <w:szCs w:val="32"/>
        </w:rPr>
        <w:t>，增加的原因为：新增了柳州市金保工程信息系统硬件资源运用系统维护及网络服务费。按政府采购项目类型划分：</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（一）集中采购</w:t>
      </w:r>
      <w:r>
        <w:rPr>
          <w:rFonts w:ascii="仿宋_GB2312" w:hAnsi="华文仿宋" w:eastAsia="仿宋_GB2312" w:cs="宋体"/>
          <w:bCs/>
          <w:color w:val="000000"/>
          <w:kern w:val="0"/>
          <w:sz w:val="32"/>
          <w:szCs w:val="32"/>
        </w:rPr>
        <w:t>2688.47</w:t>
      </w:r>
      <w:r>
        <w:rPr>
          <w:rFonts w:hint="eastAsia" w:ascii="仿宋_GB2312" w:hAnsi="华文仿宋" w:eastAsia="仿宋_GB2312" w:cs="宋体"/>
          <w:bCs/>
          <w:color w:val="000000"/>
          <w:kern w:val="0"/>
          <w:sz w:val="32"/>
          <w:szCs w:val="32"/>
        </w:rPr>
        <w:t>万元（其中：货物类采购346.12万元，服务类采购2342.35万元），占政府采购预算的99.7%，同比增加499.71万元，增长22.8%。</w:t>
      </w:r>
    </w:p>
    <w:p>
      <w:pPr>
        <w:spacing w:line="56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cs="宋体"/>
          <w:bCs/>
          <w:color w:val="000000"/>
          <w:kern w:val="0"/>
          <w:sz w:val="32"/>
          <w:szCs w:val="32"/>
        </w:rPr>
        <w:t>（二）分散采购6.9万元（其中：货物类采购6.9万元，），占政府采购预算的0.3%，同比减少165.16万元，下降96%。</w:t>
      </w:r>
    </w:p>
    <w:p>
      <w:pPr>
        <w:tabs>
          <w:tab w:val="center" w:pos="4475"/>
        </w:tabs>
        <w:spacing w:line="560" w:lineRule="exact"/>
        <w:ind w:firstLine="645"/>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十一、政府购买服务预算情况说明</w:t>
      </w:r>
    </w:p>
    <w:p>
      <w:pPr>
        <w:spacing w:line="560" w:lineRule="exact"/>
        <w:ind w:firstLine="640" w:firstLineChars="200"/>
        <w:rPr>
          <w:rFonts w:ascii="仿宋_GB2312" w:hAnsi="华文仿宋" w:eastAsia="仿宋_GB2312" w:cs="宋体"/>
          <w:bCs/>
          <w:kern w:val="0"/>
          <w:sz w:val="32"/>
          <w:szCs w:val="32"/>
        </w:rPr>
      </w:pPr>
      <w:r>
        <w:rPr>
          <w:rFonts w:hint="eastAsia" w:ascii="仿宋_GB2312" w:hAnsi="华文仿宋" w:eastAsia="仿宋_GB2312" w:cs="宋体"/>
          <w:bCs/>
          <w:kern w:val="0"/>
          <w:sz w:val="32"/>
          <w:szCs w:val="32"/>
        </w:rPr>
        <w:t>2019年纳入政府购买服务预算管理的项目有13个，涉及金额665.92万元。</w:t>
      </w:r>
    </w:p>
    <w:p>
      <w:pPr>
        <w:pStyle w:val="5"/>
        <w:spacing w:before="0" w:beforeAutospacing="0" w:after="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十二、其他重要事项情况说明</w:t>
      </w:r>
    </w:p>
    <w:p>
      <w:pPr>
        <w:tabs>
          <w:tab w:val="center" w:pos="4475"/>
        </w:tabs>
        <w:spacing w:line="560" w:lineRule="exact"/>
        <w:ind w:firstLine="645"/>
        <w:rPr>
          <w:rFonts w:ascii="仿宋_GB2312" w:hAnsi="华文仿宋" w:eastAsia="仿宋_GB2312"/>
          <w:sz w:val="32"/>
          <w:szCs w:val="32"/>
          <w:highlight w:val="cyan"/>
        </w:rPr>
      </w:pPr>
      <w:r>
        <w:rPr>
          <w:rFonts w:hint="eastAsia" w:ascii="楷体_GB2312" w:hAnsi="华文仿宋" w:eastAsia="楷体_GB2312"/>
          <w:b/>
          <w:color w:val="000000"/>
          <w:sz w:val="32"/>
          <w:szCs w:val="32"/>
        </w:rPr>
        <w:t>（一）机关运行经费安排情况说明</w:t>
      </w:r>
    </w:p>
    <w:p>
      <w:pPr>
        <w:spacing w:line="560" w:lineRule="exact"/>
        <w:ind w:firstLine="640" w:firstLineChars="200"/>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2019年本级及下属单位共有1个行政机关和7个参照公务员法管理的事业单位，机关运行经费财政拨款预算1116.22万元，</w:t>
      </w:r>
      <w:r>
        <w:rPr>
          <w:rFonts w:hint="eastAsia" w:ascii="仿宋_GB2312" w:hAnsi="华文仿宋" w:eastAsia="仿宋_GB2312" w:cs="宋体"/>
          <w:bCs/>
          <w:kern w:val="0"/>
          <w:sz w:val="32"/>
          <w:szCs w:val="32"/>
        </w:rPr>
        <w:t>同比增加42.7万元，同比增长4%，增加的原因为：日常公用经费增加。</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宋体"/>
          <w:bCs/>
          <w:kern w:val="0"/>
          <w:sz w:val="32"/>
          <w:szCs w:val="32"/>
        </w:rPr>
        <w:t>另外，下属共有3个事业单位，事业单位相关运行经费财政拨款预算138.32万元，同比增加43.63万元，同比增长46.1%。增加的原因为：</w:t>
      </w:r>
      <w:r>
        <w:rPr>
          <w:rFonts w:hint="eastAsia" w:ascii="仿宋_GB2312" w:hAnsi="华文仿宋" w:eastAsia="仿宋_GB2312"/>
          <w:sz w:val="32"/>
          <w:szCs w:val="32"/>
        </w:rPr>
        <w:t>市技工学校招生人数比上年增加，公用经费比上年有所增长。</w:t>
      </w:r>
    </w:p>
    <w:p>
      <w:pPr>
        <w:spacing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（二）国有资产占用情况说明</w:t>
      </w:r>
    </w:p>
    <w:p>
      <w:pPr>
        <w:spacing w:line="560" w:lineRule="exact"/>
        <w:ind w:firstLine="640" w:firstLineChars="200"/>
        <w:rPr>
          <w:rFonts w:ascii="仿宋_GB2312" w:hAnsi="华文仿宋" w:eastAsia="仿宋_GB2312" w:cs="宋体"/>
          <w:bCs/>
          <w:kern w:val="0"/>
          <w:sz w:val="32"/>
          <w:szCs w:val="32"/>
        </w:rPr>
      </w:pPr>
      <w:r>
        <w:rPr>
          <w:rFonts w:hint="eastAsia" w:ascii="仿宋_GB2312" w:hAnsi="华文仿宋" w:eastAsia="仿宋_GB2312" w:cs="宋体"/>
          <w:bCs/>
          <w:kern w:val="0"/>
          <w:sz w:val="32"/>
          <w:szCs w:val="32"/>
        </w:rPr>
        <w:t>根据公务用车制度改革方案相关规定核定本部门保留的公务用车编制15辆，实有车辆15辆。其中：机关本级核定公务用车编制6辆，实有6辆公车；下属单位柳州市劳动保障监察支队核定公务用车编制3辆，实有3辆公车；下属单位柳州市劳动职业培训指导中心核定公务用车编制4辆，实有4辆公车；下属单位柳州市劳动人事争议仲裁院核定公务用车编制1辆，实有1辆公车；下属单位柳州市职业技能鉴定指导中心核定公务用车编制1辆，实有1辆公车。</w:t>
      </w:r>
    </w:p>
    <w:p>
      <w:pPr>
        <w:tabs>
          <w:tab w:val="center" w:pos="4475"/>
        </w:tabs>
        <w:spacing w:line="560" w:lineRule="exact"/>
        <w:ind w:firstLine="645"/>
        <w:rPr>
          <w:rFonts w:ascii="楷体_GB2312" w:hAnsi="华文仿宋" w:eastAsia="楷体_GB2312"/>
          <w:b/>
          <w:color w:val="000000"/>
          <w:sz w:val="32"/>
          <w:szCs w:val="32"/>
        </w:rPr>
      </w:pPr>
      <w:r>
        <w:rPr>
          <w:rFonts w:hint="eastAsia" w:ascii="楷体_GB2312" w:hAnsi="华文仿宋" w:eastAsia="楷体_GB2312"/>
          <w:b/>
          <w:color w:val="000000"/>
          <w:sz w:val="32"/>
          <w:szCs w:val="32"/>
        </w:rPr>
        <w:t>（三）重点项目预算绩效目标等情况说明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cs="宋体"/>
          <w:bCs/>
          <w:kern w:val="0"/>
          <w:sz w:val="32"/>
          <w:szCs w:val="32"/>
        </w:rPr>
        <w:t>2019年纳入预算绩效目标管理的项目有5个，金额18227.33万元，涉及一般公共预算拨款支出18227.33万元。其中：促进就业发展专项资金，项目预算1800万元；人才集聚专项经费，预算金额14520万元；全市公益性岗位补贴专项经费，预算金额714.10万元；出国（境）培训五年计划专项资金390.70万元；柳州市金保工程信息系统硬件资源运用系统维护及网络服务费802.53万元。</w:t>
      </w:r>
    </w:p>
    <w:p>
      <w:pPr>
        <w:adjustRightInd w:val="0"/>
        <w:snapToGrid w:val="0"/>
        <w:spacing w:line="560" w:lineRule="exact"/>
        <w:ind w:right="-218" w:rightChars="-104"/>
        <w:jc w:val="center"/>
        <w:rPr>
          <w:rStyle w:val="7"/>
          <w:rFonts w:hint="eastAsia" w:ascii="仿宋_GB2312" w:hAnsi="华文仿宋" w:eastAsia="仿宋_GB2312"/>
          <w:color w:val="000000"/>
          <w:sz w:val="32"/>
          <w:szCs w:val="32"/>
        </w:rPr>
      </w:pPr>
    </w:p>
    <w:p>
      <w:pPr>
        <w:adjustRightInd w:val="0"/>
        <w:snapToGrid w:val="0"/>
        <w:spacing w:line="560" w:lineRule="exact"/>
        <w:ind w:right="-218" w:rightChars="-104"/>
        <w:jc w:val="center"/>
        <w:rPr>
          <w:rStyle w:val="7"/>
          <w:rFonts w:ascii="仿宋_GB2312" w:hAnsi="华文仿宋" w:eastAsia="仿宋_GB2312"/>
          <w:color w:val="000000"/>
          <w:sz w:val="32"/>
          <w:szCs w:val="32"/>
        </w:rPr>
      </w:pPr>
      <w:bookmarkStart w:id="0" w:name="_GoBack"/>
      <w:bookmarkEnd w:id="0"/>
      <w:r>
        <w:rPr>
          <w:rStyle w:val="7"/>
          <w:rFonts w:hint="eastAsia" w:ascii="仿宋_GB2312" w:hAnsi="华文仿宋" w:eastAsia="仿宋_GB2312"/>
          <w:color w:val="000000"/>
          <w:sz w:val="32"/>
          <w:szCs w:val="32"/>
        </w:rPr>
        <w:t>第四部分：名词解释</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一、财政拨款收入</w:t>
      </w:r>
      <w:r>
        <w:rPr>
          <w:rFonts w:hint="eastAsia" w:ascii="仿宋_GB2312" w:hAnsi="华文仿宋" w:eastAsia="仿宋_GB2312" w:cs="宋体"/>
          <w:bCs/>
          <w:color w:val="000000"/>
          <w:kern w:val="0"/>
          <w:sz w:val="32"/>
          <w:szCs w:val="32"/>
        </w:rPr>
        <w:t xml:space="preserve">：指市本级财政部门当年拨付的资金。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二、事业收入</w:t>
      </w:r>
      <w:r>
        <w:rPr>
          <w:rFonts w:hint="eastAsia" w:ascii="仿宋_GB2312" w:hAnsi="华文仿宋" w:eastAsia="仿宋_GB2312" w:cs="宋体"/>
          <w:bCs/>
          <w:color w:val="000000"/>
          <w:kern w:val="0"/>
          <w:sz w:val="32"/>
          <w:szCs w:val="32"/>
        </w:rPr>
        <w:t>：指事业单位开展专业业务活动及辅助活动所取得的收入。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三、经营收入</w:t>
      </w:r>
      <w:r>
        <w:rPr>
          <w:rFonts w:hint="eastAsia" w:ascii="仿宋_GB2312" w:hAnsi="华文仿宋" w:eastAsia="仿宋_GB2312" w:cs="宋体"/>
          <w:bCs/>
          <w:color w:val="000000"/>
          <w:kern w:val="0"/>
          <w:sz w:val="32"/>
          <w:szCs w:val="32"/>
        </w:rPr>
        <w:t>：指事业单位在专业业务活动及其辅助活动之外开展非独立核算经营活动取得的收入。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四、其他收入</w:t>
      </w:r>
      <w:r>
        <w:rPr>
          <w:rFonts w:hint="eastAsia" w:ascii="仿宋_GB2312" w:hAnsi="华文仿宋" w:eastAsia="仿宋_GB2312" w:cs="宋体"/>
          <w:bCs/>
          <w:color w:val="000000"/>
          <w:kern w:val="0"/>
          <w:sz w:val="32"/>
          <w:szCs w:val="32"/>
        </w:rPr>
        <w:t>：指除上述“财政拨款收入”“事业收入”“经营收入”等以外的收入。</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五、上年结转</w:t>
      </w:r>
      <w:r>
        <w:rPr>
          <w:rFonts w:hint="eastAsia" w:ascii="仿宋_GB2312" w:hAnsi="华文仿宋" w:eastAsia="仿宋_GB2312" w:cs="宋体"/>
          <w:bCs/>
          <w:color w:val="000000"/>
          <w:kern w:val="0"/>
          <w:sz w:val="32"/>
          <w:szCs w:val="32"/>
        </w:rPr>
        <w:t>：指以前年度尚未完成，按有关规定结转到本年继续使用的资金。</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六、基本支出</w:t>
      </w:r>
      <w:r>
        <w:rPr>
          <w:rFonts w:hint="eastAsia" w:ascii="仿宋_GB2312" w:hAnsi="华文仿宋" w:eastAsia="仿宋_GB2312" w:cs="宋体"/>
          <w:bCs/>
          <w:color w:val="000000"/>
          <w:kern w:val="0"/>
          <w:sz w:val="32"/>
          <w:szCs w:val="32"/>
        </w:rPr>
        <w:t>：指为保障机构正常运转、完成日常工作任务而发生的人员支出和公用支出。</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七、项目支出</w:t>
      </w:r>
      <w:r>
        <w:rPr>
          <w:rFonts w:hint="eastAsia" w:ascii="仿宋_GB2312" w:hAnsi="华文仿宋" w:eastAsia="仿宋_GB2312" w:cs="宋体"/>
          <w:bCs/>
          <w:color w:val="000000"/>
          <w:kern w:val="0"/>
          <w:sz w:val="32"/>
          <w:szCs w:val="32"/>
        </w:rPr>
        <w:t xml:space="preserve">：指在基本支出之外为完成特定行政任务和事业发展目标所发生的支出。  </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八、经营支出</w:t>
      </w:r>
      <w:r>
        <w:rPr>
          <w:rFonts w:hint="eastAsia" w:ascii="仿宋_GB2312" w:hAnsi="华文仿宋" w:eastAsia="仿宋_GB2312" w:cs="宋体"/>
          <w:bCs/>
          <w:color w:val="000000"/>
          <w:kern w:val="0"/>
          <w:sz w:val="32"/>
          <w:szCs w:val="32"/>
        </w:rPr>
        <w:t>：指事业单位在专业业务活动及其辅助活动之外开展非独立核算经营活动发生的支出。</w:t>
      </w:r>
    </w:p>
    <w:p>
      <w:pPr>
        <w:spacing w:line="560" w:lineRule="exact"/>
        <w:ind w:firstLine="643" w:firstLineChars="200"/>
        <w:rPr>
          <w:rFonts w:ascii="仿宋_GB2312" w:hAnsi="华文仿宋" w:eastAsia="仿宋_GB2312" w:cs="宋体"/>
          <w:bCs/>
          <w:color w:val="000000"/>
          <w:kern w:val="0"/>
          <w:sz w:val="32"/>
          <w:szCs w:val="32"/>
        </w:rPr>
      </w:pPr>
      <w:r>
        <w:rPr>
          <w:rFonts w:hint="eastAsia" w:ascii="黑体" w:hAnsi="黑体" w:eastAsia="黑体" w:cs="黑体"/>
          <w:b/>
          <w:bCs/>
          <w:color w:val="000000"/>
          <w:kern w:val="0"/>
          <w:sz w:val="32"/>
          <w:szCs w:val="32"/>
        </w:rPr>
        <w:t>九、“三公”经费</w:t>
      </w:r>
      <w:r>
        <w:rPr>
          <w:rFonts w:hint="eastAsia" w:ascii="仿宋_GB2312" w:hAnsi="华文仿宋" w:eastAsia="仿宋_GB2312" w:cs="宋体"/>
          <w:bCs/>
          <w:color w:val="000000"/>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3" w:firstLineChars="200"/>
        <w:rPr>
          <w:rFonts w:ascii="仿宋_GB2312" w:hAnsi="华文仿宋" w:eastAsia="仿宋_GB2312"/>
          <w:color w:val="FF0000"/>
          <w:sz w:val="32"/>
          <w:szCs w:val="32"/>
        </w:rPr>
      </w:pPr>
      <w:r>
        <w:rPr>
          <w:rFonts w:hint="eastAsia" w:ascii="黑体" w:hAnsi="黑体" w:eastAsia="黑体" w:cs="黑体"/>
          <w:b/>
          <w:bCs/>
          <w:color w:val="000000"/>
          <w:kern w:val="0"/>
          <w:sz w:val="32"/>
          <w:szCs w:val="32"/>
        </w:rPr>
        <w:t>十、机关运行经费</w:t>
      </w:r>
      <w:r>
        <w:rPr>
          <w:rFonts w:hint="eastAsia" w:ascii="仿宋_GB2312" w:hAnsi="华文仿宋" w:eastAsia="仿宋_GB2312" w:cs="宋体"/>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7D"/>
    <w:rsid w:val="00001E56"/>
    <w:rsid w:val="00002343"/>
    <w:rsid w:val="00004746"/>
    <w:rsid w:val="00005105"/>
    <w:rsid w:val="00006680"/>
    <w:rsid w:val="000100E5"/>
    <w:rsid w:val="0001015B"/>
    <w:rsid w:val="0001077D"/>
    <w:rsid w:val="00013581"/>
    <w:rsid w:val="00037A6D"/>
    <w:rsid w:val="000412D2"/>
    <w:rsid w:val="000416A4"/>
    <w:rsid w:val="00043946"/>
    <w:rsid w:val="0005103A"/>
    <w:rsid w:val="00052338"/>
    <w:rsid w:val="0005472A"/>
    <w:rsid w:val="00060268"/>
    <w:rsid w:val="00062EF2"/>
    <w:rsid w:val="000668FD"/>
    <w:rsid w:val="00077E51"/>
    <w:rsid w:val="00082364"/>
    <w:rsid w:val="00087E57"/>
    <w:rsid w:val="000904A8"/>
    <w:rsid w:val="000A419E"/>
    <w:rsid w:val="000A4273"/>
    <w:rsid w:val="000E2577"/>
    <w:rsid w:val="000E2821"/>
    <w:rsid w:val="000F0216"/>
    <w:rsid w:val="00101487"/>
    <w:rsid w:val="00111B63"/>
    <w:rsid w:val="001126A3"/>
    <w:rsid w:val="001137EB"/>
    <w:rsid w:val="00115A66"/>
    <w:rsid w:val="00117C29"/>
    <w:rsid w:val="00121B93"/>
    <w:rsid w:val="00135B6B"/>
    <w:rsid w:val="00137852"/>
    <w:rsid w:val="00137B7F"/>
    <w:rsid w:val="001506E2"/>
    <w:rsid w:val="001608C8"/>
    <w:rsid w:val="00175C9A"/>
    <w:rsid w:val="001A3F70"/>
    <w:rsid w:val="001A6F30"/>
    <w:rsid w:val="001A76DF"/>
    <w:rsid w:val="001A78C0"/>
    <w:rsid w:val="001B53F9"/>
    <w:rsid w:val="001B735E"/>
    <w:rsid w:val="001D779C"/>
    <w:rsid w:val="001E0A77"/>
    <w:rsid w:val="001E40FD"/>
    <w:rsid w:val="001E5FE8"/>
    <w:rsid w:val="001F0ACD"/>
    <w:rsid w:val="001F1220"/>
    <w:rsid w:val="001F44B4"/>
    <w:rsid w:val="00221D0C"/>
    <w:rsid w:val="002501E6"/>
    <w:rsid w:val="00252B72"/>
    <w:rsid w:val="002555D3"/>
    <w:rsid w:val="00277768"/>
    <w:rsid w:val="00285F9B"/>
    <w:rsid w:val="002937EC"/>
    <w:rsid w:val="00297C6B"/>
    <w:rsid w:val="002A69EF"/>
    <w:rsid w:val="002E55D8"/>
    <w:rsid w:val="002F622C"/>
    <w:rsid w:val="002F7CBE"/>
    <w:rsid w:val="0030030E"/>
    <w:rsid w:val="00310287"/>
    <w:rsid w:val="0031262F"/>
    <w:rsid w:val="00325D5D"/>
    <w:rsid w:val="003410C4"/>
    <w:rsid w:val="00342B08"/>
    <w:rsid w:val="00366F7C"/>
    <w:rsid w:val="003717EE"/>
    <w:rsid w:val="003755E0"/>
    <w:rsid w:val="0038314A"/>
    <w:rsid w:val="00383B2C"/>
    <w:rsid w:val="00385B02"/>
    <w:rsid w:val="003A0968"/>
    <w:rsid w:val="003A33CD"/>
    <w:rsid w:val="003B33A1"/>
    <w:rsid w:val="003C3A40"/>
    <w:rsid w:val="003C3A68"/>
    <w:rsid w:val="003D3AF9"/>
    <w:rsid w:val="003E6607"/>
    <w:rsid w:val="003F01C0"/>
    <w:rsid w:val="003F1F58"/>
    <w:rsid w:val="003F5F16"/>
    <w:rsid w:val="0041072A"/>
    <w:rsid w:val="00417F1E"/>
    <w:rsid w:val="00417F24"/>
    <w:rsid w:val="00422D77"/>
    <w:rsid w:val="0042365C"/>
    <w:rsid w:val="00423F8C"/>
    <w:rsid w:val="00436EEE"/>
    <w:rsid w:val="00443B18"/>
    <w:rsid w:val="00445110"/>
    <w:rsid w:val="00464856"/>
    <w:rsid w:val="0046794A"/>
    <w:rsid w:val="004737A9"/>
    <w:rsid w:val="00480AA5"/>
    <w:rsid w:val="00490A90"/>
    <w:rsid w:val="004B1492"/>
    <w:rsid w:val="004B43E4"/>
    <w:rsid w:val="004C3BAF"/>
    <w:rsid w:val="004D2AAF"/>
    <w:rsid w:val="004E1D2C"/>
    <w:rsid w:val="004E2CC1"/>
    <w:rsid w:val="004F24AE"/>
    <w:rsid w:val="00510260"/>
    <w:rsid w:val="00511E84"/>
    <w:rsid w:val="005244FF"/>
    <w:rsid w:val="00526EAC"/>
    <w:rsid w:val="0053470D"/>
    <w:rsid w:val="005558EA"/>
    <w:rsid w:val="00560B15"/>
    <w:rsid w:val="00573B15"/>
    <w:rsid w:val="0058243A"/>
    <w:rsid w:val="00583458"/>
    <w:rsid w:val="00586DBB"/>
    <w:rsid w:val="005D2365"/>
    <w:rsid w:val="005D3F56"/>
    <w:rsid w:val="00611044"/>
    <w:rsid w:val="00620E3A"/>
    <w:rsid w:val="00622A82"/>
    <w:rsid w:val="00636BCE"/>
    <w:rsid w:val="00647928"/>
    <w:rsid w:val="006640D4"/>
    <w:rsid w:val="0067239F"/>
    <w:rsid w:val="0067585A"/>
    <w:rsid w:val="00687A31"/>
    <w:rsid w:val="006A243D"/>
    <w:rsid w:val="006B5E0F"/>
    <w:rsid w:val="006C3C6D"/>
    <w:rsid w:val="006D4BD9"/>
    <w:rsid w:val="006D5C2F"/>
    <w:rsid w:val="006D7B26"/>
    <w:rsid w:val="006F7556"/>
    <w:rsid w:val="007003E0"/>
    <w:rsid w:val="00726DC4"/>
    <w:rsid w:val="00727CB0"/>
    <w:rsid w:val="00740041"/>
    <w:rsid w:val="00783084"/>
    <w:rsid w:val="00786D49"/>
    <w:rsid w:val="00786FDA"/>
    <w:rsid w:val="00791C09"/>
    <w:rsid w:val="007A5D85"/>
    <w:rsid w:val="007A7047"/>
    <w:rsid w:val="007F0217"/>
    <w:rsid w:val="007F36AC"/>
    <w:rsid w:val="007F4934"/>
    <w:rsid w:val="007F62D0"/>
    <w:rsid w:val="00804DF3"/>
    <w:rsid w:val="00827101"/>
    <w:rsid w:val="0084189A"/>
    <w:rsid w:val="00851B86"/>
    <w:rsid w:val="00856512"/>
    <w:rsid w:val="00866578"/>
    <w:rsid w:val="008667B3"/>
    <w:rsid w:val="00870863"/>
    <w:rsid w:val="0089304E"/>
    <w:rsid w:val="008956E2"/>
    <w:rsid w:val="00897D5E"/>
    <w:rsid w:val="008A22D1"/>
    <w:rsid w:val="008A3B48"/>
    <w:rsid w:val="008A4980"/>
    <w:rsid w:val="008A793D"/>
    <w:rsid w:val="008D4656"/>
    <w:rsid w:val="008D6B48"/>
    <w:rsid w:val="008E46D0"/>
    <w:rsid w:val="008F6486"/>
    <w:rsid w:val="00910D25"/>
    <w:rsid w:val="00911810"/>
    <w:rsid w:val="00913C9F"/>
    <w:rsid w:val="0091707A"/>
    <w:rsid w:val="009401B1"/>
    <w:rsid w:val="00947015"/>
    <w:rsid w:val="009521C0"/>
    <w:rsid w:val="00961E72"/>
    <w:rsid w:val="009760B8"/>
    <w:rsid w:val="009763CC"/>
    <w:rsid w:val="00980289"/>
    <w:rsid w:val="00982DD6"/>
    <w:rsid w:val="00986FA8"/>
    <w:rsid w:val="009B021B"/>
    <w:rsid w:val="009B38D5"/>
    <w:rsid w:val="009C5F57"/>
    <w:rsid w:val="009F430F"/>
    <w:rsid w:val="00A0089C"/>
    <w:rsid w:val="00A029D9"/>
    <w:rsid w:val="00A13E90"/>
    <w:rsid w:val="00A350F6"/>
    <w:rsid w:val="00A43C32"/>
    <w:rsid w:val="00A5506D"/>
    <w:rsid w:val="00A96951"/>
    <w:rsid w:val="00AC6C00"/>
    <w:rsid w:val="00AD4267"/>
    <w:rsid w:val="00AD4F6A"/>
    <w:rsid w:val="00B23D1C"/>
    <w:rsid w:val="00B37970"/>
    <w:rsid w:val="00B42388"/>
    <w:rsid w:val="00B44A52"/>
    <w:rsid w:val="00B54B86"/>
    <w:rsid w:val="00B55D50"/>
    <w:rsid w:val="00B74503"/>
    <w:rsid w:val="00B817F2"/>
    <w:rsid w:val="00B91A73"/>
    <w:rsid w:val="00B931A6"/>
    <w:rsid w:val="00BB2511"/>
    <w:rsid w:val="00BD6E5D"/>
    <w:rsid w:val="00BD717D"/>
    <w:rsid w:val="00BE6984"/>
    <w:rsid w:val="00BE741B"/>
    <w:rsid w:val="00BF7973"/>
    <w:rsid w:val="00C54A5B"/>
    <w:rsid w:val="00C54E5F"/>
    <w:rsid w:val="00C6451C"/>
    <w:rsid w:val="00C74D29"/>
    <w:rsid w:val="00C94A7B"/>
    <w:rsid w:val="00CA2FF8"/>
    <w:rsid w:val="00CA304E"/>
    <w:rsid w:val="00CD3F3B"/>
    <w:rsid w:val="00CD6EDB"/>
    <w:rsid w:val="00CD7F4B"/>
    <w:rsid w:val="00CE6613"/>
    <w:rsid w:val="00D038B5"/>
    <w:rsid w:val="00D054BB"/>
    <w:rsid w:val="00D05BBB"/>
    <w:rsid w:val="00D3355F"/>
    <w:rsid w:val="00D36576"/>
    <w:rsid w:val="00D3715E"/>
    <w:rsid w:val="00D418A9"/>
    <w:rsid w:val="00D5248F"/>
    <w:rsid w:val="00D52BF0"/>
    <w:rsid w:val="00D6638A"/>
    <w:rsid w:val="00D812B9"/>
    <w:rsid w:val="00D81372"/>
    <w:rsid w:val="00D861EE"/>
    <w:rsid w:val="00D87BB1"/>
    <w:rsid w:val="00D9105E"/>
    <w:rsid w:val="00D96E4B"/>
    <w:rsid w:val="00D96F0E"/>
    <w:rsid w:val="00DA7EDB"/>
    <w:rsid w:val="00DC049D"/>
    <w:rsid w:val="00DC73DC"/>
    <w:rsid w:val="00DE6A22"/>
    <w:rsid w:val="00E101CB"/>
    <w:rsid w:val="00E168E4"/>
    <w:rsid w:val="00E30F61"/>
    <w:rsid w:val="00E341A3"/>
    <w:rsid w:val="00E50E3B"/>
    <w:rsid w:val="00E54B3B"/>
    <w:rsid w:val="00E636EE"/>
    <w:rsid w:val="00E9096D"/>
    <w:rsid w:val="00E95A68"/>
    <w:rsid w:val="00E97F06"/>
    <w:rsid w:val="00EA2291"/>
    <w:rsid w:val="00EA294D"/>
    <w:rsid w:val="00EB430A"/>
    <w:rsid w:val="00EB7F95"/>
    <w:rsid w:val="00EE01ED"/>
    <w:rsid w:val="00EE3526"/>
    <w:rsid w:val="00EF239E"/>
    <w:rsid w:val="00F31A6D"/>
    <w:rsid w:val="00F40F20"/>
    <w:rsid w:val="00F45F86"/>
    <w:rsid w:val="00F556D4"/>
    <w:rsid w:val="00F60C45"/>
    <w:rsid w:val="00F748AD"/>
    <w:rsid w:val="00F81EF3"/>
    <w:rsid w:val="00F84F9D"/>
    <w:rsid w:val="00F9664F"/>
    <w:rsid w:val="00FA65AF"/>
    <w:rsid w:val="00FB16A6"/>
    <w:rsid w:val="00FB54E6"/>
    <w:rsid w:val="00FD6B11"/>
    <w:rsid w:val="00FE26FA"/>
    <w:rsid w:val="00FE4815"/>
    <w:rsid w:val="00FF07C0"/>
    <w:rsid w:val="01417364"/>
    <w:rsid w:val="021C0E8A"/>
    <w:rsid w:val="02362F16"/>
    <w:rsid w:val="03AB2D32"/>
    <w:rsid w:val="03C16630"/>
    <w:rsid w:val="068B18F2"/>
    <w:rsid w:val="074616CA"/>
    <w:rsid w:val="095C69D8"/>
    <w:rsid w:val="0A3D4979"/>
    <w:rsid w:val="0ABD6239"/>
    <w:rsid w:val="0BE35DAE"/>
    <w:rsid w:val="0C294B02"/>
    <w:rsid w:val="0D5A0BB9"/>
    <w:rsid w:val="13812575"/>
    <w:rsid w:val="14445BB6"/>
    <w:rsid w:val="14A877D4"/>
    <w:rsid w:val="15E253AE"/>
    <w:rsid w:val="172B30B5"/>
    <w:rsid w:val="1B485449"/>
    <w:rsid w:val="1BEB1F9C"/>
    <w:rsid w:val="1E197ACB"/>
    <w:rsid w:val="20BB4AD9"/>
    <w:rsid w:val="20BE114C"/>
    <w:rsid w:val="2370428E"/>
    <w:rsid w:val="25934155"/>
    <w:rsid w:val="25CB794D"/>
    <w:rsid w:val="264C3C07"/>
    <w:rsid w:val="26F17381"/>
    <w:rsid w:val="29BE4C72"/>
    <w:rsid w:val="2A514404"/>
    <w:rsid w:val="2C8D55EC"/>
    <w:rsid w:val="2D1108DE"/>
    <w:rsid w:val="2EE64920"/>
    <w:rsid w:val="302F4A5F"/>
    <w:rsid w:val="30F43E37"/>
    <w:rsid w:val="310B272A"/>
    <w:rsid w:val="35FE43F4"/>
    <w:rsid w:val="36AC479C"/>
    <w:rsid w:val="39F7553D"/>
    <w:rsid w:val="3DF36B8C"/>
    <w:rsid w:val="40E14F39"/>
    <w:rsid w:val="41841179"/>
    <w:rsid w:val="41E359BF"/>
    <w:rsid w:val="43C77DE7"/>
    <w:rsid w:val="43DF4057"/>
    <w:rsid w:val="45FE040C"/>
    <w:rsid w:val="47A502B6"/>
    <w:rsid w:val="47F86B58"/>
    <w:rsid w:val="484C2635"/>
    <w:rsid w:val="4AC84FD7"/>
    <w:rsid w:val="4D4D4930"/>
    <w:rsid w:val="521F0343"/>
    <w:rsid w:val="52256AAF"/>
    <w:rsid w:val="54534F30"/>
    <w:rsid w:val="54700666"/>
    <w:rsid w:val="55C704C5"/>
    <w:rsid w:val="583D65D0"/>
    <w:rsid w:val="598960E0"/>
    <w:rsid w:val="5B465046"/>
    <w:rsid w:val="5C2009E9"/>
    <w:rsid w:val="5D80101A"/>
    <w:rsid w:val="5E6F63D1"/>
    <w:rsid w:val="5F8E1E57"/>
    <w:rsid w:val="62D94E77"/>
    <w:rsid w:val="63203E27"/>
    <w:rsid w:val="65ED74B6"/>
    <w:rsid w:val="66715789"/>
    <w:rsid w:val="66727548"/>
    <w:rsid w:val="66F95EBC"/>
    <w:rsid w:val="681320A7"/>
    <w:rsid w:val="68B75A10"/>
    <w:rsid w:val="69402389"/>
    <w:rsid w:val="69BF4B13"/>
    <w:rsid w:val="6AD01D50"/>
    <w:rsid w:val="6C700EB5"/>
    <w:rsid w:val="6D2550F9"/>
    <w:rsid w:val="719031FF"/>
    <w:rsid w:val="71C37E9F"/>
    <w:rsid w:val="72600398"/>
    <w:rsid w:val="73C27864"/>
    <w:rsid w:val="74A6724E"/>
    <w:rsid w:val="75BB6CD3"/>
    <w:rsid w:val="760717B7"/>
    <w:rsid w:val="768378C7"/>
    <w:rsid w:val="770F2374"/>
    <w:rsid w:val="77360EA3"/>
    <w:rsid w:val="788E307A"/>
    <w:rsid w:val="78EC1BB8"/>
    <w:rsid w:val="7E080F3C"/>
    <w:rsid w:val="7EDA281E"/>
    <w:rsid w:val="7EED1761"/>
    <w:rsid w:val="7F0E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lang w:val="zh-CN"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lang w:val="zh-CN" w:eastAsia="zh-CN"/>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uiPriority w:val="0"/>
  </w:style>
  <w:style w:type="character" w:customStyle="1" w:styleId="10">
    <w:name w:val="页眉 Char"/>
    <w:link w:val="4"/>
    <w:uiPriority w:val="0"/>
    <w:rPr>
      <w:kern w:val="2"/>
      <w:sz w:val="18"/>
      <w:szCs w:val="18"/>
    </w:rPr>
  </w:style>
  <w:style w:type="character" w:customStyle="1" w:styleId="11">
    <w:name w:val="批注框文本 Char"/>
    <w:link w:val="2"/>
    <w:uiPriority w:val="0"/>
    <w:rPr>
      <w:kern w:val="2"/>
      <w:sz w:val="18"/>
      <w:szCs w:val="18"/>
    </w:rPr>
  </w:style>
  <w:style w:type="paragraph" w:customStyle="1" w:styleId="12">
    <w:name w:val="Char Char Char Char Char Char Char"/>
    <w:basedOn w:val="1"/>
    <w:uiPriority w:val="0"/>
    <w:rPr>
      <w:szCs w:val="21"/>
    </w:rPr>
  </w:style>
  <w:style w:type="paragraph" w:customStyle="1" w:styleId="13">
    <w:name w:val="正文1"/>
    <w:basedOn w:val="1"/>
    <w:uiPriority w:val="3"/>
    <w:pPr>
      <w:widowControl/>
    </w:pPr>
    <w:rPr>
      <w:rFonts w:eastAsia="Times New Roman"/>
      <w:kern w:val="0"/>
      <w:szCs w:val="20"/>
      <w:lang w:val="zh-CN"/>
    </w:rPr>
  </w:style>
  <w:style w:type="paragraph" w:customStyle="1" w:styleId="14">
    <w:name w:val="正文[858D7CFB-ED40-4347-BF05-701D383B685F][858D7CFB-ED40-4347-BF05-701D383B685F]"/>
    <w:basedOn w:val="1"/>
    <w:qFormat/>
    <w:uiPriority w:val="99"/>
    <w:pPr>
      <w:widowControl/>
    </w:pPr>
    <w:rPr>
      <w:kern w:val="0"/>
      <w:szCs w:val="20"/>
      <w:lang w:val="zh-CN"/>
    </w:rPr>
  </w:style>
  <w:style w:type="paragraph" w:customStyle="1" w:styleId="15">
    <w:name w:val="正文[858D7CFB-ED40-4347-BF05-701D383B685F][858D7CFB-ED40-4347-BF05-701D383B685F]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1381</Words>
  <Characters>7875</Characters>
  <Lines>65</Lines>
  <Paragraphs>18</Paragraphs>
  <TotalTime>0</TotalTime>
  <ScaleCrop>false</ScaleCrop>
  <LinksUpToDate>false</LinksUpToDate>
  <CharactersWithSpaces>9238</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2015-03-02T08:19:00Z</dcterms:created>
  <dc:creator>Administrator</dc:creator>
  <cp:lastModifiedBy>李燮钰</cp:lastModifiedBy>
  <cp:lastPrinted>2019-02-18T05:05:00Z</cp:lastPrinted>
  <dcterms:modified xsi:type="dcterms:W3CDTF">2019-04-30T01:22:07Z</dcterms:modified>
  <dc:title>附件3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