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hAnsi="黑体" w:eastAsia="黑体"/>
          <w:sz w:val="52"/>
          <w:szCs w:val="52"/>
        </w:rPr>
        <w:t>柳州市河长制工作促进中心</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p>
    <w:p>
      <w:pPr>
        <w:ind w:firstLine="646"/>
        <w:jc w:val="center"/>
        <w:rPr>
          <w:rFonts w:ascii="方正小标宋简体" w:eastAsia="方正小标宋简体"/>
          <w:b/>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r>
        <w:rPr>
          <w:rFonts w:hint="eastAsia" w:ascii="仿宋_GB2312" w:eastAsia="仿宋_GB2312"/>
          <w:b/>
          <w:sz w:val="32"/>
          <w:szCs w:val="32"/>
        </w:rPr>
        <w:t>第一部分：柳州市河长制工作促进中心概况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第二部分：柳州市河长制工作促进中心2021年单位决算报表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第三部分：柳州市河长制工作促进中心2021年度单位决算情况说明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color w:val="000000" w:themeColor="text1"/>
          <w:sz w:val="32"/>
          <w:szCs w:val="32"/>
        </w:rPr>
      </w:pPr>
      <w:r>
        <w:rPr>
          <w:rFonts w:hint="eastAsia" w:ascii="仿宋_GB2312" w:eastAsia="仿宋_GB2312" w:cs="仿宋_GB2312"/>
          <w:bCs/>
          <w:kern w:val="0"/>
          <w:sz w:val="32"/>
          <w:szCs w:val="32"/>
        </w:rPr>
        <w:br w:type="page"/>
      </w:r>
      <w:r>
        <w:rPr>
          <w:rFonts w:hint="eastAsia" w:ascii="仿宋_GB2312" w:eastAsia="仿宋_GB2312"/>
          <w:b/>
          <w:color w:val="000000" w:themeColor="text1"/>
          <w:sz w:val="32"/>
          <w:szCs w:val="32"/>
        </w:rPr>
        <w:t>第一部分：柳州市河长制工作促进中心概况</w:t>
      </w:r>
    </w:p>
    <w:p>
      <w:pPr>
        <w:ind w:firstLine="646"/>
        <w:rPr>
          <w:rFonts w:ascii="仿宋_GB2312" w:eastAsia="仿宋_GB2312"/>
          <w:sz w:val="32"/>
          <w:szCs w:val="32"/>
        </w:rPr>
      </w:pPr>
      <w:r>
        <w:rPr>
          <w:rFonts w:hint="eastAsia" w:ascii="仿宋_GB2312" w:eastAsia="仿宋_GB2312"/>
          <w:sz w:val="32"/>
          <w:szCs w:val="32"/>
        </w:rPr>
        <w:t>一、主要职能</w:t>
      </w:r>
    </w:p>
    <w:p>
      <w:pPr>
        <w:ind w:left="646"/>
        <w:rPr>
          <w:rFonts w:ascii="仿宋_GB2312" w:eastAsia="仿宋_GB2312"/>
          <w:sz w:val="32"/>
          <w:szCs w:val="32"/>
        </w:rPr>
      </w:pPr>
      <w:r>
        <w:rPr>
          <w:rFonts w:hint="eastAsia" w:ascii="仿宋_GB2312" w:hAnsi="仿宋_GB2312" w:eastAsia="仿宋_GB2312" w:cs="仿宋_GB2312"/>
          <w:b/>
          <w:sz w:val="32"/>
          <w:szCs w:val="32"/>
        </w:rPr>
        <w:t>（一）</w:t>
      </w:r>
      <w:r>
        <w:rPr>
          <w:rFonts w:hint="eastAsia" w:ascii="仿宋_GB2312" w:eastAsia="仿宋_GB2312"/>
          <w:sz w:val="32"/>
          <w:szCs w:val="32"/>
        </w:rPr>
        <w:t>贯彻落实中央、自治区和市委、市政府关于全面推行河长制的方针政策和决策部署，协助本级河长制工作主管单位拟定全市河长制工作的相关政策制度，制定工作规划；负责河长制工作相关文件材料的草拟，承担河长制工作技术指导服务。</w:t>
      </w:r>
    </w:p>
    <w:p>
      <w:pPr>
        <w:ind w:firstLine="643" w:firstLineChars="200"/>
        <w:rPr>
          <w:rFonts w:ascii="仿宋_GB2312" w:eastAsia="仿宋_GB2312"/>
          <w:sz w:val="32"/>
          <w:szCs w:val="32"/>
        </w:rPr>
      </w:pPr>
      <w:r>
        <w:rPr>
          <w:rFonts w:hint="eastAsia" w:ascii="仿宋_GB2312" w:hAnsi="仿宋_GB2312" w:eastAsia="仿宋_GB2312" w:cs="仿宋_GB2312"/>
          <w:b/>
          <w:sz w:val="32"/>
          <w:szCs w:val="32"/>
        </w:rPr>
        <w:t>（二）</w:t>
      </w:r>
      <w:r>
        <w:rPr>
          <w:rFonts w:hint="eastAsia" w:ascii="仿宋_GB2312" w:eastAsia="仿宋_GB2312"/>
          <w:sz w:val="32"/>
          <w:szCs w:val="32"/>
        </w:rPr>
        <w:t>配合本级河长制工作主管单位做好河长制工作涉及的综合协调、组织调度、监测发布、督促检查和问题整改等工作。</w:t>
      </w:r>
    </w:p>
    <w:p>
      <w:pPr>
        <w:ind w:firstLine="643" w:firstLineChars="200"/>
        <w:rPr>
          <w:rFonts w:ascii="仿宋_GB2312" w:eastAsia="仿宋_GB2312"/>
          <w:sz w:val="32"/>
          <w:szCs w:val="32"/>
        </w:rPr>
      </w:pPr>
      <w:r>
        <w:rPr>
          <w:rFonts w:hint="eastAsia" w:ascii="仿宋_GB2312" w:hAnsi="仿宋_GB2312" w:eastAsia="仿宋_GB2312" w:cs="仿宋_GB2312"/>
          <w:b/>
          <w:sz w:val="32"/>
          <w:szCs w:val="32"/>
        </w:rPr>
        <w:t>（三）</w:t>
      </w:r>
      <w:r>
        <w:rPr>
          <w:rFonts w:hint="eastAsia" w:ascii="仿宋_GB2312" w:eastAsia="仿宋_GB2312"/>
          <w:sz w:val="32"/>
          <w:szCs w:val="32"/>
        </w:rPr>
        <w:t>协助本级河长制工作主管单位开展对县级及市相关单位河长制工作落实情况的督促检查和考核评估。</w:t>
      </w:r>
    </w:p>
    <w:p>
      <w:pPr>
        <w:ind w:firstLine="643" w:firstLineChars="200"/>
        <w:rPr>
          <w:rFonts w:ascii="仿宋_GB2312" w:eastAsia="仿宋_GB2312"/>
          <w:sz w:val="32"/>
          <w:szCs w:val="32"/>
        </w:rPr>
      </w:pPr>
      <w:r>
        <w:rPr>
          <w:rFonts w:hint="eastAsia" w:ascii="仿宋_GB2312" w:hAnsi="仿宋_GB2312" w:eastAsia="仿宋_GB2312" w:cs="仿宋_GB2312"/>
          <w:b/>
          <w:sz w:val="32"/>
          <w:szCs w:val="32"/>
        </w:rPr>
        <w:t>（四）</w:t>
      </w:r>
      <w:r>
        <w:rPr>
          <w:rFonts w:hint="eastAsia" w:ascii="仿宋_GB2312" w:eastAsia="仿宋_GB2312"/>
          <w:sz w:val="32"/>
          <w:szCs w:val="32"/>
        </w:rPr>
        <w:t>负责全市河长制工作信息平台的建设、管理；负责河长制工作信息的汇总、报送。</w:t>
      </w:r>
    </w:p>
    <w:p>
      <w:pPr>
        <w:ind w:firstLine="643" w:firstLineChars="200"/>
        <w:rPr>
          <w:rFonts w:ascii="仿宋_GB2312" w:eastAsia="仿宋_GB2312"/>
          <w:sz w:val="32"/>
          <w:szCs w:val="32"/>
        </w:rPr>
      </w:pPr>
      <w:r>
        <w:rPr>
          <w:rFonts w:hint="eastAsia" w:ascii="仿宋_GB2312" w:hAnsi="仿宋_GB2312" w:eastAsia="仿宋_GB2312" w:cs="仿宋_GB2312"/>
          <w:b/>
          <w:sz w:val="32"/>
          <w:szCs w:val="32"/>
        </w:rPr>
        <w:t>（五）</w:t>
      </w:r>
      <w:r>
        <w:rPr>
          <w:rFonts w:hint="eastAsia" w:ascii="仿宋_GB2312" w:eastAsia="仿宋_GB2312"/>
          <w:sz w:val="32"/>
          <w:szCs w:val="32"/>
        </w:rPr>
        <w:t>负责全市江河湖库管理保护举报投诉受理工作。</w:t>
      </w:r>
    </w:p>
    <w:p>
      <w:pPr>
        <w:ind w:firstLine="643" w:firstLineChars="200"/>
        <w:rPr>
          <w:rFonts w:ascii="仿宋_GB2312" w:eastAsia="仿宋_GB2312"/>
          <w:sz w:val="32"/>
          <w:szCs w:val="32"/>
        </w:rPr>
      </w:pPr>
      <w:r>
        <w:rPr>
          <w:rFonts w:hint="eastAsia" w:ascii="仿宋_GB2312" w:hAnsi="仿宋_GB2312" w:eastAsia="仿宋_GB2312" w:cs="仿宋_GB2312"/>
          <w:b/>
          <w:sz w:val="32"/>
          <w:szCs w:val="32"/>
        </w:rPr>
        <w:t>（六）</w:t>
      </w:r>
      <w:r>
        <w:rPr>
          <w:rFonts w:hint="eastAsia" w:ascii="仿宋_GB2312" w:eastAsia="仿宋_GB2312"/>
          <w:sz w:val="32"/>
          <w:szCs w:val="32"/>
        </w:rPr>
        <w:t>负责全市河长制工作的宣传教育和业务培训。</w:t>
      </w:r>
    </w:p>
    <w:p>
      <w:pPr>
        <w:ind w:firstLine="643" w:firstLineChars="200"/>
        <w:rPr>
          <w:rFonts w:ascii="仿宋_GB2312" w:eastAsia="仿宋_GB2312"/>
          <w:sz w:val="32"/>
          <w:szCs w:val="32"/>
        </w:rPr>
      </w:pPr>
      <w:r>
        <w:rPr>
          <w:rFonts w:hint="eastAsia" w:ascii="仿宋_GB2312" w:hAnsi="仿宋_GB2312" w:eastAsia="仿宋_GB2312" w:cs="仿宋_GB2312"/>
          <w:b/>
          <w:sz w:val="32"/>
          <w:szCs w:val="32"/>
        </w:rPr>
        <w:t>（七）</w:t>
      </w:r>
      <w:r>
        <w:rPr>
          <w:rFonts w:hint="eastAsia" w:ascii="仿宋_GB2312" w:eastAsia="仿宋_GB2312"/>
          <w:sz w:val="32"/>
          <w:szCs w:val="32"/>
        </w:rPr>
        <w:t>承办本级河长制工作主管单位交办的其他事项。</w:t>
      </w:r>
    </w:p>
    <w:p>
      <w:pPr>
        <w:ind w:firstLine="645"/>
        <w:rPr>
          <w:rFonts w:ascii="仿宋_GB2312" w:eastAsia="仿宋_GB2312"/>
          <w:sz w:val="32"/>
          <w:szCs w:val="32"/>
        </w:rPr>
      </w:pPr>
      <w:r>
        <w:rPr>
          <w:rFonts w:hint="eastAsia" w:ascii="仿宋_GB2312" w:eastAsia="仿宋_GB2312"/>
          <w:sz w:val="32"/>
          <w:szCs w:val="32"/>
        </w:rPr>
        <w:t>二、单位机构设置情况</w:t>
      </w:r>
    </w:p>
    <w:p>
      <w:pPr>
        <w:spacing w:line="560" w:lineRule="exact"/>
        <w:ind w:firstLine="640" w:firstLineChars="200"/>
        <w:rPr>
          <w:rFonts w:ascii="仿宋_GB2312" w:eastAsia="仿宋_GB2312"/>
          <w:sz w:val="32"/>
          <w:szCs w:val="32"/>
        </w:rPr>
      </w:pPr>
      <w:r>
        <w:rPr>
          <w:rFonts w:hint="eastAsia" w:ascii="仿宋_GB2312" w:eastAsia="仿宋_GB2312" w:cs="ArialUnicodeMS"/>
          <w:kern w:val="0"/>
          <w:sz w:val="32"/>
          <w:szCs w:val="32"/>
        </w:rPr>
        <w:t>柳州市河长制工作促进中心</w:t>
      </w:r>
      <w:r>
        <w:rPr>
          <w:rFonts w:hint="eastAsia" w:ascii="仿宋_GB2312" w:hAnsi="仿宋_GB2312" w:eastAsia="仿宋_GB2312" w:cs="仿宋_GB2312"/>
          <w:sz w:val="32"/>
          <w:szCs w:val="32"/>
        </w:rPr>
        <w:t>，</w:t>
      </w:r>
      <w:r>
        <w:rPr>
          <w:rFonts w:hint="eastAsia" w:ascii="仿宋_GB2312" w:eastAsia="仿宋_GB2312"/>
          <w:sz w:val="32"/>
          <w:szCs w:val="32"/>
        </w:rPr>
        <w:t>为柳州市水利局管理的</w:t>
      </w:r>
      <w:r>
        <w:rPr>
          <w:rFonts w:hint="eastAsia" w:ascii="仿宋_GB2312" w:eastAsia="仿宋_GB2312"/>
          <w:sz w:val="32"/>
          <w:szCs w:val="32"/>
          <w:lang w:eastAsia="zh-CN"/>
        </w:rPr>
        <w:t>相当于</w:t>
      </w:r>
      <w:r>
        <w:rPr>
          <w:rFonts w:hint="eastAsia" w:ascii="仿宋_GB2312" w:eastAsia="仿宋_GB2312"/>
          <w:sz w:val="32"/>
          <w:szCs w:val="32"/>
        </w:rPr>
        <w:t>正科级全额拨款事业单位，划入公益一类。事业编制7名。其中：正职1名，副职2名。实际在编人员7人。</w:t>
      </w:r>
    </w:p>
    <w:p>
      <w:pPr>
        <w:rPr>
          <w:rFonts w:ascii="仿宋_GB2312" w:eastAsia="仿宋_GB2312"/>
          <w:sz w:val="32"/>
          <w:szCs w:val="32"/>
        </w:rPr>
      </w:pPr>
    </w:p>
    <w:p/>
    <w:p>
      <w:pPr>
        <w:rPr>
          <w:rFonts w:ascii="仿宋_GB2312" w:eastAsia="仿宋_GB2312"/>
          <w:b/>
          <w:sz w:val="32"/>
          <w:szCs w:val="32"/>
        </w:rPr>
      </w:pPr>
      <w:r>
        <w:rPr>
          <w:rFonts w:hint="eastAsia" w:ascii="仿宋_GB2312" w:eastAsia="仿宋_GB2312"/>
          <w:b/>
          <w:sz w:val="32"/>
          <w:szCs w:val="32"/>
        </w:rPr>
        <w:t>第二部分：柳州市河长制工作促进中心2021年单位决算报表</w:t>
      </w:r>
    </w:p>
    <w:p>
      <w:pPr>
        <w:ind w:right="440"/>
        <w:rPr>
          <w:sz w:val="22"/>
        </w:rPr>
      </w:pPr>
      <w:r>
        <w:rPr>
          <w:rFonts w:hint="eastAsia" w:ascii="黑体" w:hAnsi="黑体" w:eastAsia="黑体"/>
          <w:sz w:val="32"/>
          <w:szCs w:val="32"/>
        </w:rPr>
        <w:t>(此部分另附表格，详见附件1：</w:t>
      </w:r>
      <w:r>
        <w:rPr>
          <w:rFonts w:hint="eastAsia" w:ascii="仿宋_GB2312" w:eastAsia="仿宋_GB2312"/>
          <w:b/>
          <w:sz w:val="32"/>
          <w:szCs w:val="32"/>
        </w:rPr>
        <w:t>柳州市河长制工作促进中心</w:t>
      </w:r>
      <w:r>
        <w:rPr>
          <w:rFonts w:hint="eastAsia" w:ascii="黑体" w:hAnsi="黑体" w:eastAsia="黑体"/>
          <w:sz w:val="32"/>
          <w:szCs w:val="32"/>
        </w:rPr>
        <w:t>2021年度单位决算公开表)</w:t>
      </w:r>
    </w:p>
    <w:p/>
    <w:p>
      <w:pPr>
        <w:spacing w:line="580" w:lineRule="exact"/>
        <w:rPr>
          <w:rFonts w:ascii="仿宋_GB2312" w:eastAsia="仿宋_GB2312"/>
          <w:b/>
          <w:sz w:val="32"/>
          <w:szCs w:val="32"/>
        </w:rPr>
      </w:pPr>
      <w:r>
        <w:rPr>
          <w:rFonts w:hint="eastAsia" w:ascii="仿宋_GB2312" w:eastAsia="仿宋_GB2312"/>
          <w:b/>
          <w:sz w:val="32"/>
          <w:szCs w:val="32"/>
        </w:rPr>
        <w:t>第三部分：柳州市河长制工作促进中心2021年度单位决算情况说明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（一）本单位2021年度总收入</w:t>
      </w:r>
      <w:r>
        <w:rPr>
          <w:rFonts w:ascii="仿宋_GB2312" w:eastAsia="仿宋_GB2312"/>
          <w:kern w:val="0"/>
          <w:sz w:val="32"/>
          <w:szCs w:val="32"/>
        </w:rPr>
        <w:t>232.54</w:t>
      </w:r>
      <w:r>
        <w:rPr>
          <w:rFonts w:hint="eastAsia" w:ascii="仿宋_GB2312" w:eastAsia="仿宋_GB2312" w:cs="仿宋_GB2312"/>
          <w:kern w:val="0"/>
          <w:sz w:val="32"/>
          <w:szCs w:val="32"/>
        </w:rPr>
        <w:t>万元，其中本年收入</w:t>
      </w:r>
      <w:r>
        <w:rPr>
          <w:rFonts w:ascii="仿宋_GB2312" w:eastAsia="仿宋_GB2312" w:cs="仿宋_GB2312"/>
          <w:kern w:val="0"/>
          <w:sz w:val="32"/>
          <w:szCs w:val="32"/>
        </w:rPr>
        <w:t>232.28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较2020年度决算数减少446.54万元，下降65.76%。</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ascii="仿宋_GB2312" w:eastAsia="仿宋_GB2312"/>
          <w:kern w:val="0"/>
          <w:sz w:val="32"/>
          <w:szCs w:val="32"/>
        </w:rPr>
        <w:t>163.25</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较2020年度决算数增加60.63万元，增长59.08%，主要原因是：增加事业单位绩效工资总量补差资金。</w:t>
      </w:r>
    </w:p>
    <w:p>
      <w:pPr>
        <w:pStyle w:val="5"/>
        <w:ind w:firstLine="640" w:firstLineChars="200"/>
        <w:jc w:val="left"/>
        <w:rPr>
          <w:rStyle w:val="9"/>
          <w:rFonts w:ascii="仿宋_GB2312" w:eastAsia="仿宋_GB2312"/>
          <w:b w:val="0"/>
        </w:rPr>
      </w:pPr>
      <w:r>
        <w:rPr>
          <w:rStyle w:val="9"/>
          <w:rFonts w:hint="eastAsia" w:ascii="仿宋_GB2312" w:eastAsia="仿宋_GB2312"/>
          <w:b w:val="0"/>
        </w:rPr>
        <w:t>2.政府性基金预算财政拨款收入0万元，为财政当年拨付的资金。较2020年度决算数增加（减少）0万元，增长（下降）0%，主要原因是：无此项收入或支出，故没有变动。</w:t>
      </w:r>
    </w:p>
    <w:p>
      <w:pPr>
        <w:pStyle w:val="5"/>
        <w:ind w:firstLine="640" w:firstLineChars="200"/>
        <w:jc w:val="left"/>
        <w:rPr>
          <w:rStyle w:val="9"/>
          <w:rFonts w:ascii="仿宋_GB2312" w:eastAsia="仿宋_GB2312"/>
          <w:b w:val="0"/>
        </w:rPr>
      </w:pPr>
      <w:r>
        <w:rPr>
          <w:rStyle w:val="9"/>
          <w:rFonts w:hint="eastAsia" w:ascii="仿宋_GB2312" w:eastAsia="仿宋_GB2312"/>
          <w:b w:val="0"/>
        </w:rPr>
        <w:t>3.国有资本经营预算财政拨款收入0万元，为财政当年拨付的资金。较2020年度决算数增加（减少）0万元，增长（下降）0%，主要原因是：无此项收入或支出，故没有变动。</w:t>
      </w:r>
    </w:p>
    <w:p>
      <w:pPr>
        <w:pStyle w:val="5"/>
        <w:ind w:firstLine="640" w:firstLineChars="200"/>
        <w:jc w:val="left"/>
        <w:rPr>
          <w:rStyle w:val="9"/>
          <w:rFonts w:ascii="仿宋_GB2312" w:eastAsia="仿宋_GB2312"/>
          <w:b w:val="0"/>
        </w:rPr>
      </w:pPr>
      <w:r>
        <w:rPr>
          <w:rStyle w:val="9"/>
          <w:rFonts w:hint="eastAsia" w:ascii="仿宋_GB2312" w:eastAsia="仿宋_GB2312"/>
          <w:b w:val="0"/>
        </w:rPr>
        <w:t>4.事业收入0万元，为事业单位开展业务活动取得的收入。较2020年度决算数增加（减少）0万元，增长（下降）0%，主要原因是：无此项收入或支出，故没有变动。</w:t>
      </w:r>
    </w:p>
    <w:p>
      <w:pPr>
        <w:pStyle w:val="5"/>
        <w:ind w:firstLine="640" w:firstLineChars="200"/>
        <w:jc w:val="left"/>
        <w:rPr>
          <w:rStyle w:val="9"/>
          <w:rFonts w:ascii="仿宋_GB2312" w:eastAsia="仿宋_GB2312"/>
          <w:b w:val="0"/>
        </w:rPr>
      </w:pPr>
      <w:r>
        <w:rPr>
          <w:rStyle w:val="9"/>
          <w:rFonts w:hint="eastAsia" w:ascii="仿宋_GB2312" w:eastAsia="仿宋_GB2312"/>
          <w:b w:val="0"/>
        </w:rPr>
        <w:t>5.经营收入0万元，为事业单位在业务活动之外开展非独立核算经营活动取得的收入。较2020年度决算数增加（减少）0万元，增长（下降）0%，主要原因是：无此项收入或支出，故没有变动。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rPr>
        <w:t>69.03</w:t>
      </w:r>
      <w:r>
        <w:rPr>
          <w:rFonts w:hint="eastAsia" w:ascii="仿宋_GB2312" w:eastAsia="仿宋_GB2312" w:cs="仿宋_GB2312"/>
          <w:kern w:val="0"/>
          <w:sz w:val="32"/>
          <w:szCs w:val="32"/>
        </w:rPr>
        <w:t>万元，为单位单位在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Style w:val="12"/>
          <w:rFonts w:ascii="仿宋_GB2312" w:eastAsia="仿宋_GB2312"/>
          <w:b w:val="0"/>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较2020年度决算数减少72.94万元，下降51.38%，主要原因是：</w:t>
      </w:r>
      <w:r>
        <w:rPr>
          <w:rStyle w:val="12"/>
          <w:rFonts w:hint="eastAsia" w:ascii="仿宋_GB2312" w:eastAsia="仿宋_GB2312"/>
          <w:b w:val="0"/>
        </w:rPr>
        <w:t>非同级财政拨款收入及其他收入减少。</w:t>
      </w:r>
    </w:p>
    <w:p>
      <w:pPr>
        <w:autoSpaceDE w:val="0"/>
        <w:autoSpaceDN w:val="0"/>
        <w:adjustRightInd w:val="0"/>
        <w:spacing w:line="560" w:lineRule="exact"/>
        <w:ind w:firstLine="627" w:firstLineChars="196"/>
        <w:jc w:val="left"/>
        <w:rPr>
          <w:rStyle w:val="13"/>
          <w:rFonts w:ascii="仿宋_GB2312" w:eastAsia="仿宋_GB2312"/>
          <w:b w:val="0"/>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较2020年度决算数增加（减少）0万元，增长（下降）0%，主要原因：</w:t>
      </w:r>
      <w:r>
        <w:rPr>
          <w:rStyle w:val="13"/>
          <w:rFonts w:hint="eastAsia" w:ascii="仿宋_GB2312" w:eastAsia="仿宋_GB2312"/>
          <w:b w:val="0"/>
        </w:rPr>
        <w:t>近两年未使用以前年度积累的非财政拨款结余弥补本年度收支。</w:t>
      </w:r>
    </w:p>
    <w:p>
      <w:pPr>
        <w:autoSpaceDE w:val="0"/>
        <w:autoSpaceDN w:val="0"/>
        <w:adjustRightInd w:val="0"/>
        <w:spacing w:line="560" w:lineRule="exact"/>
        <w:ind w:firstLine="627" w:firstLineChars="196"/>
        <w:jc w:val="left"/>
        <w:rPr>
          <w:rStyle w:val="13"/>
          <w:rFonts w:ascii="仿宋_GB2312" w:eastAsia="仿宋_GB2312"/>
          <w:b w:val="0"/>
        </w:rPr>
      </w:pPr>
      <w:r>
        <w:rPr>
          <w:rFonts w:hint="eastAsia" w:ascii="仿宋_GB2312" w:eastAsia="仿宋_GB2312"/>
          <w:bCs/>
          <w:kern w:val="0"/>
          <w:sz w:val="32"/>
          <w:szCs w:val="32"/>
        </w:rPr>
        <w:t>8</w:t>
      </w:r>
      <w:r>
        <w:rPr>
          <w:rFonts w:hint="eastAsia" w:ascii="仿宋_GB2312" w:eastAsia="仿宋_GB2312" w:cs="仿宋_GB2312"/>
          <w:kern w:val="0"/>
          <w:sz w:val="32"/>
          <w:szCs w:val="32"/>
        </w:rPr>
        <w:t>.年初结转和结余</w:t>
      </w:r>
      <w:r>
        <w:rPr>
          <w:rFonts w:hint="eastAsia" w:ascii="仿宋_GB2312" w:eastAsia="仿宋_GB2312"/>
          <w:kern w:val="0"/>
          <w:sz w:val="32"/>
          <w:szCs w:val="32"/>
        </w:rPr>
        <w:t>0.27</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较2020年度决算数减少434.22万元，下降99.94%，主要原因是：</w:t>
      </w:r>
      <w:r>
        <w:rPr>
          <w:rStyle w:val="13"/>
          <w:rFonts w:hint="eastAsia" w:ascii="仿宋_GB2312" w:eastAsia="仿宋_GB2312"/>
          <w:b w:val="0"/>
        </w:rPr>
        <w:t>积极推进项目，加快资金执行速度，资金沉淀减少。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（二）本单位2021年度总支出</w:t>
      </w:r>
      <w:r>
        <w:rPr>
          <w:rFonts w:hint="eastAsia" w:ascii="仿宋_GB2312" w:eastAsia="仿宋_GB2312"/>
          <w:kern w:val="0"/>
          <w:sz w:val="32"/>
          <w:szCs w:val="32"/>
        </w:rPr>
        <w:t>232.54</w:t>
      </w:r>
      <w:r>
        <w:rPr>
          <w:rFonts w:hint="eastAsia" w:ascii="仿宋_GB2312" w:eastAsia="仿宋_GB2312" w:cs="仿宋_GB2312"/>
          <w:kern w:val="0"/>
          <w:sz w:val="32"/>
          <w:szCs w:val="32"/>
        </w:rPr>
        <w:t>万元，其中本年支出165.03万元,较</w:t>
      </w:r>
      <w:r>
        <w:rPr>
          <w:rFonts w:hint="eastAsia" w:ascii="仿宋_GB2312" w:hAnsi="黑体" w:eastAsia="仿宋_GB2312" w:cs="仿宋_GB2312"/>
          <w:kern w:val="0"/>
          <w:sz w:val="32"/>
          <w:szCs w:val="32"/>
        </w:rPr>
        <w:t>2020年度决算数减少446.54万元，下降65.76%。</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rPr>
        <w:t xml:space="preserve"> </w:t>
      </w:r>
      <w:r>
        <w:rPr>
          <w:rFonts w:hint="eastAsia" w:ascii="仿宋_GB2312" w:eastAsia="仿宋_GB2312" w:cs="仿宋_GB2312"/>
          <w:kern w:val="0"/>
          <w:sz w:val="32"/>
          <w:szCs w:val="32"/>
        </w:rPr>
        <w:t>社会保障和就业支出</w:t>
      </w:r>
      <w:r>
        <w:rPr>
          <w:rFonts w:hint="eastAsia" w:ascii="仿宋_GB2312" w:eastAsia="仿宋_GB2312"/>
          <w:kern w:val="0"/>
          <w:sz w:val="32"/>
          <w:szCs w:val="32"/>
        </w:rPr>
        <w:t>37.05</w:t>
      </w:r>
      <w:r>
        <w:rPr>
          <w:rFonts w:hint="eastAsia" w:ascii="仿宋_GB2312" w:eastAsia="仿宋_GB2312" w:cs="仿宋_GB2312"/>
          <w:kern w:val="0"/>
          <w:sz w:val="32"/>
          <w:szCs w:val="32"/>
        </w:rPr>
        <w:t>万元：主要用于事业单位离退休、机关事业单位基本养老保险缴费支出、机关事业单位职业年金缴费支出等。</w:t>
      </w:r>
      <w:r>
        <w:rPr>
          <w:rFonts w:hint="eastAsia" w:ascii="仿宋_GB2312" w:hAnsi="黑体" w:eastAsia="仿宋_GB2312" w:cs="仿宋_GB2312"/>
          <w:kern w:val="0"/>
          <w:sz w:val="32"/>
          <w:szCs w:val="32"/>
        </w:rPr>
        <w:t>较2020年度决算数增加15.86万元，增长74.85%，主要原因是：</w:t>
      </w:r>
      <w:r>
        <w:rPr>
          <w:rStyle w:val="12"/>
          <w:rFonts w:hint="eastAsia" w:ascii="仿宋_GB2312" w:eastAsia="仿宋_GB2312"/>
          <w:b w:val="0"/>
        </w:rPr>
        <w:t>社保基数调整及事</w:t>
      </w:r>
      <w:r>
        <w:rPr>
          <w:rFonts w:hint="eastAsia" w:ascii="仿宋_GB2312" w:hAnsi="黑体" w:eastAsia="仿宋_GB2312" w:cs="仿宋_GB2312"/>
          <w:kern w:val="0"/>
          <w:sz w:val="32"/>
          <w:szCs w:val="32"/>
        </w:rPr>
        <w:t>业单位绩效工资总量补差资金支出增加。</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2. 卫生健康支出8.21万元：主要用于事业单位医疗等。较2020年度决算数增加4.45万元，增长118.35%，主要原因是：社保基数调整及事业单位绩效工资总量补差资金支出增加</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3．农林水支出105.43万元：主要用于工资福利支出、商品和服务支出等。较2020年度决算数增加34.22万元，增长48.06%，主要原因是：事业单位绩效工资总量补差资金支出增加。</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4.住房保障支出12.55万元：主要用于住房公积金。较2020年度决算数增加6.13万元，增长95.48%，主要原因是：事业单位绩效工资总量补差资金支出增加。</w:t>
      </w:r>
    </w:p>
    <w:p>
      <w:pPr>
        <w:autoSpaceDE w:val="0"/>
        <w:autoSpaceDN w:val="0"/>
        <w:adjustRightInd w:val="0"/>
        <w:spacing w:line="560" w:lineRule="exact"/>
        <w:ind w:firstLine="640" w:firstLineChars="200"/>
        <w:jc w:val="left"/>
        <w:rPr>
          <w:rStyle w:val="9"/>
          <w:rFonts w:ascii="仿宋_GB2312" w:eastAsia="仿宋_GB2312"/>
          <w:sz w:val="32"/>
          <w:szCs w:val="32"/>
        </w:rPr>
      </w:pPr>
      <w:r>
        <w:rPr>
          <w:rStyle w:val="9"/>
          <w:rFonts w:hint="eastAsia" w:ascii="仿宋_GB2312" w:eastAsia="仿宋_GB2312"/>
          <w:sz w:val="32"/>
          <w:szCs w:val="32"/>
        </w:rPr>
        <w:t>5.其他支出1.78万元：主要用于河长差旅、宣传等工作经费。较2020年度决算数减少481.08万元，减少99.63%，主要原因是：项目资金其他支出减少。</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6.结余分配0万元，为事业单位按规定提取的职工福利基金、事业基金和缴纳的所得税等。较2020年度决算数增加（减少）0万元，增长（下降）0%。主要原因：无此项收入或支出，故没有变动。</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7.年末结转和结余67.52万元，为本年度或以前年度</w:t>
      </w:r>
    </w:p>
    <w:p>
      <w:pPr>
        <w:autoSpaceDE w:val="0"/>
        <w:autoSpaceDN w:val="0"/>
        <w:adjustRightInd w:val="0"/>
        <w:spacing w:line="560" w:lineRule="exact"/>
        <w:jc w:val="left"/>
        <w:rPr>
          <w:rStyle w:val="9"/>
          <w:rFonts w:ascii="仿宋_GB2312" w:eastAsia="仿宋_GB2312"/>
          <w:sz w:val="32"/>
          <w:szCs w:val="32"/>
        </w:rPr>
      </w:pPr>
      <w:r>
        <w:rPr>
          <w:rStyle w:val="9"/>
          <w:rFonts w:hint="eastAsia" w:ascii="仿宋_GB2312" w:eastAsia="仿宋_GB2312"/>
          <w:sz w:val="32"/>
          <w:szCs w:val="32"/>
        </w:rPr>
        <w:t>预算安排、因客观条件发生变化无法按原计划实施，需要延迟到以后年度按有关规定继续使用的资金。较2020年度决算数减少185.02万元，下降27.89%，主要原因是：2021年加紧推进项目实施，执行率提高，年末结转结余减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 xml:space="preserve">2021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163.25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较2020年度决算数增加60.63万元，增长59.08%。</w:t>
      </w:r>
      <w:r>
        <w:rPr>
          <w:rFonts w:hint="eastAsia" w:ascii="仿宋_GB2312" w:eastAsia="仿宋_GB2312" w:cs="仿宋_GB2312"/>
          <w:kern w:val="0"/>
          <w:sz w:val="32"/>
          <w:szCs w:val="32"/>
        </w:rPr>
        <w:t>其中：基本支出</w:t>
      </w:r>
      <w:r>
        <w:rPr>
          <w:rFonts w:ascii="仿宋_GB2312" w:eastAsia="仿宋_GB2312"/>
          <w:kern w:val="0"/>
          <w:sz w:val="32"/>
          <w:szCs w:val="32"/>
        </w:rPr>
        <w:t>140.37</w:t>
      </w:r>
      <w:r>
        <w:rPr>
          <w:rFonts w:hint="eastAsia" w:ascii="仿宋_GB2312" w:eastAsia="仿宋_GB2312" w:cs="仿宋_GB2312"/>
          <w:kern w:val="0"/>
          <w:sz w:val="32"/>
          <w:szCs w:val="32"/>
        </w:rPr>
        <w:t>万元，项目支出</w:t>
      </w:r>
      <w:r>
        <w:rPr>
          <w:rFonts w:ascii="仿宋_GB2312" w:eastAsia="仿宋_GB2312"/>
          <w:kern w:val="0"/>
          <w:sz w:val="32"/>
          <w:szCs w:val="32"/>
        </w:rPr>
        <w:t>22.88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ascii="仿宋_GB2312" w:hAnsi="黑体" w:eastAsia="仿宋_GB2312" w:cs="仿宋_GB2312"/>
          <w:kern w:val="0"/>
          <w:sz w:val="32"/>
          <w:szCs w:val="32"/>
        </w:rPr>
        <w:t>134.42</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rPr>
        <w:t>163.25</w:t>
      </w:r>
      <w:r>
        <w:rPr>
          <w:rFonts w:hint="eastAsia" w:ascii="仿宋_GB2312" w:hAnsi="黑体" w:eastAsia="仿宋_GB2312" w:cs="仿宋_GB2312"/>
          <w:kern w:val="0"/>
          <w:sz w:val="32"/>
          <w:szCs w:val="32"/>
        </w:rPr>
        <w:t>万元，完成年初预算的121.45%。其中：</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一）社会保障和就业支出（类）行政事业单位养老支出（款）事业单位离退休（项）。年初预算为10.65万元，支出决算为11.95万元，完成年初预算的112.21%。主要原因：社保基数调整及事业单位绩效工资总量补差资金支出增加。</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（二）社会保障和就业支出（类）行政事业单位养老支出（款）机关事业单位基本养老保险缴费支出（项）。年初预算为10.90 万元，支出决算为16.74 万元，完成年初预算的153.58%。主要原因：社保基数调整及事业单位绩效工资总量补差资金支出增加。</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三）社会保障和就业支出（类）行政事业单位养老支出（款）机关事业单位职业年金缴费支出（项）。年初预算为5.45万元，支出决算为8.37万元，完成年初预算的153.58%。主要原因：社保基数调整及事业单位绩效工资总量补差资金支出增加。</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（四）卫生健康支出（类）行政事业单位医疗（款）事业单位医疗（项）。年初预算为5.36万元，支出决算为8.21万元，完成年初预算的153.17%。主要原因：社保基数调整及事业单位绩效工资总量补差资金支出增加。</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（五）农林水支出（类）水利（款）水利工程运行与维护（项）。年初预算为81.89万元，支出决算为81.95万元，完成年初预算的100.07%。主要原因：社保基数调整及事业单位绩效工资总量补差资金支出增加。</w:t>
      </w:r>
    </w:p>
    <w:p>
      <w:pPr>
        <w:ind w:firstLine="640" w:firstLineChars="200"/>
        <w:jc w:val="left"/>
        <w:rPr>
          <w:rStyle w:val="9"/>
          <w:rFonts w:ascii="仿宋_GB2312" w:eastAsia="仿宋_GB2312"/>
          <w:sz w:val="32"/>
          <w:szCs w:val="32"/>
        </w:rPr>
      </w:pPr>
      <w:r>
        <w:rPr>
          <w:rStyle w:val="9"/>
          <w:rFonts w:hint="eastAsia" w:ascii="仿宋_GB2312" w:eastAsia="仿宋_GB2312"/>
          <w:sz w:val="32"/>
          <w:szCs w:val="32"/>
        </w:rPr>
        <w:t>（六）农林水支出（类）水利（款）江河湖库水系综合整治（项）。年初预算为12万元，支出决算为9.04万元，完成年初预算的75.33%。主要原因: 项目已完成，支付未完成。</w:t>
      </w:r>
    </w:p>
    <w:p>
      <w:pPr>
        <w:ind w:firstLine="640" w:firstLineChars="200"/>
        <w:jc w:val="left"/>
        <w:rPr>
          <w:rStyle w:val="9"/>
          <w:rFonts w:ascii="仿宋_GB2312" w:eastAsia="仿宋_GB2312"/>
          <w:sz w:val="32"/>
          <w:szCs w:val="32"/>
        </w:rPr>
      </w:pPr>
      <w:r>
        <w:rPr>
          <w:rStyle w:val="9"/>
          <w:rFonts w:hint="eastAsia" w:ascii="仿宋_GB2312" w:eastAsia="仿宋_GB2312"/>
          <w:sz w:val="32"/>
          <w:szCs w:val="32"/>
        </w:rPr>
        <w:t>（七）农林水支出（类）水利（款）信息管理（项）。年初预算为0万元，支出决算为8万元，完成年初预算的100%。主要原因：年中追加预算内控系统建设费。</w:t>
      </w:r>
    </w:p>
    <w:p>
      <w:pPr>
        <w:ind w:firstLine="640" w:firstLineChars="200"/>
        <w:jc w:val="left"/>
        <w:rPr>
          <w:rStyle w:val="9"/>
          <w:rFonts w:ascii="仿宋_GB2312" w:eastAsia="仿宋_GB2312"/>
          <w:sz w:val="32"/>
          <w:szCs w:val="32"/>
        </w:rPr>
      </w:pPr>
      <w:r>
        <w:rPr>
          <w:rStyle w:val="9"/>
          <w:rFonts w:hint="eastAsia" w:ascii="仿宋_GB2312" w:eastAsia="仿宋_GB2312"/>
          <w:sz w:val="32"/>
          <w:szCs w:val="32"/>
        </w:rPr>
        <w:t>（八）农林水支出（类）水利（款）其他水利支出（项）。年初预算为0万元，支出决算为6.44万元，完成年初预算的100%。主要原因:年中追加预算河长制工作业务培训费。</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（九）住房保障支出（类）住房改革支出（款）住房公积金（项）。年初预算为8.17万元，支出决算为12.55万元，完成年初预算的153.61%。主要原因：事业单位绩效工资总量补差资金支出增加。</w:t>
      </w:r>
    </w:p>
    <w:p>
      <w:pPr>
        <w:autoSpaceDE w:val="0"/>
        <w:autoSpaceDN w:val="0"/>
        <w:adjustRightInd w:val="0"/>
        <w:spacing w:line="560" w:lineRule="exact"/>
        <w:ind w:firstLine="643" w:firstLineChars="200"/>
        <w:jc w:val="left"/>
        <w:rPr>
          <w:rStyle w:val="9"/>
          <w:rFonts w:ascii="仿宋_GB2312" w:eastAsia="仿宋_GB2312"/>
          <w:b/>
          <w:sz w:val="32"/>
          <w:szCs w:val="32"/>
        </w:rPr>
      </w:pPr>
      <w:r>
        <w:rPr>
          <w:rStyle w:val="9"/>
          <w:rFonts w:hint="eastAsia" w:ascii="仿宋_GB2312" w:eastAsia="仿宋_GB2312"/>
          <w:b/>
          <w:sz w:val="32"/>
          <w:szCs w:val="32"/>
        </w:rPr>
        <w:t>三、2021年度一般公共预算财政拨款基本支出决算情况说明</w:t>
      </w:r>
    </w:p>
    <w:p>
      <w:pPr>
        <w:autoSpaceDE w:val="0"/>
        <w:autoSpaceDN w:val="0"/>
        <w:adjustRightInd w:val="0"/>
        <w:spacing w:line="560" w:lineRule="exact"/>
        <w:ind w:firstLine="640" w:firstLineChars="200"/>
        <w:jc w:val="left"/>
        <w:rPr>
          <w:rStyle w:val="9"/>
          <w:rFonts w:ascii="仿宋_GB2312" w:eastAsia="仿宋_GB2312"/>
          <w:sz w:val="32"/>
          <w:szCs w:val="32"/>
        </w:rPr>
      </w:pPr>
      <w:r>
        <w:rPr>
          <w:rStyle w:val="9"/>
          <w:rFonts w:hint="eastAsia" w:ascii="仿宋_GB2312" w:eastAsia="仿宋_GB2312"/>
          <w:sz w:val="32"/>
          <w:szCs w:val="32"/>
        </w:rPr>
        <w:t>本单位2021年度一般公共预算财政拨款基本支出140.37万元，支出具体情况如下：</w:t>
      </w:r>
    </w:p>
    <w:p>
      <w:pPr>
        <w:autoSpaceDE w:val="0"/>
        <w:autoSpaceDN w:val="0"/>
        <w:adjustRightInd w:val="0"/>
        <w:spacing w:line="560" w:lineRule="exact"/>
        <w:ind w:firstLine="627" w:firstLineChars="196"/>
        <w:jc w:val="left"/>
        <w:rPr>
          <w:rStyle w:val="9"/>
          <w:rFonts w:ascii="仿宋_GB2312" w:eastAsia="仿宋_GB2312"/>
          <w:sz w:val="32"/>
          <w:szCs w:val="32"/>
        </w:rPr>
      </w:pPr>
      <w:r>
        <w:rPr>
          <w:rStyle w:val="9"/>
          <w:rFonts w:hint="eastAsia" w:ascii="仿宋_GB2312" w:eastAsia="仿宋_GB2312"/>
          <w:sz w:val="32"/>
          <w:szCs w:val="32"/>
        </w:rPr>
        <w:t>（一）工资福利支出121.91万元，完成年初预算的121.34%。预决算差异主要原因：社保基数调整及事业单位绩效工资总量补差资金支出增加。</w:t>
      </w:r>
    </w:p>
    <w:p>
      <w:pPr>
        <w:autoSpaceDE w:val="0"/>
        <w:autoSpaceDN w:val="0"/>
        <w:adjustRightInd w:val="0"/>
        <w:spacing w:line="560" w:lineRule="exact"/>
        <w:ind w:firstLine="640" w:firstLineChars="200"/>
        <w:jc w:val="left"/>
        <w:rPr>
          <w:rStyle w:val="9"/>
          <w:rFonts w:ascii="仿宋_GB2312" w:eastAsia="仿宋_GB2312"/>
          <w:sz w:val="32"/>
          <w:szCs w:val="32"/>
        </w:rPr>
      </w:pPr>
      <w:r>
        <w:rPr>
          <w:rStyle w:val="9"/>
          <w:rFonts w:hint="eastAsia" w:ascii="仿宋_GB2312" w:eastAsia="仿宋_GB2312"/>
          <w:sz w:val="32"/>
          <w:szCs w:val="32"/>
        </w:rPr>
        <w:t>（二）商品和服务支出8.11万元，完成年初预算的63.71%。预决算差异主要原因：压减了“三公”经费、办公费等运行成本开支，实际支出减少。</w:t>
      </w:r>
    </w:p>
    <w:p>
      <w:pPr>
        <w:autoSpaceDE w:val="0"/>
        <w:autoSpaceDN w:val="0"/>
        <w:adjustRightInd w:val="0"/>
        <w:spacing w:line="560" w:lineRule="exact"/>
        <w:ind w:firstLine="640" w:firstLineChars="200"/>
        <w:jc w:val="left"/>
        <w:rPr>
          <w:rStyle w:val="9"/>
          <w:rFonts w:ascii="仿宋_GB2312" w:eastAsia="仿宋_GB2312"/>
          <w:sz w:val="32"/>
          <w:szCs w:val="32"/>
        </w:rPr>
      </w:pPr>
      <w:r>
        <w:rPr>
          <w:rStyle w:val="9"/>
          <w:rFonts w:hint="eastAsia" w:ascii="仿宋_GB2312" w:eastAsia="仿宋_GB2312"/>
          <w:sz w:val="32"/>
          <w:szCs w:val="32"/>
        </w:rPr>
        <w:t>（三）对个人和家庭的补助10.35万元，完成年初预算的112.26%。预决算差异主要原因：退休干部春节慰问金补差。</w:t>
      </w:r>
    </w:p>
    <w:p>
      <w:pPr>
        <w:autoSpaceDE w:val="0"/>
        <w:autoSpaceDN w:val="0"/>
        <w:adjustRightInd w:val="0"/>
        <w:spacing w:line="560" w:lineRule="exact"/>
        <w:ind w:firstLine="640" w:firstLineChars="200"/>
        <w:jc w:val="left"/>
        <w:rPr>
          <w:rStyle w:val="9"/>
          <w:rFonts w:ascii="仿宋_GB2312" w:eastAsia="仿宋_GB2312"/>
          <w:sz w:val="32"/>
          <w:szCs w:val="32"/>
        </w:rPr>
      </w:pP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sz w:val="32"/>
          <w:szCs w:val="32"/>
        </w:rPr>
        <w:t>柳州市河长制工作促进中心</w:t>
      </w:r>
      <w:r>
        <w:rPr>
          <w:rFonts w:hint="eastAsia" w:ascii="仿宋_GB2312" w:eastAsia="仿宋_GB2312" w:cs="仿宋_GB2312"/>
          <w:bCs/>
          <w:kern w:val="0"/>
          <w:sz w:val="32"/>
          <w:szCs w:val="32"/>
        </w:rPr>
        <w:t>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sz w:val="32"/>
          <w:szCs w:val="32"/>
        </w:rPr>
        <w:t>柳州市河长制工作促进中心</w:t>
      </w:r>
      <w:r>
        <w:rPr>
          <w:rFonts w:hint="eastAsia" w:ascii="仿宋_GB2312" w:eastAsia="仿宋_GB2312" w:cs="仿宋_GB2312"/>
          <w:bCs/>
          <w:kern w:val="0"/>
          <w:sz w:val="32"/>
          <w:szCs w:val="32"/>
        </w:rPr>
        <w:t>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w:t>
      </w:r>
      <w:r>
        <w:rPr>
          <w:rFonts w:hint="eastAsia" w:ascii="仿宋_GB2312" w:eastAsia="仿宋_GB2312"/>
          <w:kern w:val="0"/>
          <w:sz w:val="32"/>
          <w:szCs w:val="32"/>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kern w:val="0"/>
          <w:sz w:val="32"/>
          <w:szCs w:val="32"/>
        </w:rPr>
        <w:t>国有资本经营预算财政拨款安排</w:t>
      </w:r>
      <w:r>
        <w:rPr>
          <w:rFonts w:hint="eastAsia" w:ascii="仿宋_GB2312" w:eastAsia="仿宋_GB2312" w:cs="仿宋_GB2312"/>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0.05万元，完成年初预算的20%，比上年减少0.12万元，主要原因是公务接待费支出减少。其中：因公出国（境）费支出决算0万元，公务用车购置及运行费支出决算0万元，公务接待费支出决算0.05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（一）因公出国（境）费支出0万元，完成年初预算的0%，比上年增减（减少）0万元，无因公出国（境）费支出。全年使用财政拨款安排</w:t>
      </w:r>
      <w:r>
        <w:rPr>
          <w:rFonts w:hint="eastAsia" w:ascii="仿宋_GB2312" w:hAnsi="黑体" w:eastAsia="仿宋_GB2312"/>
          <w:bCs/>
          <w:color w:val="000000"/>
          <w:sz w:val="32"/>
          <w:szCs w:val="32"/>
        </w:rPr>
        <w:t>0个机关、0个所属单位出国团组0个，参加其他单位组织的出国团组0个，全年因公出国（境）团组共计0个，累计0人次。</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（二）公务用车购置及运行费支出0万元。其中：公务用车购置支出0万元，完成年初预算的0%，比上年增加（减少）0万元，无公务用车购置及运行费支出。购置了0辆公务用车。</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公务用车运行支出0万元，完成年初预算的0%，比上年增加（减少）0万元。主要用于机要文件交换、市内因公出行以及开展业务所需车辆燃料费、维修费、过路过桥费、保险费等。2021年，</w:t>
      </w:r>
      <w:r>
        <w:rPr>
          <w:rFonts w:hint="eastAsia" w:ascii="仿宋_GB2312" w:hAnsi="黑体" w:eastAsia="仿宋_GB2312"/>
          <w:bCs/>
          <w:color w:val="000000"/>
          <w:sz w:val="32"/>
          <w:szCs w:val="32"/>
        </w:rPr>
        <w:t>0个所属单位开支财政拨款的公务用车保有量为0辆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全年运行费支出0万元，平均每辆0万元。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（三）公务接待费支出0.05万元，完成年初预算的20%，比上年减少0.12万元，原因是公务接待费支出减少。国内公务接待批次1次，人次4次，国（境）外公务接待批次0次，人次0次。</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本单位为事业单位无机关运行经费支出。</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0.49万元，其中：政府采购货物支出0.49万元、政府采购工程支出0万元、政府采购服务支出0万元。授予中小企业合同金额0.49万元，占政府采购支出总额的100%，其中：授予小微企业合同金额0.49万元，占政府采购支出总额的100%。</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截至2021年12月31日，本单位共有车辆0辆，其中：公务用车0辆；执法执勤用车0辆；专业技术用车0辆；其他用车0辆；单价50万元以上通用设备0台（套），单价100 万元以上专用设备0台（套）。 </w:t>
      </w:r>
    </w:p>
    <w:p>
      <w:pPr>
        <w:autoSpaceDE w:val="0"/>
        <w:autoSpaceDN w:val="0"/>
        <w:adjustRightInd w:val="0"/>
        <w:spacing w:line="560" w:lineRule="exact"/>
        <w:ind w:firstLine="640" w:firstLineChars="200"/>
        <w:jc w:val="left"/>
        <w:rPr>
          <w:rFonts w:ascii="楷体_GB2312" w:eastAsia="楷体_GB2312" w:cs="仿宋_GB2312"/>
          <w:color w:val="000000" w:themeColor="text1"/>
          <w:kern w:val="0"/>
          <w:sz w:val="32"/>
          <w:szCs w:val="32"/>
        </w:rPr>
      </w:pPr>
      <w:r>
        <w:rPr>
          <w:rFonts w:hint="eastAsia" w:ascii="楷体_GB2312" w:eastAsia="楷体_GB2312" w:cs="仿宋_GB2312"/>
          <w:color w:val="000000" w:themeColor="text1"/>
          <w:kern w:val="0"/>
          <w:sz w:val="32"/>
          <w:szCs w:val="32"/>
        </w:rPr>
        <w:t>（四）预算绩效管理工作开展情况。</w:t>
      </w:r>
    </w:p>
    <w:p>
      <w:pPr>
        <w:autoSpaceDE w:val="0"/>
        <w:autoSpaceDN w:val="0"/>
        <w:adjustRightInd w:val="0"/>
        <w:spacing w:line="560" w:lineRule="exact"/>
        <w:ind w:firstLine="800" w:firstLineChars="25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根据财政预算管理要求，我单位组织对2021年度一般公共预算整体支出全面开展绩效自评。</w:t>
      </w:r>
    </w:p>
    <w:p>
      <w:pPr>
        <w:autoSpaceDE w:val="0"/>
        <w:autoSpaceDN w:val="0"/>
        <w:adjustRightInd w:val="0"/>
        <w:spacing w:line="580" w:lineRule="exact"/>
        <w:ind w:firstLine="800" w:firstLineChars="250"/>
        <w:jc w:val="left"/>
        <w:rPr>
          <w:rFonts w:ascii="仿宋_GB2312" w:eastAsia="仿宋_GB2312" w:cs="仿宋_GB2312"/>
          <w:b/>
          <w:color w:val="000000" w:themeColor="text1"/>
          <w:kern w:val="0"/>
          <w:sz w:val="32"/>
          <w:szCs w:val="32"/>
        </w:rPr>
      </w:pPr>
      <w:r>
        <w:rPr>
          <w:rFonts w:hint="eastAsia" w:ascii="仿宋_GB2312" w:eastAsia="仿宋_GB2312" w:cs="仿宋_GB2312"/>
          <w:color w:val="000000" w:themeColor="text1"/>
          <w:kern w:val="0"/>
          <w:sz w:val="32"/>
          <w:szCs w:val="32"/>
        </w:rPr>
        <w:t>2.单位决算中整体支出绩效自评结果。</w:t>
      </w:r>
    </w:p>
    <w:p>
      <w:pPr>
        <w:autoSpaceDE w:val="0"/>
        <w:autoSpaceDN w:val="0"/>
        <w:adjustRightInd w:val="0"/>
        <w:spacing w:line="580" w:lineRule="exact"/>
        <w:ind w:firstLine="640" w:firstLineChars="200"/>
        <w:jc w:val="left"/>
        <w:rPr>
          <w:rFonts w:hint="eastAsia"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2021年度我单位单位整体支出绩效自评综合得分98.61分，自评结果为“优”。</w:t>
      </w:r>
    </w:p>
    <w:p>
      <w:pPr>
        <w:autoSpaceDE w:val="0"/>
        <w:autoSpaceDN w:val="0"/>
        <w:adjustRightInd w:val="0"/>
        <w:spacing w:line="580" w:lineRule="exact"/>
        <w:ind w:firstLine="640" w:firstLineChars="200"/>
        <w:jc w:val="left"/>
        <w:rPr>
          <w:rFonts w:hint="eastAsia"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（此部分另附表格，附件3：2021年度市本级预算</w:t>
      </w:r>
      <w:bookmarkStart w:id="0" w:name="_GoBack"/>
      <w:bookmarkEnd w:id="0"/>
      <w:r>
        <w:rPr>
          <w:rFonts w:hint="eastAsia" w:ascii="仿宋_GB2312" w:eastAsia="仿宋_GB2312" w:cs="仿宋_GB2312"/>
          <w:color w:val="000000" w:themeColor="text1"/>
          <w:kern w:val="0"/>
          <w:sz w:val="32"/>
          <w:szCs w:val="32"/>
        </w:rPr>
        <w:t>单位整体支出绩效自评表-柳州市河长制工作促进中心）</w:t>
      </w:r>
    </w:p>
    <w:p>
      <w:pPr>
        <w:autoSpaceDE w:val="0"/>
        <w:autoSpaceDN w:val="0"/>
        <w:adjustRightInd w:val="0"/>
        <w:spacing w:line="580" w:lineRule="exact"/>
        <w:ind w:firstLine="640" w:firstLineChars="200"/>
        <w:jc w:val="left"/>
        <w:rPr>
          <w:rFonts w:ascii="仿宋_GB2312" w:eastAsia="仿宋_GB2312" w:cs="仿宋_GB2312"/>
          <w:color w:val="000000" w:themeColor="text1"/>
          <w:kern w:val="0"/>
          <w:sz w:val="32"/>
          <w:szCs w:val="32"/>
        </w:rPr>
      </w:pPr>
    </w:p>
    <w:p>
      <w:pPr>
        <w:autoSpaceDE w:val="0"/>
        <w:autoSpaceDN w:val="0"/>
        <w:adjustRightInd w:val="0"/>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一、财政拨款收入：指柳州市财政单位当年拨付的资金。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p/>
    <w:p/>
    <w:p/>
    <w:p/>
    <w:p/>
    <w:p/>
    <w:p/>
    <w:p/>
    <w:p/>
    <w:p/>
    <w:p/>
    <w:p/>
    <w:p/>
    <w:p/>
    <w:p/>
    <w:p/>
    <w:p/>
    <w:p/>
    <w:p/>
    <w:p/>
    <w:p/>
    <w:p/>
    <w:p/>
    <w:p/>
    <w:p/>
    <w:p/>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- 10 -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xMzFlZWQ3MjU3YWU1MWM3ZmY1YTlkNmE3NjQxZGMifQ=="/>
  </w:docVars>
  <w:rsids>
    <w:rsidRoot w:val="00E14576"/>
    <w:rsid w:val="00015412"/>
    <w:rsid w:val="00025946"/>
    <w:rsid w:val="00043247"/>
    <w:rsid w:val="0005247E"/>
    <w:rsid w:val="0005332D"/>
    <w:rsid w:val="00093328"/>
    <w:rsid w:val="000D5DC9"/>
    <w:rsid w:val="001D78B2"/>
    <w:rsid w:val="001E72C4"/>
    <w:rsid w:val="00222C1D"/>
    <w:rsid w:val="00223D54"/>
    <w:rsid w:val="0024680C"/>
    <w:rsid w:val="00271907"/>
    <w:rsid w:val="00282363"/>
    <w:rsid w:val="002A1628"/>
    <w:rsid w:val="002A71D5"/>
    <w:rsid w:val="002B69D0"/>
    <w:rsid w:val="002D0610"/>
    <w:rsid w:val="002E1C43"/>
    <w:rsid w:val="00314A53"/>
    <w:rsid w:val="00323366"/>
    <w:rsid w:val="003432E3"/>
    <w:rsid w:val="00354672"/>
    <w:rsid w:val="00365ABA"/>
    <w:rsid w:val="003D6AE4"/>
    <w:rsid w:val="003D6ECB"/>
    <w:rsid w:val="00447377"/>
    <w:rsid w:val="00455BD3"/>
    <w:rsid w:val="00476869"/>
    <w:rsid w:val="00486283"/>
    <w:rsid w:val="00490322"/>
    <w:rsid w:val="004913E1"/>
    <w:rsid w:val="004B5FB2"/>
    <w:rsid w:val="004C4157"/>
    <w:rsid w:val="004F14A5"/>
    <w:rsid w:val="00512DFD"/>
    <w:rsid w:val="00514115"/>
    <w:rsid w:val="00530B2B"/>
    <w:rsid w:val="005406D2"/>
    <w:rsid w:val="00567226"/>
    <w:rsid w:val="005A205B"/>
    <w:rsid w:val="005D10BC"/>
    <w:rsid w:val="005E4987"/>
    <w:rsid w:val="00612B00"/>
    <w:rsid w:val="00614A6E"/>
    <w:rsid w:val="00667346"/>
    <w:rsid w:val="0067507E"/>
    <w:rsid w:val="006874A1"/>
    <w:rsid w:val="006B10AC"/>
    <w:rsid w:val="006C201F"/>
    <w:rsid w:val="006E3AAB"/>
    <w:rsid w:val="006E7E91"/>
    <w:rsid w:val="006F6A72"/>
    <w:rsid w:val="007377E1"/>
    <w:rsid w:val="007517D6"/>
    <w:rsid w:val="0075662C"/>
    <w:rsid w:val="00762140"/>
    <w:rsid w:val="007873D6"/>
    <w:rsid w:val="007C3C4A"/>
    <w:rsid w:val="007D33F9"/>
    <w:rsid w:val="007E05BE"/>
    <w:rsid w:val="007E2BFF"/>
    <w:rsid w:val="00804C9A"/>
    <w:rsid w:val="008114F8"/>
    <w:rsid w:val="00811F7F"/>
    <w:rsid w:val="00812C37"/>
    <w:rsid w:val="00840123"/>
    <w:rsid w:val="008818C1"/>
    <w:rsid w:val="00882F52"/>
    <w:rsid w:val="00885280"/>
    <w:rsid w:val="008A14C0"/>
    <w:rsid w:val="008E001E"/>
    <w:rsid w:val="00925868"/>
    <w:rsid w:val="00942067"/>
    <w:rsid w:val="00951C60"/>
    <w:rsid w:val="00960CD6"/>
    <w:rsid w:val="00990657"/>
    <w:rsid w:val="0099218A"/>
    <w:rsid w:val="009A52AA"/>
    <w:rsid w:val="009F1A46"/>
    <w:rsid w:val="00A1735E"/>
    <w:rsid w:val="00A200D7"/>
    <w:rsid w:val="00A348DC"/>
    <w:rsid w:val="00A67C98"/>
    <w:rsid w:val="00A72F9A"/>
    <w:rsid w:val="00A8118F"/>
    <w:rsid w:val="00A906E3"/>
    <w:rsid w:val="00B61E21"/>
    <w:rsid w:val="00B90E29"/>
    <w:rsid w:val="00BC7319"/>
    <w:rsid w:val="00C44BAA"/>
    <w:rsid w:val="00C52B53"/>
    <w:rsid w:val="00C5403A"/>
    <w:rsid w:val="00C77409"/>
    <w:rsid w:val="00C809B4"/>
    <w:rsid w:val="00CA640F"/>
    <w:rsid w:val="00CE6839"/>
    <w:rsid w:val="00D0139E"/>
    <w:rsid w:val="00D41D48"/>
    <w:rsid w:val="00D43BC6"/>
    <w:rsid w:val="00D57ED9"/>
    <w:rsid w:val="00D83420"/>
    <w:rsid w:val="00D95CF1"/>
    <w:rsid w:val="00DB23B4"/>
    <w:rsid w:val="00DC2C72"/>
    <w:rsid w:val="00E14576"/>
    <w:rsid w:val="00E73192"/>
    <w:rsid w:val="00E863B9"/>
    <w:rsid w:val="00EB2F36"/>
    <w:rsid w:val="00ED6181"/>
    <w:rsid w:val="00EE18B7"/>
    <w:rsid w:val="00F040FD"/>
    <w:rsid w:val="00F1527A"/>
    <w:rsid w:val="00F23E22"/>
    <w:rsid w:val="00F65E14"/>
    <w:rsid w:val="00F91305"/>
    <w:rsid w:val="00F94C42"/>
    <w:rsid w:val="00F96010"/>
    <w:rsid w:val="00FD71F8"/>
    <w:rsid w:val="1094749D"/>
    <w:rsid w:val="38417948"/>
    <w:rsid w:val="67482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character" w:styleId="9">
    <w:name w:val="page number"/>
    <w:basedOn w:val="8"/>
    <w:qFormat/>
    <w:uiPriority w:val="0"/>
  </w:style>
  <w:style w:type="character" w:customStyle="1" w:styleId="10">
    <w:name w:val="页脚 Char"/>
    <w:basedOn w:val="8"/>
    <w:link w:val="3"/>
    <w:qFormat/>
    <w:uiPriority w:val="0"/>
    <w:rPr>
      <w:rFonts w:ascii="Times New Roman" w:hAnsi="Times New Roman" w:eastAsia="宋体" w:cs="Times New Roman"/>
      <w:sz w:val="18"/>
      <w:szCs w:val="18"/>
    </w:rPr>
  </w:style>
  <w:style w:type="character" w:customStyle="1" w:styleId="11">
    <w:name w:val="副标题 Char"/>
    <w:basedOn w:val="8"/>
    <w:link w:val="5"/>
    <w:qFormat/>
    <w:uiPriority w:val="11"/>
    <w:rPr>
      <w:rFonts w:eastAsia="宋体" w:asciiTheme="majorHAnsi" w:hAnsiTheme="majorHAnsi" w:cstheme="majorBidi"/>
      <w:b/>
      <w:bCs/>
      <w:kern w:val="28"/>
      <w:sz w:val="32"/>
      <w:szCs w:val="32"/>
    </w:rPr>
  </w:style>
  <w:style w:type="character" w:customStyle="1" w:styleId="12">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3">
    <w:name w:val="标题 Char"/>
    <w:basedOn w:val="8"/>
    <w:link w:val="6"/>
    <w:qFormat/>
    <w:uiPriority w:val="10"/>
    <w:rPr>
      <w:rFonts w:eastAsia="宋体" w:asciiTheme="majorHAnsi" w:hAnsiTheme="majorHAnsi" w:cstheme="majorBidi"/>
      <w:b/>
      <w:bCs/>
      <w:sz w:val="32"/>
      <w:szCs w:val="32"/>
    </w:rPr>
  </w:style>
  <w:style w:type="character" w:customStyle="1" w:styleId="14">
    <w:name w:val="页眉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855987-000F-4D2A-8B25-E5B687C6B041}">
  <ds:schemaRefs/>
</ds:datastoreItem>
</file>

<file path=docProps/app.xml><?xml version="1.0" encoding="utf-8"?>
<Properties xmlns="http://schemas.openxmlformats.org/officeDocument/2006/extended-properties" xmlns:vt="http://schemas.openxmlformats.org/officeDocument/2006/docPropsVTypes">
  <Template>Normal</Template>
  <Pages>16</Pages>
  <Words>5485</Words>
  <Characters>6031</Characters>
  <Lines>43</Lines>
  <Paragraphs>12</Paragraphs>
  <TotalTime>2794</TotalTime>
  <ScaleCrop>false</ScaleCrop>
  <LinksUpToDate>false</LinksUpToDate>
  <CharactersWithSpaces>6056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2022-08-01T09:42:00Z</dcterms:created>
  <dc:creator>Administrator</dc:creator>
  <cp:lastModifiedBy>玄子</cp:lastModifiedBy>
  <cp:lastPrinted>2022-08-17T07:50:00Z</cp:lastPrinted>
  <dcterms:modified xsi:type="dcterms:W3CDTF">2023-06-07T02:24:28Z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81807E058A924038959FF475FF65DD7D_12</vt:lpwstr>
  </property>
</Properties>
</file>