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科技兴市服务中心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（一）贯彻执行国家、自治区、柳州市有关科技创新发展方面的法律法规、方针政策和规划。</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（二）服务柳州市</w:t>
      </w:r>
      <w:r>
        <w:rPr>
          <w:rFonts w:ascii="仿宋_GB2312" w:hAnsi="仿宋" w:eastAsia="仿宋_GB2312" w:cs="Calibri"/>
          <w:spacing w:val="8"/>
          <w:sz w:val="32"/>
          <w:szCs w:val="32"/>
        </w:rPr>
        <w:t>科技</w:t>
      </w:r>
      <w:r>
        <w:rPr>
          <w:rFonts w:hint="eastAsia" w:ascii="仿宋_GB2312" w:hAnsi="仿宋" w:eastAsia="仿宋_GB2312" w:cs="Calibri"/>
          <w:spacing w:val="8"/>
          <w:sz w:val="32"/>
          <w:szCs w:val="32"/>
        </w:rPr>
        <w:t>领导小组（以下简称“领导小组”），负责领导小组有关会议的筹备及各成员单位的日常协调、统筹工作，协调办理需提交领导小组审议的重大事项。</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（三）服务</w:t>
      </w:r>
      <w:r>
        <w:rPr>
          <w:rFonts w:ascii="仿宋_GB2312" w:hAnsi="仿宋" w:eastAsia="仿宋_GB2312" w:cs="Calibri"/>
          <w:spacing w:val="8"/>
          <w:sz w:val="32"/>
          <w:szCs w:val="32"/>
        </w:rPr>
        <w:t>柳州市科学技术局</w:t>
      </w:r>
      <w:r>
        <w:rPr>
          <w:rFonts w:hint="eastAsia" w:ascii="仿宋_GB2312" w:hAnsi="仿宋" w:eastAsia="仿宋_GB2312" w:cs="Calibri"/>
          <w:spacing w:val="8"/>
          <w:sz w:val="32"/>
          <w:szCs w:val="32"/>
        </w:rPr>
        <w:t>，加强对全市创新驱动发展规划、创新体系建设和科技体制改革等方面的研究。</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（四）加强与服务对象的沟通联系，协调县区、部门、行业主体</w:t>
      </w:r>
      <w:r>
        <w:rPr>
          <w:rFonts w:hint="eastAsia" w:ascii="仿宋_GB2312" w:hAnsi="仿宋" w:eastAsia="仿宋_GB2312" w:cs="Calibri"/>
          <w:color w:val="000000"/>
          <w:spacing w:val="8"/>
          <w:sz w:val="32"/>
          <w:szCs w:val="32"/>
        </w:rPr>
        <w:t>“科教兴市”相关工作，负责</w:t>
      </w:r>
      <w:r>
        <w:rPr>
          <w:rFonts w:hint="eastAsia" w:ascii="仿宋_GB2312" w:hAnsi="仿宋" w:eastAsia="仿宋_GB2312" w:cs="Calibri"/>
          <w:spacing w:val="8"/>
          <w:sz w:val="32"/>
          <w:szCs w:val="32"/>
        </w:rPr>
        <w:t>收集、汇总、宣传科技创新信息。</w:t>
      </w:r>
    </w:p>
    <w:p>
      <w:pPr>
        <w:ind w:firstLine="645"/>
        <w:rPr>
          <w:rFonts w:hint="eastAsia" w:ascii="仿宋_GB2312" w:eastAsia="仿宋_GB2312"/>
          <w:sz w:val="32"/>
          <w:szCs w:val="32"/>
          <w:lang w:val="en-US" w:eastAsia="zh-CN"/>
        </w:rPr>
      </w:pPr>
      <w:r>
        <w:rPr>
          <w:rFonts w:hint="eastAsia" w:ascii="仿宋_GB2312" w:hAnsi="仿宋" w:eastAsia="仿宋_GB2312" w:cs="Calibri"/>
          <w:spacing w:val="8"/>
          <w:sz w:val="32"/>
          <w:szCs w:val="32"/>
        </w:rPr>
        <w:t>（五）完成</w:t>
      </w:r>
      <w:r>
        <w:rPr>
          <w:rFonts w:ascii="仿宋_GB2312" w:hAnsi="仿宋" w:eastAsia="仿宋_GB2312" w:cs="Calibri"/>
          <w:spacing w:val="8"/>
          <w:sz w:val="32"/>
          <w:szCs w:val="32"/>
        </w:rPr>
        <w:t>上级部门</w:t>
      </w:r>
      <w:r>
        <w:rPr>
          <w:rFonts w:hint="eastAsia" w:ascii="仿宋_GB2312" w:hAnsi="仿宋" w:eastAsia="仿宋_GB2312" w:cs="Calibri"/>
          <w:spacing w:val="8"/>
          <w:sz w:val="32"/>
          <w:szCs w:val="32"/>
        </w:rPr>
        <w:t>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72" w:firstLineChars="200"/>
        <w:jc w:val="both"/>
        <w:textAlignment w:val="auto"/>
        <w:outlineLvl w:val="9"/>
        <w:rPr>
          <w:rFonts w:hint="default" w:ascii="Times New Roman" w:hAnsi="Times New Roman" w:eastAsia="黑体" w:cs="Times New Roman"/>
          <w:b/>
          <w:bCs/>
          <w:color w:val="000000"/>
          <w:sz w:val="32"/>
          <w:szCs w:val="32"/>
        </w:rPr>
      </w:pPr>
      <w:r>
        <w:rPr>
          <w:rFonts w:hint="default" w:ascii="Times New Roman" w:hAnsi="Times New Roman" w:eastAsia="仿宋_GB2312" w:cs="Times New Roman"/>
          <w:spacing w:val="8"/>
          <w:sz w:val="32"/>
          <w:szCs w:val="32"/>
        </w:rPr>
        <w:t>市科技兴市服务中心全额拨款事业编制5名。设主任（正科长级）1名，副主任（副科长级）1名。</w:t>
      </w:r>
    </w:p>
    <w:p>
      <w:pPr>
        <w:ind w:firstLine="0"/>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w:t>
      </w:r>
    </w:p>
    <w:p>
      <w:pPr>
        <w:ind w:firstLine="0"/>
        <w:jc w:val="both"/>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b w:val="0"/>
          <w:bCs w:val="0"/>
          <w:sz w:val="32"/>
          <w:szCs w:val="32"/>
          <w:u w:val="none"/>
          <w:lang w:eastAsia="zh-CN"/>
        </w:rPr>
        <w:t>柳州市科技兴市服务中心</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jc w:val="center"/>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柳州市科技兴市服务中心</w:t>
      </w:r>
      <w:r>
        <w:rPr>
          <w:rFonts w:hint="eastAsia" w:ascii="仿宋_GB2312" w:eastAsia="仿宋_GB2312"/>
          <w:b/>
          <w:sz w:val="32"/>
          <w:szCs w:val="32"/>
          <w:lang w:eastAsia="zh-CN"/>
        </w:rPr>
        <w:t>2021</w:t>
      </w:r>
      <w:r>
        <w:rPr>
          <w:rFonts w:hint="eastAsia" w:ascii="仿宋_GB2312" w:eastAsia="仿宋_GB2312"/>
          <w:b/>
          <w:sz w:val="32"/>
          <w:szCs w:val="32"/>
        </w:rPr>
        <w:t>年度</w:t>
      </w:r>
    </w:p>
    <w:p>
      <w:pPr>
        <w:spacing w:line="580" w:lineRule="exact"/>
        <w:jc w:val="center"/>
        <w:rPr>
          <w:rFonts w:ascii="仿宋_GB2312" w:eastAsia="仿宋_GB2312"/>
          <w:b/>
          <w:sz w:val="32"/>
          <w:szCs w:val="32"/>
        </w:rPr>
      </w:pPr>
      <w:r>
        <w:rPr>
          <w:rFonts w:hint="eastAsia" w:ascii="仿宋_GB2312" w:eastAsia="仿宋_GB2312"/>
          <w:b/>
          <w:sz w:val="32"/>
          <w:szCs w:val="32"/>
        </w:rPr>
        <w:t>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92.55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92.5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10.32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92.5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调整了预算。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eastAsia="仿宋_GB2312" w:cs="仿宋_GB2312"/>
          <w:kern w:val="0"/>
          <w:sz w:val="32"/>
          <w:szCs w:val="32"/>
          <w:lang w:eastAsia="zh-CN"/>
        </w:rPr>
        <w:t>与</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w:t>
      </w:r>
      <w:bookmarkStart w:id="0" w:name="_GoBack"/>
      <w:bookmarkEnd w:id="0"/>
      <w:r>
        <w:rPr>
          <w:rFonts w:hint="eastAsia" w:ascii="仿宋_GB2312" w:eastAsia="仿宋_GB2312" w:cs="仿宋_GB2312"/>
          <w:kern w:val="0"/>
          <w:sz w:val="32"/>
          <w:szCs w:val="32"/>
        </w:rPr>
        <w:t>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lang w:eastAsia="zh-CN"/>
        </w:rPr>
        <w:t>与2020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持平。</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lang w:val="en-US" w:eastAsia="zh-CN"/>
        </w:rPr>
        <w:t>0.05</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0.17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77.27</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动用上年度结转和结余资金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92.55</w:t>
      </w:r>
      <w:r>
        <w:rPr>
          <w:rFonts w:hint="eastAsia" w:ascii="仿宋_GB2312" w:eastAsia="仿宋_GB2312" w:cs="仿宋_GB2312"/>
          <w:kern w:val="0"/>
          <w:sz w:val="32"/>
          <w:szCs w:val="32"/>
        </w:rPr>
        <w:t xml:space="preserve">万元，其中本年支出  </w:t>
      </w:r>
      <w:r>
        <w:rPr>
          <w:rFonts w:hint="eastAsia" w:ascii="仿宋_GB2312" w:eastAsia="仿宋_GB2312" w:cs="仿宋_GB2312"/>
          <w:kern w:val="0"/>
          <w:sz w:val="32"/>
          <w:szCs w:val="32"/>
          <w:lang w:val="en-US" w:eastAsia="zh-CN"/>
        </w:rPr>
        <w:t>92.5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10.32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科学技术</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63.93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科学技术方面的支出。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3.54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5.25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公用经费支出减少。</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2.社会保障和就业支出（类）18.49万元：主要用于</w:t>
      </w:r>
      <w:r>
        <w:rPr>
          <w:rFonts w:hint="eastAsia" w:ascii="仿宋_GB2312" w:hAnsi="华文仿宋" w:eastAsia="仿宋_GB2312" w:cs="Times New Roman"/>
          <w:b w:val="0"/>
          <w:bCs w:val="0"/>
          <w:strike w:val="0"/>
          <w:color w:val="auto"/>
          <w:kern w:val="2"/>
          <w:sz w:val="32"/>
          <w:szCs w:val="32"/>
          <w:u w:val="none"/>
          <w:lang w:val="en-US" w:eastAsia="zh-CN" w:bidi="ar-SA"/>
        </w:rPr>
        <w:t>保障离退休人员个人和家庭补助和缴纳基本养老保险、职业年金。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2.38</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14.77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人员经费变动，行政事业单位养老保险、职业年金基数调整。</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3.卫生健康支出(类)5.14万元:主要用于</w:t>
      </w:r>
      <w:r>
        <w:rPr>
          <w:rFonts w:hint="eastAsia" w:ascii="仿宋_GB2312" w:hAnsi="华文仿宋" w:eastAsia="仿宋_GB2312" w:cs="Times New Roman"/>
          <w:b w:val="0"/>
          <w:bCs w:val="0"/>
          <w:strike w:val="0"/>
          <w:color w:val="auto"/>
          <w:kern w:val="2"/>
          <w:sz w:val="32"/>
          <w:szCs w:val="32"/>
          <w:u w:val="none"/>
          <w:lang w:val="en-US" w:eastAsia="zh-CN" w:bidi="ar-SA"/>
        </w:rPr>
        <w:t>缴纳医疗卫生及公务员医疗保险。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2.15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29.49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人员经费变动，缴纳医疗卫生及公务员医疗保险费调整。</w:t>
      </w:r>
    </w:p>
    <w:p>
      <w:pPr>
        <w:pStyle w:val="7"/>
        <w:widowControl w:val="0"/>
        <w:numPr>
          <w:ilvl w:val="0"/>
          <w:numId w:val="0"/>
        </w:numPr>
        <w:autoSpaceDE/>
        <w:autoSpaceDN/>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u w:val="none"/>
          <w:lang w:eastAsia="zh-CN"/>
        </w:rPr>
      </w:pPr>
      <w:r>
        <w:rPr>
          <w:rFonts w:hint="eastAsia" w:ascii="仿宋_GB2312" w:hAnsi="华文仿宋" w:eastAsia="仿宋_GB2312" w:cs="Times New Roman"/>
          <w:color w:val="auto"/>
          <w:kern w:val="2"/>
          <w:sz w:val="32"/>
          <w:szCs w:val="32"/>
          <w:u w:val="none"/>
          <w:lang w:val="en-US" w:eastAsia="zh-CN"/>
        </w:rPr>
        <w:t>4.住房保障支出（类）4.99万元:主要用于</w:t>
      </w:r>
      <w:r>
        <w:rPr>
          <w:rFonts w:hint="eastAsia" w:ascii="仿宋_GB2312" w:hAnsi="华文仿宋" w:eastAsia="仿宋_GB2312" w:cs="Times New Roman"/>
          <w:b w:val="0"/>
          <w:bCs w:val="0"/>
          <w:strike w:val="0"/>
          <w:color w:val="auto"/>
          <w:kern w:val="2"/>
          <w:sz w:val="32"/>
          <w:szCs w:val="32"/>
          <w:u w:val="none"/>
          <w:lang w:val="en-US" w:eastAsia="zh-CN" w:bidi="ar-SA"/>
        </w:rPr>
        <w:t>缴纳住房公积金。</w:t>
      </w:r>
      <w:r>
        <w:rPr>
          <w:rFonts w:hint="eastAsia" w:ascii="仿宋_GB2312" w:hAnsi="华文仿宋" w:eastAsia="仿宋_GB2312" w:cs="Times New Roman"/>
          <w:color w:val="auto"/>
          <w:kern w:val="2"/>
          <w:sz w:val="32"/>
          <w:szCs w:val="32"/>
          <w:u w:val="none"/>
        </w:rPr>
        <w:t>较</w:t>
      </w:r>
      <w:r>
        <w:rPr>
          <w:rFonts w:hint="eastAsia" w:ascii="仿宋_GB2312" w:hAnsi="华文仿宋" w:eastAsia="仿宋_GB2312" w:cs="Times New Roman"/>
          <w:color w:val="auto"/>
          <w:kern w:val="2"/>
          <w:sz w:val="32"/>
          <w:szCs w:val="32"/>
          <w:u w:val="none"/>
          <w:lang w:eastAsia="zh-CN"/>
        </w:rPr>
        <w:t>2020</w:t>
      </w:r>
      <w:r>
        <w:rPr>
          <w:rFonts w:hint="eastAsia" w:ascii="仿宋_GB2312" w:hAnsi="华文仿宋" w:eastAsia="仿宋_GB2312" w:cs="Times New Roman"/>
          <w:color w:val="auto"/>
          <w:kern w:val="2"/>
          <w:sz w:val="32"/>
          <w:szCs w:val="32"/>
          <w:u w:val="none"/>
        </w:rPr>
        <w:t>年度决算数</w:t>
      </w:r>
      <w:r>
        <w:rPr>
          <w:rFonts w:hint="eastAsia" w:ascii="仿宋_GB2312" w:hAnsi="华文仿宋" w:eastAsia="仿宋_GB2312" w:cs="Times New Roman"/>
          <w:color w:val="auto"/>
          <w:kern w:val="2"/>
          <w:sz w:val="32"/>
          <w:szCs w:val="32"/>
          <w:u w:val="none"/>
          <w:lang w:eastAsia="zh-CN"/>
        </w:rPr>
        <w:t>减少</w:t>
      </w:r>
      <w:r>
        <w:rPr>
          <w:rFonts w:hint="eastAsia" w:ascii="仿宋_GB2312" w:hAnsi="华文仿宋" w:eastAsia="仿宋_GB2312" w:cs="Times New Roman"/>
          <w:color w:val="auto"/>
          <w:kern w:val="2"/>
          <w:sz w:val="32"/>
          <w:szCs w:val="32"/>
          <w:u w:val="none"/>
          <w:lang w:val="en-US" w:eastAsia="zh-CN"/>
        </w:rPr>
        <w:t>1.61</w:t>
      </w:r>
      <w:r>
        <w:rPr>
          <w:rFonts w:hint="eastAsia" w:ascii="仿宋_GB2312" w:hAnsi="华文仿宋" w:eastAsia="仿宋_GB2312" w:cs="Times New Roman"/>
          <w:color w:val="auto"/>
          <w:kern w:val="2"/>
          <w:sz w:val="32"/>
          <w:szCs w:val="32"/>
          <w:u w:val="none"/>
        </w:rPr>
        <w:t>万元，</w:t>
      </w:r>
      <w:r>
        <w:rPr>
          <w:rFonts w:hint="eastAsia" w:ascii="仿宋_GB2312" w:hAnsi="华文仿宋" w:eastAsia="仿宋_GB2312" w:cs="Times New Roman"/>
          <w:color w:val="auto"/>
          <w:kern w:val="2"/>
          <w:sz w:val="32"/>
          <w:szCs w:val="32"/>
          <w:u w:val="none"/>
          <w:lang w:eastAsia="zh-CN"/>
        </w:rPr>
        <w:t>下降</w:t>
      </w:r>
      <w:r>
        <w:rPr>
          <w:rFonts w:hint="eastAsia" w:ascii="仿宋_GB2312" w:hAnsi="华文仿宋" w:eastAsia="仿宋_GB2312" w:cs="Times New Roman"/>
          <w:color w:val="auto"/>
          <w:kern w:val="2"/>
          <w:sz w:val="32"/>
          <w:szCs w:val="32"/>
          <w:u w:val="none"/>
          <w:lang w:val="en-US" w:eastAsia="zh-CN"/>
        </w:rPr>
        <w:t>24.4</w:t>
      </w:r>
      <w:r>
        <w:rPr>
          <w:rFonts w:hint="eastAsia" w:ascii="仿宋_GB2312" w:hAnsi="华文仿宋" w:eastAsia="仿宋_GB2312" w:cs="Times New Roman"/>
          <w:color w:val="auto"/>
          <w:kern w:val="2"/>
          <w:sz w:val="32"/>
          <w:szCs w:val="32"/>
          <w:u w:val="none"/>
        </w:rPr>
        <w:t>%，主要原因是</w:t>
      </w:r>
      <w:r>
        <w:rPr>
          <w:rFonts w:hint="eastAsia" w:ascii="仿宋_GB2312" w:hAnsi="华文仿宋" w:eastAsia="仿宋_GB2312" w:cs="Times New Roman"/>
          <w:color w:val="auto"/>
          <w:kern w:val="2"/>
          <w:sz w:val="32"/>
          <w:szCs w:val="32"/>
          <w:u w:val="none"/>
          <w:lang w:eastAsia="zh-CN"/>
        </w:rPr>
        <w:t>人员经费变动，缴纳住房公积金调整。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92.55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10.32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92.55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 xml:space="preserve">公共预算财政拨款支出年初预算为 </w:t>
      </w:r>
      <w:r>
        <w:rPr>
          <w:rFonts w:hint="eastAsia" w:ascii="仿宋_GB2312" w:hAnsi="黑体" w:eastAsia="仿宋_GB2312" w:cs="仿宋_GB2312"/>
          <w:kern w:val="0"/>
          <w:sz w:val="32"/>
          <w:szCs w:val="32"/>
          <w:lang w:val="en-US" w:eastAsia="zh-CN"/>
        </w:rPr>
        <w:t>91.66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92.55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100.97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240" w:lineRule="atLeast"/>
        <w:ind w:firstLine="640" w:firstLineChars="200"/>
        <w:jc w:val="both"/>
        <w:rPr>
          <w:rFonts w:hint="default" w:ascii="Times New Roman" w:hAnsi="Times New Roman" w:eastAsia="仿宋_GB2312" w:cs="Times New Roman"/>
          <w:bCs/>
          <w:color w:val="000000"/>
          <w:kern w:val="0"/>
          <w:sz w:val="32"/>
          <w:szCs w:val="32"/>
        </w:rPr>
      </w:pPr>
      <w:r>
        <w:rPr>
          <w:rFonts w:hint="eastAsia" w:ascii="仿宋_GB2312" w:eastAsia="仿宋_GB2312"/>
          <w:bCs/>
          <w:kern w:val="0"/>
          <w:sz w:val="32"/>
          <w:szCs w:val="32"/>
          <w:lang w:val="en-US" w:eastAsia="zh-CN"/>
        </w:rPr>
        <w:t>（一）</w:t>
      </w:r>
      <w:r>
        <w:rPr>
          <w:rFonts w:hint="default" w:ascii="Times New Roman" w:hAnsi="Times New Roman" w:eastAsia="仿宋_GB2312" w:cs="Times New Roman"/>
          <w:color w:val="000000"/>
          <w:sz w:val="32"/>
        </w:rPr>
        <w:t>科学技术支出（类）科学技术管理事务（款）行政运行（项）</w:t>
      </w:r>
      <w:r>
        <w:rPr>
          <w:rFonts w:hint="default" w:ascii="Times New Roman" w:hAnsi="Times New Roman" w:eastAsia="仿宋_GB2312" w:cs="Times New Roman"/>
          <w:bCs/>
          <w:color w:val="000000"/>
          <w:kern w:val="0"/>
          <w:sz w:val="32"/>
          <w:szCs w:val="32"/>
        </w:rPr>
        <w:t>年初预算</w:t>
      </w:r>
      <w:r>
        <w:rPr>
          <w:rFonts w:hint="eastAsia" w:ascii="仿宋_GB2312" w:hAnsi="仿宋_GB2312" w:eastAsia="仿宋_GB2312" w:cs="仿宋_GB2312"/>
          <w:bCs/>
          <w:color w:val="000000"/>
          <w:kern w:val="0"/>
          <w:sz w:val="32"/>
          <w:szCs w:val="32"/>
        </w:rPr>
        <w:t>为</w:t>
      </w:r>
      <w:r>
        <w:rPr>
          <w:rFonts w:hint="eastAsia" w:ascii="仿宋_GB2312" w:hAnsi="仿宋_GB2312" w:eastAsia="仿宋_GB2312" w:cs="仿宋_GB2312"/>
          <w:bCs/>
          <w:color w:val="000000"/>
          <w:kern w:val="0"/>
          <w:sz w:val="32"/>
          <w:szCs w:val="32"/>
          <w:lang w:val="en-US" w:eastAsia="zh-CN"/>
        </w:rPr>
        <w:t>58.83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67.47</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114.69</w:t>
      </w:r>
      <w:r>
        <w:rPr>
          <w:rFonts w:hint="eastAsia" w:ascii="仿宋_GB2312" w:hAnsi="仿宋_GB2312" w:eastAsia="仿宋_GB2312" w:cs="仿宋_GB2312"/>
          <w:bCs/>
          <w:color w:val="000000"/>
          <w:kern w:val="0"/>
          <w:sz w:val="32"/>
          <w:szCs w:val="32"/>
        </w:rPr>
        <w:t>%</w:t>
      </w:r>
      <w:r>
        <w:rPr>
          <w:rFonts w:hint="eastAsia" w:ascii="仿宋_GB2312" w:hAnsi="黑体" w:eastAsia="仿宋_GB2312" w:cs="仿宋_GB2312"/>
          <w:kern w:val="0"/>
          <w:sz w:val="32"/>
          <w:szCs w:val="32"/>
        </w:rPr>
        <w:t>。</w:t>
      </w:r>
      <w:r>
        <w:rPr>
          <w:rFonts w:hint="default" w:ascii="Times New Roman" w:hAnsi="Times New Roman" w:eastAsia="仿宋_GB2312" w:cs="Times New Roman"/>
          <w:bCs/>
          <w:color w:val="000000"/>
          <w:kern w:val="0"/>
          <w:sz w:val="32"/>
          <w:szCs w:val="32"/>
        </w:rPr>
        <w:t>决算数大于预算数的主要原因是增人增资及增加通讯补贴和物业补贴及预发绩效工资等支出。</w:t>
      </w:r>
    </w:p>
    <w:p>
      <w:pPr>
        <w:autoSpaceDE w:val="0"/>
        <w:autoSpaceDN w:val="0"/>
        <w:adjustRightInd w:val="0"/>
        <w:spacing w:line="560" w:lineRule="exact"/>
        <w:ind w:firstLine="627" w:firstLineChars="196"/>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color w:val="000000"/>
          <w:sz w:val="32"/>
        </w:rPr>
        <w:t>社会保障和就业支出（类）行政事业单位离退休（款）归口管理的行政单位离退休（项）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5.34</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5.89</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110.3</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大</w:t>
      </w:r>
      <w:r>
        <w:rPr>
          <w:rFonts w:hint="eastAsia" w:ascii="仿宋_GB2312" w:hAnsi="仿宋_GB2312" w:eastAsia="仿宋_GB2312" w:cs="仿宋_GB2312"/>
          <w:bCs/>
          <w:color w:val="000000"/>
          <w:kern w:val="0"/>
          <w:sz w:val="32"/>
          <w:szCs w:val="32"/>
        </w:rPr>
        <w:t>于预算数的主要原因是离退休人员</w:t>
      </w:r>
      <w:r>
        <w:rPr>
          <w:rFonts w:hint="eastAsia" w:ascii="仿宋_GB2312" w:hAnsi="仿宋_GB2312" w:eastAsia="仿宋_GB2312" w:cs="仿宋_GB2312"/>
          <w:bCs/>
          <w:color w:val="000000"/>
          <w:kern w:val="0"/>
          <w:sz w:val="32"/>
          <w:szCs w:val="32"/>
          <w:lang w:eastAsia="zh-CN"/>
        </w:rPr>
        <w:t>经费调整</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color w:val="000000"/>
          <w:sz w:val="32"/>
        </w:rPr>
        <w:t>社会保障和就业支出（类）事业单位离退休（款）</w:t>
      </w:r>
      <w:r>
        <w:rPr>
          <w:rFonts w:hint="eastAsia" w:ascii="仿宋_GB2312" w:hAnsi="仿宋_GB2312" w:eastAsia="仿宋_GB2312" w:cs="仿宋_GB2312"/>
          <w:bCs/>
          <w:color w:val="000000"/>
          <w:kern w:val="0"/>
          <w:sz w:val="32"/>
          <w:szCs w:val="32"/>
        </w:rPr>
        <w:t>机关事业单位基本养老保险缴费（项）年初预算为</w:t>
      </w:r>
      <w:r>
        <w:rPr>
          <w:rFonts w:hint="eastAsia" w:ascii="仿宋_GB2312" w:hAnsi="仿宋_GB2312" w:eastAsia="仿宋_GB2312" w:cs="仿宋_GB2312"/>
          <w:bCs/>
          <w:color w:val="000000"/>
          <w:kern w:val="0"/>
          <w:sz w:val="32"/>
          <w:szCs w:val="32"/>
          <w:lang w:val="en-US" w:eastAsia="zh-CN"/>
        </w:rPr>
        <w:t>8.47</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8.36</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98.70</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小</w:t>
      </w:r>
      <w:r>
        <w:rPr>
          <w:rFonts w:hint="eastAsia" w:ascii="仿宋_GB2312" w:hAnsi="仿宋_GB2312" w:eastAsia="仿宋_GB2312" w:cs="仿宋_GB2312"/>
          <w:bCs/>
          <w:color w:val="000000"/>
          <w:kern w:val="0"/>
          <w:sz w:val="32"/>
          <w:szCs w:val="32"/>
        </w:rPr>
        <w:t>于预算数的主要原因是机关事业单位基本养老保险缴费</w:t>
      </w:r>
      <w:r>
        <w:rPr>
          <w:rFonts w:hint="eastAsia" w:ascii="仿宋_GB2312" w:hAnsi="仿宋_GB2312" w:eastAsia="仿宋_GB2312" w:cs="仿宋_GB2312"/>
          <w:bCs/>
          <w:color w:val="000000"/>
          <w:kern w:val="0"/>
          <w:sz w:val="32"/>
          <w:szCs w:val="32"/>
          <w:lang w:eastAsia="zh-CN"/>
        </w:rPr>
        <w:t>基数</w:t>
      </w:r>
      <w:r>
        <w:rPr>
          <w:rFonts w:hint="eastAsia" w:ascii="仿宋_GB2312" w:hAnsi="仿宋_GB2312" w:eastAsia="仿宋_GB2312" w:cs="仿宋_GB2312"/>
          <w:bCs/>
          <w:color w:val="000000"/>
          <w:kern w:val="0"/>
          <w:sz w:val="32"/>
          <w:szCs w:val="32"/>
        </w:rPr>
        <w:t>调</w:t>
      </w:r>
      <w:r>
        <w:rPr>
          <w:rFonts w:hint="eastAsia" w:ascii="仿宋_GB2312" w:hAnsi="仿宋_GB2312" w:eastAsia="仿宋_GB2312" w:cs="仿宋_GB2312"/>
          <w:bCs/>
          <w:color w:val="000000"/>
          <w:kern w:val="0"/>
          <w:sz w:val="32"/>
          <w:szCs w:val="32"/>
          <w:lang w:eastAsia="zh-CN"/>
        </w:rPr>
        <w:t>整</w:t>
      </w:r>
      <w:r>
        <w:rPr>
          <w:rFonts w:hint="eastAsia" w:ascii="仿宋_GB2312" w:hAnsi="仿宋_GB2312" w:eastAsia="仿宋_GB2312" w:cs="仿宋_GB2312"/>
          <w:bCs/>
          <w:color w:val="000000"/>
          <w:kern w:val="0"/>
          <w:sz w:val="32"/>
          <w:szCs w:val="32"/>
        </w:rPr>
        <w:t>。</w:t>
      </w:r>
    </w:p>
    <w:p>
      <w:pPr>
        <w:autoSpaceDE w:val="0"/>
        <w:autoSpaceDN w:val="0"/>
        <w:spacing w:line="240" w:lineRule="atLeast"/>
        <w:ind w:firstLine="640"/>
        <w:jc w:val="both"/>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color w:val="000000"/>
          <w:sz w:val="32"/>
        </w:rPr>
        <w:t>社会保障和就业支出（类）事业单位离退休（款）</w:t>
      </w:r>
      <w:r>
        <w:rPr>
          <w:rFonts w:hint="eastAsia" w:ascii="仿宋_GB2312" w:hAnsi="仿宋_GB2312" w:eastAsia="仿宋_GB2312" w:cs="仿宋_GB2312"/>
          <w:bCs/>
          <w:color w:val="000000"/>
          <w:kern w:val="0"/>
          <w:sz w:val="32"/>
          <w:szCs w:val="32"/>
        </w:rPr>
        <w:t>机关事业单位职业年金缴费（项）年初预算为</w:t>
      </w:r>
      <w:r>
        <w:rPr>
          <w:rFonts w:hint="eastAsia" w:ascii="仿宋_GB2312" w:hAnsi="仿宋_GB2312" w:eastAsia="仿宋_GB2312" w:cs="仿宋_GB2312"/>
          <w:bCs/>
          <w:color w:val="000000"/>
          <w:kern w:val="0"/>
          <w:sz w:val="32"/>
          <w:szCs w:val="32"/>
          <w:lang w:val="en-US" w:eastAsia="zh-CN"/>
        </w:rPr>
        <w:t>4.24</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4.24</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100</w:t>
      </w:r>
      <w:r>
        <w:rPr>
          <w:rFonts w:hint="eastAsia" w:ascii="仿宋_GB2312" w:hAnsi="仿宋_GB2312" w:eastAsia="仿宋_GB2312" w:cs="仿宋_GB2312"/>
          <w:bCs/>
          <w:color w:val="000000"/>
          <w:kern w:val="0"/>
          <w:sz w:val="32"/>
          <w:szCs w:val="32"/>
        </w:rPr>
        <w:t>%。</w:t>
      </w:r>
    </w:p>
    <w:p>
      <w:pPr>
        <w:numPr>
          <w:ilvl w:val="-1"/>
          <w:numId w:val="0"/>
        </w:numPr>
        <w:autoSpaceDE w:val="0"/>
        <w:autoSpaceDN w:val="0"/>
        <w:adjustRightInd w:val="0"/>
        <w:spacing w:line="560" w:lineRule="exact"/>
        <w:ind w:firstLine="640"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color w:val="000000"/>
          <w:sz w:val="32"/>
        </w:rPr>
        <w:t>医疗卫生与计划生育支出（类）行政事业单位医疗（款）行政单位医疗（项）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4.13</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3.01</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72.88</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小</w:t>
      </w:r>
      <w:r>
        <w:rPr>
          <w:rFonts w:hint="eastAsia" w:ascii="仿宋_GB2312" w:hAnsi="仿宋_GB2312" w:eastAsia="仿宋_GB2312" w:cs="仿宋_GB2312"/>
          <w:bCs/>
          <w:color w:val="000000"/>
          <w:kern w:val="0"/>
          <w:sz w:val="32"/>
          <w:szCs w:val="32"/>
        </w:rPr>
        <w:t>于预算数的主要原因是</w:t>
      </w:r>
      <w:r>
        <w:rPr>
          <w:rFonts w:hint="eastAsia" w:ascii="仿宋_GB2312" w:hAnsi="仿宋_GB2312" w:eastAsia="仿宋_GB2312" w:cs="仿宋_GB2312"/>
          <w:bCs/>
          <w:color w:val="000000"/>
          <w:kern w:val="0"/>
          <w:sz w:val="32"/>
          <w:szCs w:val="32"/>
          <w:lang w:eastAsia="zh-CN"/>
        </w:rPr>
        <w:t>行政事业单位缴费基数调整</w:t>
      </w:r>
      <w:r>
        <w:rPr>
          <w:rFonts w:hint="eastAsia" w:ascii="仿宋_GB2312" w:hAnsi="仿宋_GB2312" w:eastAsia="仿宋_GB2312" w:cs="仿宋_GB2312"/>
          <w:bCs/>
          <w:color w:val="000000"/>
          <w:kern w:val="0"/>
          <w:sz w:val="32"/>
          <w:szCs w:val="32"/>
        </w:rPr>
        <w:t>。</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bCs/>
          <w:color w:val="000000"/>
          <w:kern w:val="0"/>
          <w:sz w:val="32"/>
          <w:szCs w:val="32"/>
          <w:lang w:val="en-US" w:eastAsia="zh-CN"/>
        </w:rPr>
        <w:t xml:space="preserve">    （六） </w:t>
      </w:r>
      <w:r>
        <w:rPr>
          <w:rFonts w:hint="eastAsia" w:ascii="仿宋_GB2312" w:hAnsi="仿宋_GB2312" w:eastAsia="仿宋_GB2312" w:cs="仿宋_GB2312"/>
          <w:color w:val="000000"/>
          <w:sz w:val="32"/>
        </w:rPr>
        <w:t>医疗卫生与计划生育支出（类）医疗保障（款）公务员医疗补助（项）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2.04</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2.14</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104.90</w:t>
      </w:r>
      <w:r>
        <w:rPr>
          <w:rFonts w:hint="eastAsia" w:ascii="仿宋_GB2312" w:hAnsi="仿宋_GB2312" w:eastAsia="仿宋_GB2312" w:cs="仿宋_GB2312"/>
          <w:bCs/>
          <w:color w:val="000000"/>
          <w:kern w:val="0"/>
          <w:sz w:val="32"/>
          <w:szCs w:val="32"/>
        </w:rPr>
        <w:t>%。决算数大于预算数的主要原因是增人增资缴纳</w:t>
      </w:r>
      <w:r>
        <w:rPr>
          <w:rFonts w:hint="eastAsia" w:ascii="仿宋_GB2312" w:hAnsi="仿宋_GB2312" w:eastAsia="仿宋_GB2312" w:cs="仿宋_GB2312"/>
          <w:bCs/>
          <w:color w:val="000000"/>
          <w:kern w:val="0"/>
          <w:sz w:val="32"/>
          <w:szCs w:val="32"/>
          <w:lang w:eastAsia="zh-CN"/>
        </w:rPr>
        <w:t>公务员医疗补助</w:t>
      </w:r>
      <w:r>
        <w:rPr>
          <w:rFonts w:hint="eastAsia" w:ascii="仿宋_GB2312" w:hAnsi="仿宋_GB2312" w:eastAsia="仿宋_GB2312" w:cs="仿宋_GB2312"/>
          <w:bCs/>
          <w:color w:val="000000"/>
          <w:kern w:val="0"/>
          <w:sz w:val="32"/>
          <w:szCs w:val="32"/>
        </w:rPr>
        <w:t>支出。</w:t>
      </w:r>
    </w:p>
    <w:p>
      <w:pPr>
        <w:autoSpaceDE w:val="0"/>
        <w:autoSpaceDN w:val="0"/>
        <w:adjustRightInd w:val="0"/>
        <w:spacing w:line="560" w:lineRule="exact"/>
        <w:ind w:firstLine="960" w:firstLine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lang w:eastAsia="zh-CN"/>
        </w:rPr>
        <w:t>（七）</w:t>
      </w:r>
      <w:r>
        <w:rPr>
          <w:rFonts w:hint="eastAsia" w:ascii="仿宋_GB2312" w:hAnsi="仿宋_GB2312" w:eastAsia="仿宋_GB2312" w:cs="仿宋_GB2312"/>
          <w:color w:val="000000"/>
          <w:sz w:val="32"/>
        </w:rPr>
        <w:t>住房保障支出（类）住房改革支出（款）住房公积金（项）</w:t>
      </w:r>
      <w:r>
        <w:rPr>
          <w:rFonts w:hint="eastAsia" w:ascii="仿宋_GB2312" w:hAnsi="仿宋_GB2312" w:eastAsia="仿宋_GB2312" w:cs="仿宋_GB2312"/>
          <w:bCs/>
          <w:color w:val="000000"/>
          <w:kern w:val="0"/>
          <w:sz w:val="32"/>
          <w:szCs w:val="32"/>
        </w:rPr>
        <w:t>年初预算为</w:t>
      </w:r>
      <w:r>
        <w:rPr>
          <w:rFonts w:hint="eastAsia" w:ascii="仿宋_GB2312" w:hAnsi="仿宋_GB2312" w:eastAsia="仿宋_GB2312" w:cs="仿宋_GB2312"/>
          <w:bCs/>
          <w:color w:val="000000"/>
          <w:kern w:val="0"/>
          <w:sz w:val="32"/>
          <w:szCs w:val="32"/>
          <w:lang w:val="en-US" w:eastAsia="zh-CN"/>
        </w:rPr>
        <w:t>6.36</w:t>
      </w:r>
      <w:r>
        <w:rPr>
          <w:rFonts w:hint="eastAsia" w:ascii="仿宋_GB2312" w:hAnsi="仿宋_GB2312" w:eastAsia="仿宋_GB2312" w:cs="仿宋_GB2312"/>
          <w:bCs/>
          <w:color w:val="000000"/>
          <w:kern w:val="0"/>
          <w:sz w:val="32"/>
          <w:szCs w:val="32"/>
        </w:rPr>
        <w:t>万元，支出决算为</w:t>
      </w:r>
      <w:r>
        <w:rPr>
          <w:rFonts w:hint="eastAsia" w:ascii="仿宋_GB2312" w:hAnsi="仿宋_GB2312" w:eastAsia="仿宋_GB2312" w:cs="仿宋_GB2312"/>
          <w:bCs/>
          <w:color w:val="000000"/>
          <w:kern w:val="0"/>
          <w:sz w:val="32"/>
          <w:szCs w:val="32"/>
          <w:lang w:val="en-US" w:eastAsia="zh-CN"/>
        </w:rPr>
        <w:t>4.99</w:t>
      </w:r>
      <w:r>
        <w:rPr>
          <w:rFonts w:hint="eastAsia" w:ascii="仿宋_GB2312" w:hAnsi="仿宋_GB2312" w:eastAsia="仿宋_GB2312" w:cs="仿宋_GB2312"/>
          <w:bCs/>
          <w:color w:val="000000"/>
          <w:kern w:val="0"/>
          <w:sz w:val="32"/>
          <w:szCs w:val="32"/>
        </w:rPr>
        <w:t>万元，完成年初预算的</w:t>
      </w:r>
      <w:r>
        <w:rPr>
          <w:rFonts w:hint="eastAsia" w:ascii="仿宋_GB2312" w:hAnsi="仿宋_GB2312" w:eastAsia="仿宋_GB2312" w:cs="仿宋_GB2312"/>
          <w:bCs/>
          <w:color w:val="000000"/>
          <w:kern w:val="0"/>
          <w:sz w:val="32"/>
          <w:szCs w:val="32"/>
          <w:lang w:val="en-US" w:eastAsia="zh-CN"/>
        </w:rPr>
        <w:t>78.46</w:t>
      </w:r>
      <w:r>
        <w:rPr>
          <w:rFonts w:hint="eastAsia" w:ascii="仿宋_GB2312" w:hAnsi="仿宋_GB2312" w:eastAsia="仿宋_GB2312" w:cs="仿宋_GB2312"/>
          <w:bCs/>
          <w:color w:val="000000"/>
          <w:kern w:val="0"/>
          <w:sz w:val="32"/>
          <w:szCs w:val="32"/>
        </w:rPr>
        <w:t>%。决算数</w:t>
      </w:r>
      <w:r>
        <w:rPr>
          <w:rFonts w:hint="eastAsia" w:ascii="仿宋_GB2312" w:hAnsi="仿宋_GB2312" w:eastAsia="仿宋_GB2312" w:cs="仿宋_GB2312"/>
          <w:bCs/>
          <w:color w:val="000000"/>
          <w:kern w:val="0"/>
          <w:sz w:val="32"/>
          <w:szCs w:val="32"/>
          <w:lang w:eastAsia="zh-CN"/>
        </w:rPr>
        <w:t>小</w:t>
      </w:r>
      <w:r>
        <w:rPr>
          <w:rFonts w:hint="eastAsia" w:ascii="仿宋_GB2312" w:hAnsi="仿宋_GB2312" w:eastAsia="仿宋_GB2312" w:cs="仿宋_GB2312"/>
          <w:bCs/>
          <w:color w:val="000000"/>
          <w:kern w:val="0"/>
          <w:sz w:val="32"/>
          <w:szCs w:val="32"/>
        </w:rPr>
        <w:t>于预算数的主要原因是</w:t>
      </w:r>
      <w:r>
        <w:rPr>
          <w:rFonts w:hint="eastAsia" w:ascii="仿宋_GB2312" w:hAnsi="仿宋_GB2312" w:eastAsia="仿宋_GB2312" w:cs="仿宋_GB2312"/>
          <w:bCs/>
          <w:color w:val="000000"/>
          <w:kern w:val="0"/>
          <w:sz w:val="32"/>
          <w:szCs w:val="32"/>
          <w:lang w:eastAsia="zh-CN"/>
        </w:rPr>
        <w:t>住房公积金缴费基数调整</w:t>
      </w:r>
      <w:r>
        <w:rPr>
          <w:rFonts w:hint="eastAsia" w:ascii="仿宋_GB2312" w:hAnsi="仿宋_GB2312" w:eastAsia="仿宋_GB2312" w:cs="仿宋_GB2312"/>
          <w:bCs/>
          <w:color w:val="000000"/>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92.55</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76.36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106.41</w:t>
      </w:r>
      <w:r>
        <w:rPr>
          <w:rFonts w:hint="eastAsia" w:ascii="仿宋_GB2312" w:eastAsia="仿宋_GB2312"/>
          <w:bCs/>
          <w:kern w:val="0"/>
          <w:sz w:val="32"/>
          <w:szCs w:val="32"/>
        </w:rPr>
        <w:t>%。</w:t>
      </w:r>
      <w:r>
        <w:rPr>
          <w:rFonts w:hint="default" w:ascii="Times New Roman" w:hAnsi="Times New Roman" w:eastAsia="仿宋_GB2312" w:cs="Times New Roman"/>
          <w:bCs/>
          <w:color w:val="000000"/>
          <w:kern w:val="0"/>
          <w:sz w:val="32"/>
          <w:szCs w:val="32"/>
        </w:rPr>
        <w:t>决算数大于预算数的主要原因是</w:t>
      </w:r>
      <w:r>
        <w:rPr>
          <w:rFonts w:hint="eastAsia" w:eastAsia="仿宋_GB2312" w:cs="Times New Roman"/>
          <w:bCs/>
          <w:color w:val="000000"/>
          <w:kern w:val="0"/>
          <w:sz w:val="32"/>
          <w:szCs w:val="32"/>
          <w:lang w:eastAsia="zh-CN"/>
        </w:rPr>
        <w:t>增人增资及机关事业单位养老保险、职业年金缴费基数调整。</w:t>
      </w:r>
    </w:p>
    <w:p>
      <w:pPr>
        <w:autoSpaceDE w:val="0"/>
        <w:autoSpaceDN w:val="0"/>
        <w:adjustRightInd w:val="0"/>
        <w:spacing w:line="560" w:lineRule="exact"/>
        <w:ind w:firstLine="640" w:firstLineChars="200"/>
        <w:jc w:val="left"/>
        <w:rPr>
          <w:rFonts w:hint="default" w:ascii="Times New Roman" w:eastAsia="仿宋_GB2312"/>
          <w:bCs/>
          <w:color w:val="000000"/>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10.3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67.72</w:t>
      </w:r>
      <w:r>
        <w:rPr>
          <w:rFonts w:hint="eastAsia" w:ascii="仿宋_GB2312" w:eastAsia="仿宋_GB2312"/>
          <w:bCs/>
          <w:kern w:val="0"/>
          <w:sz w:val="32"/>
          <w:szCs w:val="32"/>
        </w:rPr>
        <w:t xml:space="preserve"> %。</w:t>
      </w:r>
      <w:r>
        <w:rPr>
          <w:rFonts w:hint="default" w:ascii="Times New Roman" w:hAnsi="Times New Roman" w:eastAsia="仿宋_GB2312" w:cs="Times New Roman"/>
          <w:bCs/>
          <w:color w:val="000000"/>
          <w:kern w:val="0"/>
          <w:sz w:val="32"/>
          <w:szCs w:val="32"/>
        </w:rPr>
        <w:t>决算数</w:t>
      </w:r>
      <w:r>
        <w:rPr>
          <w:rFonts w:hint="eastAsia" w:eastAsia="仿宋_GB2312" w:cs="Times New Roman"/>
          <w:bCs/>
          <w:color w:val="000000"/>
          <w:kern w:val="0"/>
          <w:sz w:val="32"/>
          <w:szCs w:val="32"/>
          <w:lang w:eastAsia="zh-CN"/>
        </w:rPr>
        <w:t>小</w:t>
      </w:r>
      <w:r>
        <w:rPr>
          <w:rFonts w:hint="default" w:ascii="Times New Roman" w:hAnsi="Times New Roman" w:eastAsia="仿宋_GB2312" w:cs="Times New Roman"/>
          <w:bCs/>
          <w:color w:val="000000"/>
          <w:kern w:val="0"/>
          <w:sz w:val="32"/>
          <w:szCs w:val="32"/>
        </w:rPr>
        <w:t>于预算数的主要原因是</w:t>
      </w:r>
      <w:r>
        <w:rPr>
          <w:rFonts w:ascii="Times New Roman" w:hAnsi="Times New Roman" w:eastAsia="仿宋_GB2312" w:cs="Times New Roman"/>
          <w:bCs/>
          <w:i w:val="0"/>
          <w:iCs w:val="0"/>
          <w:caps w:val="0"/>
          <w:color w:val="000000"/>
          <w:spacing w:val="0"/>
          <w:kern w:val="0"/>
          <w:sz w:val="32"/>
          <w:szCs w:val="32"/>
          <w:bdr w:val="none" w:sz="4" w:space="0"/>
          <w:shd w:val="clear"/>
        </w:rPr>
        <w:t>厉行节约，年末结余接待费、会议费、车辆经费等</w:t>
      </w:r>
      <w:r>
        <w:rPr>
          <w:rFonts w:hint="default" w:eastAsia="仿宋_GB2312" w:cs="Times New Roman"/>
          <w:bCs/>
          <w:color w:val="000000"/>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cs="仿宋_GB2312"/>
          <w:kern w:val="0"/>
          <w:sz w:val="32"/>
          <w:szCs w:val="32"/>
          <w:lang w:eastAsia="zh-CN"/>
        </w:rPr>
        <w:t>（三）对个人和家庭的补助</w:t>
      </w:r>
      <w:r>
        <w:rPr>
          <w:rFonts w:hint="eastAsia" w:ascii="仿宋_GB2312" w:eastAsia="仿宋_GB2312" w:cs="仿宋_GB2312"/>
          <w:kern w:val="0"/>
          <w:sz w:val="32"/>
          <w:szCs w:val="32"/>
          <w:lang w:val="en-US" w:eastAsia="zh-CN"/>
        </w:rPr>
        <w:t>5.89万元，完成年初预算的125.59%。</w:t>
      </w:r>
      <w:r>
        <w:rPr>
          <w:rFonts w:hint="default" w:ascii="Times New Roman" w:hAnsi="Times New Roman" w:eastAsia="仿宋_GB2312" w:cs="Times New Roman"/>
          <w:bCs/>
          <w:color w:val="000000"/>
          <w:kern w:val="0"/>
          <w:sz w:val="32"/>
          <w:szCs w:val="32"/>
        </w:rPr>
        <w:t>决算数大于预算数的主要原因是</w:t>
      </w:r>
      <w:r>
        <w:rPr>
          <w:rFonts w:hint="eastAsia" w:eastAsia="仿宋_GB2312" w:cs="Times New Roman"/>
          <w:bCs/>
          <w:color w:val="000000"/>
          <w:kern w:val="0"/>
          <w:sz w:val="32"/>
          <w:szCs w:val="32"/>
          <w:lang w:eastAsia="zh-CN"/>
        </w:rPr>
        <w:t>离退休人员经费增加。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b w:val="0"/>
          <w:bCs w:val="0"/>
          <w:kern w:val="0"/>
          <w:sz w:val="32"/>
          <w:szCs w:val="32"/>
        </w:rPr>
        <w:t>没有</w:t>
      </w:r>
      <w:r>
        <w:rPr>
          <w:rFonts w:hint="eastAsia" w:ascii="仿宋_GB2312" w:eastAsia="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lang w:val="en-US" w:eastAsia="zh-CN"/>
        </w:rPr>
        <w:t>2020年持平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ascii="仿宋_GB2312" w:hAnsi="宋体" w:eastAsia="仿宋_GB2312" w:cs="仿宋_GB2312"/>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spacing w:val="0"/>
          <w:kern w:val="0"/>
          <w:sz w:val="32"/>
          <w:szCs w:val="32"/>
          <w:bdr w:val="none" w:sz="4" w:space="0"/>
          <w:shd w:val="clear"/>
        </w:rPr>
        <w:t>2021年度没有安排因公出国 （境）</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bCs/>
          <w:color w:val="000000"/>
          <w:sz w:val="32"/>
          <w:szCs w:val="32"/>
        </w:rPr>
        <w:t>。</w:t>
      </w:r>
      <w:r>
        <w:rPr>
          <w:rFonts w:hint="eastAsia" w:ascii="仿宋_GB2312" w:eastAsia="仿宋_GB2312" w:cs="仿宋_GB2312"/>
          <w:kern w:val="0"/>
          <w:sz w:val="32"/>
          <w:szCs w:val="32"/>
        </w:rPr>
        <w:t>2021年，</w:t>
      </w:r>
      <w:r>
        <w:rPr>
          <w:rFonts w:hint="eastAsia" w:ascii="仿宋_GB2312" w:hAnsi="黑体" w:eastAsia="仿宋_GB2312"/>
          <w:bCs/>
          <w:color w:val="000000"/>
          <w:sz w:val="32"/>
          <w:szCs w:val="32"/>
          <w:lang w:eastAsia="zh-CN"/>
        </w:rPr>
        <w:t>本</w:t>
      </w:r>
      <w:r>
        <w:rPr>
          <w:rFonts w:hint="eastAsia" w:ascii="仿宋_GB2312" w:hAnsi="黑体" w:eastAsia="仿宋_GB2312"/>
          <w:bCs/>
          <w:color w:val="000000"/>
          <w:sz w:val="32"/>
          <w:szCs w:val="32"/>
        </w:rPr>
        <w:t>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Cs/>
          <w:color w:val="000000"/>
          <w:sz w:val="32"/>
          <w:szCs w:val="32"/>
          <w:lang w:eastAsia="zh-CN"/>
        </w:rPr>
        <w:t>，</w:t>
      </w:r>
      <w:r>
        <w:rPr>
          <w:rFonts w:ascii="仿宋_GB2312" w:hAnsi="微软雅黑" w:eastAsia="仿宋_GB2312" w:cs="仿宋_GB2312"/>
          <w:i w:val="0"/>
          <w:iCs w:val="0"/>
          <w:caps w:val="0"/>
          <w:color w:val="000000"/>
          <w:spacing w:val="0"/>
          <w:sz w:val="32"/>
          <w:szCs w:val="32"/>
          <w:shd w:val="clear" w:fill="FFFFFF"/>
        </w:rPr>
        <w:t>全年运行费支出</w:t>
      </w:r>
      <w:r>
        <w:rPr>
          <w:rFonts w:hint="eastAsia" w:ascii="仿宋_GB2312" w:hAnsi="Times New Roman"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万元，平均每辆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10.3</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4.91</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32.28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调整预算</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年增减少</w:t>
      </w:r>
      <w:r>
        <w:rPr>
          <w:rFonts w:hint="eastAsia" w:ascii="仿宋_GB2312" w:eastAsia="仿宋_GB2312" w:cs="仿宋_GB2312"/>
          <w:kern w:val="0"/>
          <w:sz w:val="32"/>
          <w:szCs w:val="32"/>
          <w:lang w:val="en-US" w:eastAsia="zh-CN"/>
        </w:rPr>
        <w:t>1.93</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15.78</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“三公两费”经费</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政府采购支出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绩效管理工作开展情况。</w:t>
      </w:r>
    </w:p>
    <w:p>
      <w:pPr>
        <w:pStyle w:val="15"/>
        <w:keepNext w:val="0"/>
        <w:keepLines w:val="0"/>
        <w:pageBreakBefore w:val="0"/>
        <w:kinsoku/>
        <w:wordWrap/>
        <w:overflowPunct/>
        <w:topLinePunct w:val="0"/>
        <w:bidi w:val="0"/>
        <w:spacing w:line="500" w:lineRule="exact"/>
        <w:ind w:left="0" w:leftChars="0" w:firstLine="640" w:firstLineChars="200"/>
        <w:rPr>
          <w:rFonts w:hint="eastAsia" w:ascii="仿宋_GB2312" w:hAnsi="Times New Roman" w:eastAsia="仿宋_GB2312" w:cs="仿宋_GB2312"/>
          <w:spacing w:val="0"/>
          <w:kern w:val="0"/>
          <w:sz w:val="32"/>
          <w:szCs w:val="32"/>
          <w:lang w:val="en-US" w:eastAsia="zh-CN" w:bidi="ar-SA"/>
        </w:rPr>
      </w:pPr>
      <w:r>
        <w:rPr>
          <w:rFonts w:hint="eastAsia" w:ascii="仿宋_GB2312" w:hAnsi="Times New Roman" w:eastAsia="仿宋_GB2312" w:cs="仿宋_GB2312"/>
          <w:kern w:val="0"/>
          <w:sz w:val="32"/>
          <w:szCs w:val="32"/>
          <w:lang w:val="en-US"/>
        </w:rPr>
        <w:t>根据财政预算管理要求，我</w:t>
      </w:r>
      <w:r>
        <w:rPr>
          <w:rFonts w:hint="eastAsia" w:ascii="仿宋_GB2312" w:hAnsi="Times New Roman" w:eastAsia="仿宋_GB2312" w:cs="仿宋_GB2312"/>
          <w:kern w:val="0"/>
          <w:sz w:val="32"/>
          <w:szCs w:val="32"/>
          <w:lang w:val="en-US" w:eastAsia="zh-CN"/>
        </w:rPr>
        <w:t>单位</w:t>
      </w:r>
      <w:r>
        <w:rPr>
          <w:rFonts w:hint="eastAsia" w:ascii="仿宋_GB2312" w:hAnsi="Times New Roman" w:eastAsia="仿宋_GB2312" w:cs="仿宋_GB2312"/>
          <w:kern w:val="0"/>
          <w:sz w:val="32"/>
          <w:szCs w:val="32"/>
          <w:lang w:val="en-US"/>
        </w:rPr>
        <w:t>组织对</w:t>
      </w:r>
      <w:r>
        <w:rPr>
          <w:rFonts w:hint="eastAsia" w:ascii="仿宋_GB2312" w:hAnsi="Times New Roman" w:eastAsia="仿宋_GB2312" w:cs="仿宋_GB2312"/>
          <w:kern w:val="0"/>
          <w:sz w:val="32"/>
          <w:szCs w:val="32"/>
          <w:lang w:val="en-US" w:eastAsia="zh-CN"/>
        </w:rPr>
        <w:t>2021</w:t>
      </w:r>
      <w:r>
        <w:rPr>
          <w:rFonts w:hint="eastAsia" w:ascii="仿宋_GB2312" w:hAnsi="Times New Roman" w:eastAsia="仿宋_GB2312" w:cs="仿宋_GB2312"/>
          <w:kern w:val="0"/>
          <w:sz w:val="32"/>
          <w:szCs w:val="32"/>
          <w:lang w:val="en-US"/>
        </w:rPr>
        <w:t>年度一般公共预算整体支出绩效自评。涉及一般公共预算支出</w:t>
      </w:r>
      <w:r>
        <w:rPr>
          <w:rFonts w:hint="eastAsia" w:ascii="仿宋_GB2312" w:hAnsi="Times New Roman" w:eastAsia="仿宋_GB2312" w:cs="仿宋_GB2312"/>
          <w:kern w:val="0"/>
          <w:sz w:val="32"/>
          <w:szCs w:val="32"/>
          <w:lang w:val="en-US" w:eastAsia="zh-CN"/>
        </w:rPr>
        <w:t>92.50</w:t>
      </w:r>
      <w:r>
        <w:rPr>
          <w:rFonts w:hint="eastAsia" w:ascii="仿宋_GB2312" w:hAnsi="Times New Roman" w:eastAsia="仿宋_GB2312" w:cs="仿宋_GB2312"/>
          <w:kern w:val="0"/>
          <w:sz w:val="32"/>
          <w:szCs w:val="32"/>
          <w:lang w:val="en-US"/>
        </w:rPr>
        <w:t>万元</w:t>
      </w:r>
      <w:r>
        <w:rPr>
          <w:rFonts w:hint="eastAsia" w:ascii="仿宋_GB2312" w:hAnsi="Times New Roman" w:eastAsia="仿宋_GB2312" w:cs="仿宋_GB2312"/>
          <w:i w:val="0"/>
          <w:iCs w:val="0"/>
          <w:caps w:val="0"/>
          <w:spacing w:val="0"/>
          <w:sz w:val="32"/>
          <w:szCs w:val="32"/>
          <w:bdr w:val="none" w:sz="4" w:space="0"/>
          <w:shd w:val="clear"/>
          <w:lang w:val="en-US"/>
        </w:rPr>
        <w:t>，</w:t>
      </w:r>
      <w:r>
        <w:rPr>
          <w:rFonts w:hint="eastAsia" w:ascii="仿宋_GB2312" w:hAnsi="Times New Roman" w:eastAsia="仿宋_GB2312" w:cs="仿宋_GB2312"/>
          <w:i w:val="0"/>
          <w:iCs w:val="0"/>
          <w:caps w:val="0"/>
          <w:spacing w:val="0"/>
          <w:kern w:val="0"/>
          <w:sz w:val="32"/>
          <w:szCs w:val="32"/>
          <w:bdr w:val="none" w:sz="4" w:space="0"/>
          <w:shd w:val="clear"/>
          <w:lang w:val="en-US"/>
        </w:rPr>
        <w:t>政府性基金预算支出0万元</w:t>
      </w:r>
      <w:r>
        <w:rPr>
          <w:rFonts w:hint="eastAsia" w:ascii="仿宋_GB2312" w:hAnsi="Times New Roman" w:eastAsia="仿宋_GB2312" w:cs="仿宋_GB2312"/>
          <w:kern w:val="0"/>
          <w:sz w:val="32"/>
          <w:szCs w:val="32"/>
          <w:lang w:val="en-US" w:eastAsia="zh-CN"/>
        </w:rPr>
        <w:t>。</w:t>
      </w:r>
      <w:r>
        <w:rPr>
          <w:rFonts w:hint="eastAsia" w:ascii="仿宋_GB2312" w:hAnsi="Times New Roman" w:eastAsia="仿宋_GB2312" w:cs="仿宋_GB2312"/>
          <w:i w:val="0"/>
          <w:iCs w:val="0"/>
          <w:caps w:val="0"/>
          <w:spacing w:val="0"/>
          <w:kern w:val="0"/>
          <w:sz w:val="32"/>
          <w:szCs w:val="32"/>
          <w:shd w:val="clear"/>
          <w:lang w:val="en-US"/>
        </w:rPr>
        <w:t>从评价情况来看，</w:t>
      </w:r>
      <w:r>
        <w:rPr>
          <w:rFonts w:hint="eastAsia" w:ascii="仿宋_GB2312" w:hAnsi="Times New Roman" w:eastAsia="仿宋_GB2312" w:cs="仿宋_GB2312"/>
          <w:i w:val="0"/>
          <w:iCs w:val="0"/>
          <w:caps w:val="0"/>
          <w:spacing w:val="0"/>
          <w:kern w:val="0"/>
          <w:sz w:val="32"/>
          <w:szCs w:val="32"/>
          <w:bdr w:val="none" w:sz="4" w:space="0"/>
          <w:shd w:val="clear"/>
          <w:lang w:val="en-US"/>
        </w:rPr>
        <w:t>绩效自评得分为</w:t>
      </w:r>
      <w:r>
        <w:rPr>
          <w:rFonts w:hint="eastAsia" w:ascii="仿宋_GB2312" w:hAnsi="Times New Roman" w:eastAsia="仿宋_GB2312" w:cs="仿宋_GB2312"/>
          <w:i w:val="0"/>
          <w:iCs w:val="0"/>
          <w:caps w:val="0"/>
          <w:spacing w:val="0"/>
          <w:kern w:val="0"/>
          <w:sz w:val="32"/>
          <w:szCs w:val="32"/>
          <w:bdr w:val="none" w:sz="4" w:space="0"/>
          <w:shd w:val="clear"/>
          <w:lang w:val="en-US" w:eastAsia="zh-CN"/>
        </w:rPr>
        <w:t>100</w:t>
      </w:r>
      <w:r>
        <w:rPr>
          <w:rFonts w:hint="eastAsia" w:ascii="仿宋_GB2312" w:hAnsi="Times New Roman" w:eastAsia="仿宋_GB2312" w:cs="仿宋_GB2312"/>
          <w:i w:val="0"/>
          <w:iCs w:val="0"/>
          <w:caps w:val="0"/>
          <w:spacing w:val="0"/>
          <w:kern w:val="0"/>
          <w:sz w:val="32"/>
          <w:szCs w:val="32"/>
          <w:bdr w:val="none" w:sz="4" w:space="0"/>
          <w:shd w:val="clear"/>
          <w:lang w:val="en-US"/>
        </w:rPr>
        <w:t>分，其中预算资金</w:t>
      </w:r>
      <w:r>
        <w:rPr>
          <w:rFonts w:hint="eastAsia" w:ascii="仿宋_GB2312" w:hAnsi="Times New Roman" w:eastAsia="仿宋_GB2312" w:cs="仿宋_GB2312"/>
          <w:i w:val="0"/>
          <w:iCs w:val="0"/>
          <w:caps w:val="0"/>
          <w:spacing w:val="0"/>
          <w:kern w:val="0"/>
          <w:sz w:val="32"/>
          <w:szCs w:val="32"/>
          <w:bdr w:val="none" w:sz="4" w:space="0"/>
          <w:shd w:val="clear"/>
          <w:lang w:val="en-US" w:eastAsia="zh-CN"/>
        </w:rPr>
        <w:t>控制</w:t>
      </w:r>
      <w:r>
        <w:rPr>
          <w:rFonts w:hint="eastAsia" w:ascii="仿宋_GB2312" w:hAnsi="Times New Roman" w:eastAsia="仿宋_GB2312" w:cs="仿宋_GB2312"/>
          <w:i w:val="0"/>
          <w:iCs w:val="0"/>
          <w:caps w:val="0"/>
          <w:spacing w:val="0"/>
          <w:kern w:val="0"/>
          <w:sz w:val="32"/>
          <w:szCs w:val="32"/>
          <w:bdr w:val="none" w:sz="4" w:space="0"/>
          <w:shd w:val="clear"/>
          <w:lang w:val="en-US"/>
        </w:rPr>
        <w:t>率</w:t>
      </w:r>
      <w:r>
        <w:rPr>
          <w:rFonts w:hint="eastAsia" w:ascii="仿宋_GB2312" w:hAnsi="Times New Roman" w:eastAsia="仿宋_GB2312" w:cs="仿宋_GB2312"/>
          <w:i w:val="0"/>
          <w:iCs w:val="0"/>
          <w:caps w:val="0"/>
          <w:spacing w:val="0"/>
          <w:kern w:val="0"/>
          <w:sz w:val="32"/>
          <w:szCs w:val="32"/>
          <w:bdr w:val="none" w:sz="4" w:space="0"/>
          <w:shd w:val="clear"/>
          <w:lang w:val="en-US" w:eastAsia="zh-CN"/>
        </w:rPr>
        <w:t>9</w:t>
      </w:r>
      <w:r>
        <w:rPr>
          <w:rFonts w:hint="eastAsia" w:ascii="仿宋_GB2312" w:hAnsi="Times New Roman" w:eastAsia="仿宋_GB2312" w:cs="仿宋_GB2312"/>
          <w:i w:val="0"/>
          <w:iCs w:val="0"/>
          <w:caps w:val="0"/>
          <w:spacing w:val="0"/>
          <w:kern w:val="0"/>
          <w:sz w:val="32"/>
          <w:szCs w:val="32"/>
          <w:bdr w:val="none" w:sz="4" w:space="0"/>
          <w:shd w:val="clear"/>
          <w:lang w:val="en-US"/>
        </w:rPr>
        <w:t>0%，得</w:t>
      </w:r>
      <w:r>
        <w:rPr>
          <w:rFonts w:hint="eastAsia" w:ascii="仿宋_GB2312" w:hAnsi="Times New Roman" w:eastAsia="仿宋_GB2312" w:cs="仿宋_GB2312"/>
          <w:i w:val="0"/>
          <w:iCs w:val="0"/>
          <w:caps w:val="0"/>
          <w:spacing w:val="0"/>
          <w:kern w:val="0"/>
          <w:sz w:val="32"/>
          <w:szCs w:val="32"/>
          <w:bdr w:val="none" w:sz="4" w:space="0"/>
          <w:shd w:val="clear"/>
          <w:lang w:val="en-US" w:eastAsia="zh-CN"/>
        </w:rPr>
        <w:t>5</w:t>
      </w:r>
      <w:r>
        <w:rPr>
          <w:rFonts w:hint="eastAsia" w:ascii="仿宋_GB2312" w:hAnsi="Times New Roman" w:eastAsia="仿宋_GB2312" w:cs="仿宋_GB2312"/>
          <w:i w:val="0"/>
          <w:iCs w:val="0"/>
          <w:caps w:val="0"/>
          <w:spacing w:val="0"/>
          <w:kern w:val="0"/>
          <w:sz w:val="32"/>
          <w:szCs w:val="32"/>
          <w:bdr w:val="none" w:sz="4" w:space="0"/>
          <w:shd w:val="clear"/>
          <w:lang w:val="en-US"/>
        </w:rPr>
        <w:t>分。</w:t>
      </w:r>
      <w:r>
        <w:rPr>
          <w:rFonts w:hint="eastAsia" w:ascii="仿宋_GB2312" w:hAnsi="Times New Roman" w:eastAsia="仿宋_GB2312" w:cs="仿宋_GB2312"/>
          <w:i w:val="0"/>
          <w:iCs w:val="0"/>
          <w:caps w:val="0"/>
          <w:spacing w:val="0"/>
          <w:kern w:val="0"/>
          <w:sz w:val="32"/>
          <w:szCs w:val="32"/>
          <w:bdr w:val="none" w:sz="4" w:space="0"/>
          <w:shd w:val="clear"/>
          <w:lang w:val="en-US" w:eastAsia="zh-CN"/>
        </w:rPr>
        <w:t>本单位</w:t>
      </w:r>
      <w:r>
        <w:rPr>
          <w:rFonts w:hint="eastAsia" w:ascii="仿宋_GB2312" w:hAnsi="Times New Roman" w:eastAsia="仿宋_GB2312" w:cs="仿宋_GB2312"/>
          <w:spacing w:val="0"/>
          <w:kern w:val="0"/>
          <w:sz w:val="32"/>
          <w:szCs w:val="32"/>
          <w:lang w:val="en-US" w:eastAsia="zh-CN" w:bidi="ar-SA"/>
        </w:rPr>
        <w:t>贯彻执行国家、自治区、柳州市有关科技创新发展方面的法律法规、方针政策和规划，加强对全市创新驱动发展规划、创新体系建设和科技体制改革等方面的研究。联合城区科技局，组织进社区科教兴市宣传教育活动；为培养青少年爱国爱党，树立共产主义接班人志向，在柳州市科技局、市科协的精心指导下，城中区科技局“童心向党”系列科普活动之党旗制作在文博社区党群服务中心开展，吸引了辖区二十余名少年儿童踊跃参与。</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i w:val="0"/>
          <w:iCs w:val="0"/>
          <w:caps w:val="0"/>
          <w:spacing w:val="0"/>
          <w:kern w:val="0"/>
          <w:sz w:val="32"/>
          <w:szCs w:val="32"/>
          <w:shd w:val="clear"/>
        </w:rPr>
        <w:t>下一步改进措施：一是预算控制率需进一步加强；二是服务质量需进一步提升，不断提升满意度。</w:t>
      </w:r>
    </w:p>
    <w:p>
      <w:pPr>
        <w:autoSpaceDE w:val="0"/>
        <w:autoSpaceDN w:val="0"/>
        <w:adjustRightInd w:val="0"/>
        <w:spacing w:line="580" w:lineRule="exact"/>
        <w:ind w:firstLine="0" w:firstLineChars="0"/>
        <w:jc w:val="left"/>
        <w:rPr>
          <w:rFonts w:ascii="仿宋_GB2312" w:eastAsia="仿宋_GB2312" w:cs="仿宋_GB2312"/>
          <w:kern w:val="0"/>
          <w:sz w:val="32"/>
          <w:szCs w:val="32"/>
        </w:rPr>
      </w:pPr>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WQ5M2I0YTMxNzdiOGEzMTY1MDlhYmY1NmZhMDkifQ=="/>
  </w:docVars>
  <w:rsids>
    <w:rsidRoot w:val="4C256E3D"/>
    <w:rsid w:val="00066CA3"/>
    <w:rsid w:val="006C1367"/>
    <w:rsid w:val="00715385"/>
    <w:rsid w:val="00F66C5B"/>
    <w:rsid w:val="03C2489D"/>
    <w:rsid w:val="05352423"/>
    <w:rsid w:val="094B45FA"/>
    <w:rsid w:val="0A0C33E4"/>
    <w:rsid w:val="0B424B1D"/>
    <w:rsid w:val="0D933606"/>
    <w:rsid w:val="0DA86951"/>
    <w:rsid w:val="0E074DDF"/>
    <w:rsid w:val="0EC83B7B"/>
    <w:rsid w:val="0F0F5ED6"/>
    <w:rsid w:val="124204B5"/>
    <w:rsid w:val="14F016D4"/>
    <w:rsid w:val="15823E15"/>
    <w:rsid w:val="1612602D"/>
    <w:rsid w:val="16B90A0F"/>
    <w:rsid w:val="182962AB"/>
    <w:rsid w:val="19D073EB"/>
    <w:rsid w:val="1A650904"/>
    <w:rsid w:val="1CC31F67"/>
    <w:rsid w:val="2249565E"/>
    <w:rsid w:val="24D337DC"/>
    <w:rsid w:val="26460DBA"/>
    <w:rsid w:val="27F31225"/>
    <w:rsid w:val="280035DD"/>
    <w:rsid w:val="2B6F74EB"/>
    <w:rsid w:val="2C1F0B15"/>
    <w:rsid w:val="2C4219FE"/>
    <w:rsid w:val="335718FE"/>
    <w:rsid w:val="34020F86"/>
    <w:rsid w:val="341361ED"/>
    <w:rsid w:val="39A63F06"/>
    <w:rsid w:val="3BED478F"/>
    <w:rsid w:val="3C017E2C"/>
    <w:rsid w:val="3E6F4772"/>
    <w:rsid w:val="3EA872B2"/>
    <w:rsid w:val="3ED1439F"/>
    <w:rsid w:val="42235D58"/>
    <w:rsid w:val="44500BF5"/>
    <w:rsid w:val="44560C84"/>
    <w:rsid w:val="47F43786"/>
    <w:rsid w:val="48374EDC"/>
    <w:rsid w:val="4A376E49"/>
    <w:rsid w:val="4C256E3D"/>
    <w:rsid w:val="4CB52F0F"/>
    <w:rsid w:val="4E2875DF"/>
    <w:rsid w:val="50C04C3A"/>
    <w:rsid w:val="532F1F9A"/>
    <w:rsid w:val="539A6F9B"/>
    <w:rsid w:val="559117FB"/>
    <w:rsid w:val="57217D5E"/>
    <w:rsid w:val="57931D57"/>
    <w:rsid w:val="5DBB25AC"/>
    <w:rsid w:val="5E995A3E"/>
    <w:rsid w:val="5F341B4E"/>
    <w:rsid w:val="5F933EA7"/>
    <w:rsid w:val="5F95061E"/>
    <w:rsid w:val="5FC1266C"/>
    <w:rsid w:val="617E254E"/>
    <w:rsid w:val="62163194"/>
    <w:rsid w:val="624D024D"/>
    <w:rsid w:val="650E086A"/>
    <w:rsid w:val="69635AAF"/>
    <w:rsid w:val="6BAA0708"/>
    <w:rsid w:val="6C2F15FB"/>
    <w:rsid w:val="70046E9D"/>
    <w:rsid w:val="72231A60"/>
    <w:rsid w:val="743631A3"/>
    <w:rsid w:val="75AF6C8B"/>
    <w:rsid w:val="77474C4B"/>
    <w:rsid w:val="7AB34F96"/>
    <w:rsid w:val="7E3D3DE4"/>
    <w:rsid w:val="7E8C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pPr>
      <w:ind w:left="102"/>
    </w:pPr>
    <w:rPr>
      <w:rFonts w:hint="eastAsia" w:ascii="宋体" w:hAnsi="宋体"/>
      <w:sz w:val="29"/>
    </w:rPr>
  </w:style>
  <w:style w:type="paragraph" w:styleId="3">
    <w:name w:val="Title"/>
    <w:basedOn w:val="1"/>
    <w:next w:val="1"/>
    <w:qFormat/>
    <w:uiPriority w:val="0"/>
    <w:pPr>
      <w:spacing w:before="240" w:after="60"/>
      <w:jc w:val="center"/>
      <w:outlineLvl w:val="0"/>
    </w:pPr>
    <w:rPr>
      <w:rFonts w:ascii="Arial" w:hAnsi="Arial"/>
      <w:b/>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批注框文本 Char"/>
    <w:basedOn w:val="9"/>
    <w:link w:val="4"/>
    <w:qFormat/>
    <w:uiPriority w:val="0"/>
    <w:rPr>
      <w:kern w:val="2"/>
      <w:sz w:val="18"/>
      <w:szCs w:val="18"/>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正文1"/>
    <w:basedOn w:val="1"/>
    <w:qFormat/>
    <w:uiPriority w:val="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20" w:lineRule="exact"/>
      <w:ind w:left="420" w:leftChars="200"/>
    </w:pPr>
    <w:rPr>
      <w:rFonts w:eastAsia="Times New Roman" w:cs="新宋体"/>
      <w:kern w:val="0"/>
      <w:sz w:val="28"/>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4568</Words>
  <Characters>4991</Characters>
  <Lines>60</Lines>
  <Paragraphs>17</Paragraphs>
  <TotalTime>13</TotalTime>
  <ScaleCrop>false</ScaleCrop>
  <LinksUpToDate>false</LinksUpToDate>
  <CharactersWithSpaces>5031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2023-06-07T07:35:00Z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FD49F2783814454DBC3210EADABF73B0</vt:lpwstr>
  </property>
</Properties>
</file>