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default" w:ascii="黑体" w:hAnsi="黑体" w:eastAsia="黑体"/>
          <w:bCs/>
          <w:color w:val="000000"/>
          <w:sz w:val="52"/>
          <w:szCs w:val="52"/>
          <w:lang w:val="en-US" w:eastAsia="zh-CN"/>
        </w:rPr>
      </w:pPr>
      <w:r>
        <w:rPr>
          <w:rFonts w:hint="eastAsia" w:ascii="黑体" w:hAnsi="黑体" w:eastAsia="黑体"/>
          <w:bCs/>
          <w:color w:val="000000"/>
          <w:sz w:val="52"/>
          <w:szCs w:val="52"/>
          <w:lang w:val="en-US" w:eastAsia="zh-CN"/>
        </w:rPr>
        <w:t>柳州市学生资助管理中心</w:t>
      </w:r>
    </w:p>
    <w:p>
      <w:pPr>
        <w:jc w:val="center"/>
        <w:rPr>
          <w:rFonts w:ascii="黑体" w:eastAsia="黑体" w:cs="ArialUnicodeMS"/>
          <w:kern w:val="0"/>
          <w:sz w:val="52"/>
          <w:szCs w:val="52"/>
        </w:rPr>
      </w:pPr>
      <w:r>
        <w:rPr>
          <w:rFonts w:hint="eastAsia" w:ascii="黑体" w:eastAsia="黑体"/>
          <w:kern w:val="0"/>
          <w:sz w:val="52"/>
          <w:szCs w:val="52"/>
        </w:rPr>
        <w:t>202</w:t>
      </w:r>
      <w:r>
        <w:rPr>
          <w:rFonts w:hint="eastAsia" w:ascii="黑体" w:eastAsia="黑体"/>
          <w:kern w:val="0"/>
          <w:sz w:val="52"/>
          <w:szCs w:val="52"/>
          <w:lang w:val="en-US" w:eastAsia="zh-CN"/>
        </w:rPr>
        <w:t>1</w:t>
      </w:r>
      <w:r>
        <w:rPr>
          <w:rFonts w:hint="eastAsia" w:ascii="黑体" w:eastAsia="黑体" w:cs="ArialUnicodeMS"/>
          <w:kern w:val="0"/>
          <w:sz w:val="52"/>
          <w:szCs w:val="52"/>
        </w:rPr>
        <w:t>年度</w:t>
      </w:r>
      <w:r>
        <w:rPr>
          <w:rFonts w:hint="eastAsia" w:ascii="黑体" w:eastAsia="黑体" w:cs="ArialUnicodeMS"/>
          <w:kern w:val="0"/>
          <w:sz w:val="52"/>
          <w:szCs w:val="52"/>
          <w:lang w:val="en-US"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both"/>
        <w:rPr>
          <w:rFonts w:ascii="黑体" w:eastAsia="黑体" w:cs="黑体"/>
          <w:kern w:val="0"/>
          <w:sz w:val="44"/>
          <w:szCs w:val="44"/>
        </w:rPr>
      </w:pPr>
    </w:p>
    <w:p>
      <w:pPr>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val="en-US" w:eastAsia="zh-CN"/>
        </w:rPr>
        <w:t>柳州市学生资助管理中心</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单位机构设置情况</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val="en-US" w:eastAsia="zh-CN"/>
        </w:rPr>
        <w:t>柳州市学生资助管理中心</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w:t>
      </w:r>
      <w:r>
        <w:rPr>
          <w:rFonts w:hint="eastAsia" w:ascii="仿宋_GB2312" w:eastAsia="仿宋_GB2312"/>
          <w:sz w:val="32"/>
          <w:szCs w:val="32"/>
          <w:lang w:val="en-US" w:eastAsia="zh-CN"/>
        </w:rPr>
        <w:t>明细</w:t>
      </w:r>
      <w:r>
        <w:rPr>
          <w:rFonts w:hint="eastAsia" w:ascii="仿宋_GB2312" w:eastAsia="仿宋_GB2312"/>
          <w:sz w:val="32"/>
          <w:szCs w:val="32"/>
        </w:rPr>
        <w:t>表</w:t>
      </w:r>
    </w:p>
    <w:p>
      <w:pPr>
        <w:keepNext w:val="0"/>
        <w:keepLines w:val="0"/>
        <w:pageBreakBefore w:val="0"/>
        <w:widowControl w:val="0"/>
        <w:kinsoku/>
        <w:wordWrap/>
        <w:overflowPunct/>
        <w:topLinePunct w:val="0"/>
        <w:autoSpaceDE/>
        <w:autoSpaceDN/>
        <w:bidi w:val="0"/>
        <w:adjustRightInd/>
        <w:snapToGrid/>
        <w:ind w:left="0" w:leftChars="0" w:firstLine="640" w:firstLineChars="200"/>
        <w:jc w:val="left"/>
        <w:textAlignment w:val="auto"/>
        <w:rPr>
          <w:rFonts w:ascii="仿宋_GB2312" w:eastAsia="仿宋_GB2312"/>
          <w:sz w:val="32"/>
          <w:szCs w:val="32"/>
        </w:rPr>
      </w:pPr>
      <w:r>
        <w:rPr>
          <w:rFonts w:hint="eastAsia" w:ascii="仿宋_GB2312" w:eastAsia="仿宋_GB2312"/>
          <w:sz w:val="32"/>
          <w:szCs w:val="32"/>
        </w:rPr>
        <w:t>表七：一般公共预算财政拨款“</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val="en-US" w:eastAsia="zh-CN"/>
        </w:rPr>
        <w:t>柳州市学生资助管理中心</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一、2021年度收入支出决算总体情况。</w:t>
      </w:r>
    </w:p>
    <w:p>
      <w:pPr>
        <w:ind w:left="64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二、2021年度一般公共预算财政拨款支出决算情况。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三、2021年度一般公共预算财政拨款基本支出决算情况说明。</w:t>
      </w:r>
    </w:p>
    <w:p>
      <w:pPr>
        <w:ind w:left="64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四、2021年度政府性基金支出决算情况。</w:t>
      </w:r>
    </w:p>
    <w:p>
      <w:pPr>
        <w:ind w:left="645"/>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五、2021年度国有资本经营预算支出决算情况</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六、一般公共预算财政拨款“三公”经费支出决算情况说明。</w:t>
      </w:r>
    </w:p>
    <w:p>
      <w:pPr>
        <w:ind w:left="645"/>
        <w:jc w:val="left"/>
        <w:rPr>
          <w:rFonts w:hint="eastAsia" w:ascii="仿宋_GB2312" w:eastAsia="仿宋_GB2312" w:cs="仿宋_GB2312"/>
          <w:bCs/>
          <w:kern w:val="0"/>
          <w:sz w:val="32"/>
          <w:szCs w:val="32"/>
        </w:rPr>
      </w:pPr>
      <w:r>
        <w:rPr>
          <w:rFonts w:hint="eastAsia" w:ascii="仿宋_GB2312" w:hAns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val="en-US" w:eastAsia="zh-CN"/>
        </w:rPr>
        <w:t>柳州市学生资助管理中心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ascii="仿宋_GB2312" w:eastAsia="仿宋_GB2312"/>
          <w:sz w:val="32"/>
          <w:szCs w:val="32"/>
        </w:rPr>
      </w:pPr>
      <w:r>
        <w:rPr>
          <w:rFonts w:hint="eastAsia" w:ascii="仿宋_GB2312" w:hAnsi="Times New Roman" w:eastAsia="仿宋_GB2312"/>
          <w:color w:val="000000"/>
          <w:sz w:val="32"/>
          <w:szCs w:val="32"/>
        </w:rPr>
        <w:t>（一）贯彻落实国家和自治区、市有关学生资助政策，积极推动各级各类学校学生的资助工作，</w:t>
      </w:r>
      <w:r>
        <w:rPr>
          <w:rFonts w:hint="eastAsia" w:ascii="仿宋_GB2312" w:eastAsia="仿宋_GB2312"/>
          <w:sz w:val="32"/>
          <w:szCs w:val="32"/>
        </w:rPr>
        <w:t>对市本级学生资助政策的制定提出建议。</w:t>
      </w:r>
    </w:p>
    <w:p>
      <w:pPr>
        <w:spacing w:line="560" w:lineRule="exact"/>
        <w:ind w:firstLine="627" w:firstLineChars="196"/>
        <w:rPr>
          <w:rFonts w:ascii="仿宋_GB2312" w:hAnsi="Times New Roman" w:eastAsia="仿宋_GB2312"/>
          <w:color w:val="000000"/>
          <w:sz w:val="32"/>
          <w:szCs w:val="32"/>
        </w:rPr>
      </w:pPr>
      <w:r>
        <w:rPr>
          <w:rFonts w:hint="eastAsia" w:ascii="仿宋_GB2312" w:hAnsi="Times New Roman" w:eastAsia="仿宋_GB2312"/>
          <w:color w:val="000000"/>
          <w:sz w:val="32"/>
          <w:szCs w:val="32"/>
        </w:rPr>
        <w:t>（二）宣传相关学生资助政策，协调落实学前教育、义务教育、普通高中教育、中等职业教育资助政策。</w:t>
      </w:r>
    </w:p>
    <w:p>
      <w:pPr>
        <w:spacing w:line="560" w:lineRule="exact"/>
        <w:ind w:firstLine="627" w:firstLineChars="196"/>
        <w:rPr>
          <w:rFonts w:ascii="仿宋_GB2312" w:eastAsia="仿宋_GB2312"/>
          <w:sz w:val="32"/>
          <w:szCs w:val="32"/>
        </w:rPr>
      </w:pPr>
      <w:r>
        <w:rPr>
          <w:rFonts w:hint="eastAsia" w:ascii="仿宋_GB2312" w:hAnsi="Times New Roman" w:eastAsia="仿宋_GB2312"/>
          <w:color w:val="000000"/>
          <w:sz w:val="32"/>
          <w:szCs w:val="32"/>
        </w:rPr>
        <w:t>（三）负责组织市教育局局属学校开展各项学生资助工作，负责指导督促各县区教育行政部门开展学前教育、义务教育、普通高中教育、中等职业教育等学段的学生资助工作、生源地信用助学贷款工作、高校毕业生学费补偿和国家助学贷款补偿工作，</w:t>
      </w:r>
      <w:r>
        <w:rPr>
          <w:rFonts w:hint="eastAsia" w:ascii="仿宋_GB2312" w:eastAsia="仿宋_GB2312"/>
          <w:sz w:val="32"/>
          <w:szCs w:val="32"/>
        </w:rPr>
        <w:t>负责汇总全市各学生资助项目数据上报自治区教育厅。</w:t>
      </w:r>
    </w:p>
    <w:p>
      <w:pPr>
        <w:spacing w:line="560" w:lineRule="exact"/>
        <w:ind w:firstLine="627" w:firstLineChars="196"/>
        <w:rPr>
          <w:rFonts w:ascii="仿宋_GB2312" w:hAnsi="Times New Roman" w:eastAsia="仿宋_GB2312"/>
          <w:color w:val="000000"/>
          <w:sz w:val="32"/>
          <w:szCs w:val="32"/>
        </w:rPr>
      </w:pPr>
      <w:r>
        <w:rPr>
          <w:rFonts w:hint="eastAsia" w:ascii="仿宋_GB2312" w:hAnsi="Times New Roman" w:eastAsia="仿宋_GB2312"/>
          <w:color w:val="000000"/>
          <w:sz w:val="32"/>
          <w:szCs w:val="32"/>
        </w:rPr>
        <w:t>（</w:t>
      </w:r>
      <w:r>
        <w:rPr>
          <w:rFonts w:hint="eastAsia" w:ascii="仿宋_GB2312" w:hAnsi="宋体" w:eastAsia="仿宋_GB2312"/>
          <w:color w:val="000000"/>
          <w:sz w:val="32"/>
          <w:szCs w:val="32"/>
        </w:rPr>
        <w:t>四</w:t>
      </w:r>
      <w:r>
        <w:rPr>
          <w:rFonts w:hint="eastAsia" w:ascii="仿宋_GB2312" w:hAnsi="Times New Roman" w:eastAsia="仿宋_GB2312"/>
          <w:color w:val="000000"/>
          <w:sz w:val="32"/>
          <w:szCs w:val="32"/>
        </w:rPr>
        <w:t>）负责指导督促各县区教育行政部门实施农村义务教育学生营养改善计划工作。</w:t>
      </w:r>
    </w:p>
    <w:p>
      <w:pPr>
        <w:spacing w:line="560" w:lineRule="exact"/>
        <w:ind w:firstLine="627" w:firstLineChars="196"/>
        <w:rPr>
          <w:rFonts w:ascii="仿宋_GB2312" w:hAnsi="Times New Roman" w:eastAsia="仿宋_GB2312"/>
          <w:color w:val="000000"/>
          <w:sz w:val="32"/>
          <w:szCs w:val="32"/>
        </w:rPr>
      </w:pPr>
      <w:r>
        <w:rPr>
          <w:rFonts w:hint="eastAsia" w:ascii="仿宋_GB2312" w:hAnsi="Times New Roman" w:eastAsia="仿宋_GB2312"/>
          <w:color w:val="000000"/>
          <w:sz w:val="32"/>
          <w:szCs w:val="32"/>
        </w:rPr>
        <w:t>（五）负责</w:t>
      </w:r>
      <w:r>
        <w:rPr>
          <w:rFonts w:hint="eastAsia" w:ascii="仿宋_GB2312" w:hAnsi="Times New Roman" w:eastAsia="仿宋_GB2312"/>
          <w:color w:val="000000"/>
          <w:sz w:val="32"/>
          <w:szCs w:val="32"/>
          <w:lang w:eastAsia="zh-CN"/>
        </w:rPr>
        <w:t>指导</w:t>
      </w:r>
      <w:r>
        <w:rPr>
          <w:rFonts w:hint="eastAsia" w:ascii="仿宋_GB2312" w:hAnsi="Times New Roman" w:eastAsia="仿宋_GB2312"/>
          <w:color w:val="000000"/>
          <w:sz w:val="32"/>
          <w:szCs w:val="32"/>
        </w:rPr>
        <w:t>局属学校食堂食品安全监督管理工作，指导督促各县区教育行政部门开展学校食堂食品安全监督管理与营养健康工作。</w:t>
      </w:r>
    </w:p>
    <w:p>
      <w:pPr>
        <w:ind w:firstLine="646"/>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（六）完成主管部门交办的其他任务。</w:t>
      </w:r>
    </w:p>
    <w:p>
      <w:pPr>
        <w:ind w:firstLine="646"/>
        <w:rPr>
          <w:rFonts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val="en-US" w:eastAsia="zh-CN"/>
        </w:rPr>
        <w:t>单位机构设置情况</w:t>
      </w:r>
    </w:p>
    <w:p>
      <w:pPr>
        <w:spacing w:line="560" w:lineRule="exact"/>
        <w:ind w:firstLine="627" w:firstLineChars="196"/>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柳州市学生资助管理中心为市教育局管理的正科级公益一类全额拨款事业单位。根据市委编办机构编制文件要求，柳州市学生资助管理中心无内设机构。</w:t>
      </w:r>
    </w:p>
    <w:p>
      <w:pPr>
        <w:jc w:val="center"/>
      </w:pPr>
    </w:p>
    <w:p>
      <w:pPr>
        <w:jc w:val="center"/>
      </w:pPr>
    </w:p>
    <w:p>
      <w:pPr>
        <w:jc w:val="center"/>
        <w:rPr>
          <w:rFonts w:hint="eastAsia" w:ascii="仿宋_GB2312" w:hAnsi="黑体" w:eastAsia="仿宋_GB2312"/>
          <w:b/>
          <w:bCs/>
          <w:color w:val="000000"/>
          <w:sz w:val="32"/>
          <w:szCs w:val="32"/>
          <w:u w:val="none"/>
          <w:lang w:val="en-US" w:eastAsia="zh-CN"/>
        </w:rPr>
      </w:pPr>
      <w:r>
        <w:rPr>
          <w:rFonts w:hint="eastAsia" w:ascii="仿宋_GB2312" w:hAnsi="黑体" w:eastAsia="仿宋_GB2312"/>
          <w:b/>
          <w:bCs/>
          <w:color w:val="000000"/>
          <w:sz w:val="32"/>
          <w:szCs w:val="32"/>
          <w:u w:val="none"/>
          <w:lang w:val="en-US" w:eastAsia="zh-CN"/>
        </w:rPr>
        <w:t>第二部分：柳州市学生资助管理中心2021年单位决算报表</w:t>
      </w:r>
    </w:p>
    <w:p>
      <w:pPr>
        <w:jc w:val="center"/>
        <w:rPr>
          <w:rFonts w:hint="eastAsia" w:ascii="黑体" w:hAnsi="黑体" w:eastAsia="黑体"/>
          <w:sz w:val="32"/>
          <w:szCs w:val="32"/>
        </w:rPr>
      </w:pPr>
      <w:r>
        <w:rPr>
          <w:rFonts w:hint="eastAsia" w:ascii="黑体" w:hAnsi="黑体" w:eastAsia="黑体"/>
          <w:sz w:val="32"/>
          <w:szCs w:val="32"/>
        </w:rPr>
        <w:t>(此部分另附表格，详见附件：</w:t>
      </w:r>
      <w:r>
        <w:rPr>
          <w:rFonts w:hint="eastAsia" w:ascii="黑体" w:hAnsi="黑体" w:eastAsia="黑体"/>
          <w:sz w:val="32"/>
          <w:szCs w:val="32"/>
          <w:lang w:val="en-US" w:eastAsia="zh-CN"/>
        </w:rPr>
        <w:t>柳州市学生资助管理中心</w:t>
      </w:r>
      <w:r>
        <w:rPr>
          <w:rFonts w:hint="eastAsia" w:ascii="黑体" w:hAnsi="黑体" w:eastAsia="黑体"/>
          <w:sz w:val="32"/>
          <w:szCs w:val="32"/>
        </w:rPr>
        <w:t>202</w:t>
      </w:r>
      <w:r>
        <w:rPr>
          <w:rFonts w:hint="eastAsia" w:ascii="黑体" w:hAnsi="黑体" w:eastAsia="黑体"/>
          <w:sz w:val="32"/>
          <w:szCs w:val="32"/>
          <w:lang w:val="en-US" w:eastAsia="zh-CN"/>
        </w:rPr>
        <w:t>1</w:t>
      </w:r>
      <w:r>
        <w:rPr>
          <w:rFonts w:hint="eastAsia" w:ascii="黑体" w:hAnsi="黑体" w:eastAsia="黑体"/>
          <w:sz w:val="32"/>
          <w:szCs w:val="32"/>
        </w:rPr>
        <w:t>年度</w:t>
      </w:r>
      <w:r>
        <w:rPr>
          <w:rFonts w:hint="eastAsia" w:ascii="黑体" w:hAnsi="黑体" w:eastAsia="黑体"/>
          <w:sz w:val="32"/>
          <w:szCs w:val="32"/>
          <w:lang w:val="en-US" w:eastAsia="zh-CN"/>
        </w:rPr>
        <w:t>单位</w:t>
      </w:r>
      <w:r>
        <w:rPr>
          <w:rFonts w:hint="eastAsia" w:ascii="黑体" w:hAnsi="黑体" w:eastAsia="黑体"/>
          <w:sz w:val="32"/>
          <w:szCs w:val="32"/>
        </w:rPr>
        <w:t>决算公开表)</w:t>
      </w:r>
    </w:p>
    <w:p>
      <w:pPr>
        <w:jc w:val="center"/>
        <w:rPr>
          <w:rFonts w:hint="eastAsia" w:ascii="黑体" w:hAnsi="黑体" w:eastAsia="黑体"/>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val="en-US" w:eastAsia="zh-CN"/>
        </w:rPr>
        <w:t>柳州市学生资助管理中心</w:t>
      </w:r>
      <w:r>
        <w:rPr>
          <w:rFonts w:hint="eastAsia" w:ascii="仿宋_GB2312" w:eastAsia="仿宋_GB2312"/>
          <w:b/>
          <w:sz w:val="32"/>
          <w:szCs w:val="32"/>
        </w:rPr>
        <w:t>202</w:t>
      </w:r>
      <w:r>
        <w:rPr>
          <w:rFonts w:hint="eastAsia" w:ascii="仿宋_GB2312" w:eastAsia="仿宋_GB2312"/>
          <w:b/>
          <w:sz w:val="32"/>
          <w:szCs w:val="32"/>
          <w:lang w:val="en-US" w:eastAsia="zh-CN"/>
        </w:rPr>
        <w:t>1</w:t>
      </w:r>
      <w:r>
        <w:rPr>
          <w:rFonts w:hint="eastAsia" w:ascii="仿宋_GB2312" w:eastAsia="仿宋_GB2312"/>
          <w:b/>
          <w:sz w:val="32"/>
          <w:szCs w:val="32"/>
        </w:rPr>
        <w:t>年度</w:t>
      </w:r>
      <w:r>
        <w:rPr>
          <w:rFonts w:hint="eastAsia" w:ascii="仿宋_GB2312" w:eastAsia="仿宋_GB2312"/>
          <w:b/>
          <w:sz w:val="32"/>
          <w:szCs w:val="32"/>
          <w:lang w:val="en-US" w:eastAsia="zh-CN"/>
        </w:rPr>
        <w:t>单位</w:t>
      </w:r>
      <w:r>
        <w:rPr>
          <w:rFonts w:hint="eastAsia" w:ascii="仿宋_GB2312" w:eastAsia="仿宋_GB2312"/>
          <w:b/>
          <w:sz w:val="32"/>
          <w:szCs w:val="32"/>
        </w:rPr>
        <w:t>决算</w:t>
      </w:r>
    </w:p>
    <w:p>
      <w:pPr>
        <w:spacing w:line="580" w:lineRule="exact"/>
        <w:jc w:val="center"/>
        <w:rPr>
          <w:rFonts w:ascii="仿宋_GB2312" w:eastAsia="仿宋_GB2312"/>
          <w:b/>
          <w:sz w:val="32"/>
          <w:szCs w:val="32"/>
        </w:rPr>
      </w:pPr>
      <w:r>
        <w:rPr>
          <w:rFonts w:hint="eastAsia" w:ascii="仿宋_GB2312" w:eastAsia="仿宋_GB2312"/>
          <w:b/>
          <w:sz w:val="32"/>
          <w:szCs w:val="32"/>
        </w:rPr>
        <w:t>情况说明</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rPr>
        <w:t>6876.28</w:t>
      </w:r>
      <w:r>
        <w:rPr>
          <w:rFonts w:hint="eastAsia" w:ascii="仿宋_GB2312" w:eastAsia="仿宋_GB2312" w:cs="仿宋_GB2312"/>
          <w:kern w:val="0"/>
          <w:sz w:val="32"/>
          <w:szCs w:val="32"/>
        </w:rPr>
        <w:t>万元，其中本年收入6817.34万元,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2211.79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47.42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6817.3</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2200.65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47.67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上年度部分资助项目资金下达至相关公办学校，本年直接全部下达至我单位。</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与上年持平，主要原因是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无此项收入，故没有变动。</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与上年持平，主要原因是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无此项收入，故没有变动</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与上年持平，主要原因是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无此项收入，故没有变动</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与上年持平，主要原因是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无此项收入，故没有变动</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0.04</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both"/>
        <w:rPr>
          <w:rFonts w:hint="default" w:ascii="仿宋_GB2312" w:eastAsia="仿宋_GB2312" w:cs="仿宋_GB2312"/>
          <w:kern w:val="0"/>
          <w:sz w:val="32"/>
          <w:szCs w:val="32"/>
          <w:lang w:val="en-US"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33.33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我单位其他收入均为银行利息收入，本年银行利息收入稍有增加。</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与上年持平，主要原因是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无此项收入，故没有变动</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rPr>
        <w:t>58.94</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11.12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23.25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本年部分项目支出使用上年结转和结余资金增长，属于正常变动。</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rPr>
        <w:t>6876.28</w:t>
      </w:r>
      <w:r>
        <w:rPr>
          <w:rFonts w:hint="eastAsia" w:ascii="仿宋_GB2312" w:eastAsia="仿宋_GB2312" w:cs="仿宋_GB2312"/>
          <w:kern w:val="0"/>
          <w:sz w:val="32"/>
          <w:szCs w:val="32"/>
        </w:rPr>
        <w:t>万元，其中本年支出6871.25万元,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2211.79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47.42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教育支出</w:t>
      </w:r>
      <w:r>
        <w:rPr>
          <w:rFonts w:hint="eastAsia" w:ascii="仿宋_GB2312" w:eastAsia="仿宋_GB2312" w:cs="仿宋_GB2312"/>
          <w:kern w:val="0"/>
          <w:sz w:val="32"/>
          <w:szCs w:val="32"/>
        </w:rPr>
        <w:t>（类）</w:t>
      </w:r>
      <w:r>
        <w:rPr>
          <w:rFonts w:hint="eastAsia" w:ascii="仿宋_GB2312" w:eastAsia="仿宋_GB2312"/>
          <w:kern w:val="0"/>
          <w:sz w:val="32"/>
          <w:szCs w:val="32"/>
        </w:rPr>
        <w:t>6843.27</w:t>
      </w:r>
      <w:r>
        <w:rPr>
          <w:rFonts w:hint="eastAsia" w:ascii="仿宋_GB2312" w:eastAsia="仿宋_GB2312" w:cs="仿宋_GB2312"/>
          <w:kern w:val="0"/>
          <w:sz w:val="32"/>
          <w:szCs w:val="32"/>
        </w:rPr>
        <w:t>万元：主要用于其他教育管理事务支出</w:t>
      </w:r>
      <w:r>
        <w:rPr>
          <w:rFonts w:hint="eastAsia" w:ascii="仿宋_GB2312" w:eastAsia="仿宋_GB2312" w:cs="仿宋_GB2312"/>
          <w:kern w:val="0"/>
          <w:sz w:val="32"/>
          <w:szCs w:val="32"/>
          <w:lang w:eastAsia="zh-CN"/>
        </w:rPr>
        <w:t>、高中教育、其他普通教育支出、中等职业教育、高等职业教育、特殊学校教育、其他教育支出。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2273.11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49.74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eastAsia="zh-CN"/>
        </w:rPr>
        <w:t>中等职业教育</w:t>
      </w:r>
      <w:r>
        <w:rPr>
          <w:rFonts w:hint="eastAsia" w:ascii="仿宋_GB2312" w:eastAsia="仿宋_GB2312" w:cs="仿宋_GB2312"/>
          <w:kern w:val="0"/>
          <w:sz w:val="32"/>
          <w:szCs w:val="32"/>
          <w:lang w:val="en-US" w:eastAsia="zh-CN"/>
        </w:rPr>
        <w:t>支出增加，</w:t>
      </w:r>
      <w:r>
        <w:rPr>
          <w:rFonts w:hint="eastAsia" w:ascii="仿宋_GB2312" w:hAnsi="黑体" w:eastAsia="仿宋_GB2312" w:cs="仿宋_GB2312"/>
          <w:kern w:val="0"/>
          <w:sz w:val="32"/>
          <w:szCs w:val="32"/>
          <w:lang w:val="en-US" w:eastAsia="zh-CN"/>
        </w:rPr>
        <w:t>上年度部分资助项目资金下达至相关公办学校，本年直接全部下达至我单位，由我单位拨付至相关学校。</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2.社会保障和就业支出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16.09万元</w:t>
      </w:r>
      <w:r>
        <w:rPr>
          <w:rFonts w:hint="eastAsia" w:ascii="仿宋_GB2312" w:eastAsia="仿宋_GB2312" w:cs="仿宋_GB2312"/>
          <w:kern w:val="0"/>
          <w:sz w:val="32"/>
          <w:szCs w:val="32"/>
        </w:rPr>
        <w:t>：主要用于机关事业单位基本养老保险缴费支出</w:t>
      </w:r>
      <w:r>
        <w:rPr>
          <w:rFonts w:hint="eastAsia" w:ascii="仿宋_GB2312" w:eastAsia="仿宋_GB2312" w:cs="仿宋_GB2312"/>
          <w:kern w:val="0"/>
          <w:sz w:val="32"/>
          <w:szCs w:val="32"/>
          <w:lang w:eastAsia="zh-CN"/>
        </w:rPr>
        <w:t>、机关事业单位职业年金缴费支出。</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4.34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36.94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人员及</w:t>
      </w:r>
      <w:r>
        <w:rPr>
          <w:rFonts w:hint="eastAsia" w:ascii="仿宋_GB2312" w:eastAsia="仿宋_GB2312" w:cs="仿宋_GB2312"/>
          <w:kern w:val="0"/>
          <w:sz w:val="32"/>
          <w:szCs w:val="32"/>
          <w:lang w:val="en-US" w:eastAsia="zh-CN"/>
        </w:rPr>
        <w:t>工资基数变动，社保费用增长。</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3.卫生健康支出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5.40万元</w:t>
      </w:r>
      <w:r>
        <w:rPr>
          <w:rFonts w:hint="eastAsia" w:ascii="仿宋_GB2312" w:eastAsia="仿宋_GB2312" w:cs="仿宋_GB2312"/>
          <w:kern w:val="0"/>
          <w:sz w:val="32"/>
          <w:szCs w:val="32"/>
        </w:rPr>
        <w:t>：主要用于事业单位医疗</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2.09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63.14</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人员及</w:t>
      </w:r>
      <w:r>
        <w:rPr>
          <w:rFonts w:hint="eastAsia" w:ascii="仿宋_GB2312" w:eastAsia="仿宋_GB2312" w:cs="仿宋_GB2312"/>
          <w:kern w:val="0"/>
          <w:sz w:val="32"/>
          <w:szCs w:val="32"/>
          <w:lang w:val="en-US" w:eastAsia="zh-CN"/>
        </w:rPr>
        <w:t>工资基数变动，医保费用增长。</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4.住房保障支出</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6.49万元</w:t>
      </w:r>
      <w:r>
        <w:rPr>
          <w:rFonts w:hint="eastAsia" w:ascii="仿宋_GB2312" w:eastAsia="仿宋_GB2312" w:cs="仿宋_GB2312"/>
          <w:kern w:val="0"/>
          <w:sz w:val="32"/>
          <w:szCs w:val="32"/>
        </w:rPr>
        <w:t>：主要用于住房公积金</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减少1.97</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减少23.29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本因人员及工资基数变动，此项应增长，但市财政未放行我单位本年度部分公积金支付申请，因此较上年决算数减少</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0.04</w:t>
      </w:r>
      <w:r>
        <w:rPr>
          <w:rFonts w:hint="eastAsia" w:ascii="仿宋_GB2312" w:eastAsia="仿宋_GB2312" w:cs="仿宋_GB2312"/>
          <w:kern w:val="0"/>
          <w:sz w:val="32"/>
          <w:szCs w:val="32"/>
        </w:rPr>
        <w:t>万元，为事业单位按规定提取的职工福利基金、事业基金和缴纳的所得税等。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0.01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33.33</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我单位结余分配来源于利息收入，本年银行利息收入稍有增加。</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4.99</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65.79</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92.95</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本年</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全部为非财政资金，财政资金全部被收回。</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6871.25</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2277.88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49.59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107.47</w:t>
      </w:r>
      <w:r>
        <w:rPr>
          <w:rFonts w:hint="eastAsia" w:ascii="仿宋_GB2312" w:eastAsia="仿宋_GB2312" w:cs="仿宋_GB2312"/>
          <w:kern w:val="0"/>
          <w:sz w:val="32"/>
          <w:szCs w:val="32"/>
        </w:rPr>
        <w:t>万元，项目支出</w:t>
      </w:r>
      <w:r>
        <w:rPr>
          <w:rFonts w:hint="eastAsia" w:ascii="仿宋_GB2312" w:eastAsia="仿宋_GB2312"/>
          <w:kern w:val="0"/>
          <w:sz w:val="32"/>
          <w:szCs w:val="32"/>
        </w:rPr>
        <w:t>6763.77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公共预算财政拨款支出年初预算为1848.83万元，支出决算为</w:t>
      </w:r>
      <w:r>
        <w:rPr>
          <w:rFonts w:hint="eastAsia" w:ascii="仿宋_GB2312" w:eastAsia="仿宋_GB2312"/>
          <w:kern w:val="0"/>
          <w:sz w:val="32"/>
          <w:szCs w:val="32"/>
        </w:rPr>
        <w:t>6871.25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371.65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（一）教育支出（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教育管理事务</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其他教育管理事务支出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1.44</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原因：该项支出决算数全部为当年</w:t>
      </w:r>
      <w:r>
        <w:rPr>
          <w:rFonts w:hint="eastAsia" w:ascii="仿宋_GB2312" w:eastAsia="仿宋_GB2312" w:cs="仿宋_GB2312"/>
          <w:kern w:val="0"/>
          <w:sz w:val="32"/>
          <w:szCs w:val="32"/>
        </w:rPr>
        <w:t>根据社保通知</w:t>
      </w:r>
      <w:r>
        <w:rPr>
          <w:rFonts w:hint="eastAsia" w:ascii="仿宋_GB2312" w:eastAsia="仿宋_GB2312" w:cs="仿宋_GB2312"/>
          <w:kern w:val="0"/>
          <w:sz w:val="32"/>
          <w:szCs w:val="32"/>
          <w:lang w:val="en-US" w:eastAsia="zh-CN"/>
        </w:rPr>
        <w:t>追加</w:t>
      </w:r>
      <w:r>
        <w:rPr>
          <w:rFonts w:hint="eastAsia" w:ascii="仿宋_GB2312" w:eastAsia="仿宋_GB2312" w:cs="仿宋_GB2312"/>
          <w:kern w:val="0"/>
          <w:sz w:val="32"/>
          <w:szCs w:val="32"/>
        </w:rPr>
        <w:t>缴纳</w:t>
      </w:r>
      <w:r>
        <w:rPr>
          <w:rFonts w:hint="eastAsia" w:ascii="仿宋_GB2312" w:eastAsia="仿宋_GB2312" w:cs="仿宋_GB2312"/>
          <w:kern w:val="0"/>
          <w:sz w:val="32"/>
          <w:szCs w:val="32"/>
          <w:lang w:val="en-US" w:eastAsia="zh-CN"/>
        </w:rPr>
        <w:t>的公务员医疗补助。</w:t>
      </w:r>
    </w:p>
    <w:p>
      <w:pPr>
        <w:autoSpaceDE w:val="0"/>
        <w:autoSpaceDN w:val="0"/>
        <w:adjustRightInd w:val="0"/>
        <w:spacing w:line="560" w:lineRule="exact"/>
        <w:ind w:firstLine="627" w:firstLineChars="196"/>
        <w:jc w:val="both"/>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二</w:t>
      </w:r>
      <w:r>
        <w:rPr>
          <w:rFonts w:hint="eastAsia" w:ascii="仿宋_GB2312" w:eastAsia="仿宋_GB2312" w:cs="仿宋_GB2312"/>
          <w:bCs/>
          <w:kern w:val="0"/>
          <w:sz w:val="32"/>
          <w:szCs w:val="32"/>
          <w:lang w:eastAsia="zh-CN"/>
        </w:rPr>
        <w:t>）</w:t>
      </w:r>
      <w:r>
        <w:rPr>
          <w:rFonts w:hint="eastAsia" w:ascii="仿宋_GB2312" w:eastAsia="仿宋_GB2312"/>
          <w:bCs/>
          <w:kern w:val="0"/>
          <w:sz w:val="32"/>
          <w:szCs w:val="32"/>
          <w:lang w:val="en-US" w:eastAsia="zh-CN"/>
        </w:rPr>
        <w:t>教育支出（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）普通教育（</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高中教育（</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690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703.03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101.89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原因：支出决算数包含当年上级追加的资金、上年结转等。</w:t>
      </w:r>
    </w:p>
    <w:p>
      <w:pPr>
        <w:autoSpaceDE w:val="0"/>
        <w:autoSpaceDN w:val="0"/>
        <w:adjustRightInd w:val="0"/>
        <w:spacing w:line="560" w:lineRule="exact"/>
        <w:ind w:firstLine="627" w:firstLineChars="196"/>
        <w:jc w:val="both"/>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（三）</w:t>
      </w:r>
      <w:r>
        <w:rPr>
          <w:rFonts w:hint="eastAsia" w:ascii="仿宋_GB2312" w:eastAsia="仿宋_GB2312"/>
          <w:bCs/>
          <w:kern w:val="0"/>
          <w:sz w:val="32"/>
          <w:szCs w:val="32"/>
          <w:lang w:val="en-US" w:eastAsia="zh-CN"/>
        </w:rPr>
        <w:t>教育支出（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）普通教育（</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其他普通教育支出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250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0.72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0.29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原因：年初预算为柳州市易地扶贫搬迁学生免费午餐经费，该项目为我单位非直接下达年初预算，实际资金直接下达至县区，支出决算数为其他资助项目使用的上年结转资金。</w:t>
      </w:r>
    </w:p>
    <w:p>
      <w:pPr>
        <w:autoSpaceDE w:val="0"/>
        <w:autoSpaceDN w:val="0"/>
        <w:adjustRightInd w:val="0"/>
        <w:spacing w:line="560" w:lineRule="exact"/>
        <w:ind w:firstLine="627" w:firstLineChars="196"/>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四</w:t>
      </w:r>
      <w:r>
        <w:rPr>
          <w:rFonts w:hint="eastAsia" w:ascii="仿宋_GB2312" w:eastAsia="仿宋_GB2312" w:cs="仿宋_GB2312"/>
          <w:bCs/>
          <w:kern w:val="0"/>
          <w:sz w:val="32"/>
          <w:szCs w:val="32"/>
          <w:lang w:eastAsia="zh-CN"/>
        </w:rPr>
        <w:t>）</w:t>
      </w:r>
      <w:r>
        <w:rPr>
          <w:rFonts w:hint="eastAsia" w:ascii="仿宋_GB2312" w:eastAsia="仿宋_GB2312"/>
          <w:bCs/>
          <w:kern w:val="0"/>
          <w:sz w:val="32"/>
          <w:szCs w:val="32"/>
          <w:lang w:val="en-US" w:eastAsia="zh-CN"/>
        </w:rPr>
        <w:t>教育支出（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职业教育（</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中等职业教育</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800</w:t>
      </w:r>
      <w:r>
        <w:rPr>
          <w:rFonts w:hint="eastAsia" w:ascii="仿宋_GB2312" w:hAnsi="黑体" w:eastAsia="仿宋_GB2312" w:cs="仿宋_GB2312"/>
          <w:kern w:val="0"/>
          <w:sz w:val="32"/>
          <w:szCs w:val="32"/>
        </w:rPr>
        <w:t>万元，支出决算为6019.18万元，完成年初预算的</w:t>
      </w:r>
      <w:r>
        <w:rPr>
          <w:rFonts w:hint="eastAsia" w:ascii="仿宋_GB2312" w:hAnsi="黑体" w:eastAsia="仿宋_GB2312" w:cs="仿宋_GB2312"/>
          <w:kern w:val="0"/>
          <w:sz w:val="32"/>
          <w:szCs w:val="32"/>
          <w:lang w:val="en-US" w:eastAsia="zh-CN"/>
        </w:rPr>
        <w:t>752.40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原因：支出决算数包含当年上级追加的资金、上年结转等。</w:t>
      </w:r>
    </w:p>
    <w:p>
      <w:pPr>
        <w:autoSpaceDE w:val="0"/>
        <w:autoSpaceDN w:val="0"/>
        <w:adjustRightInd w:val="0"/>
        <w:spacing w:line="560" w:lineRule="exact"/>
        <w:ind w:firstLine="627" w:firstLineChars="196"/>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五</w:t>
      </w:r>
      <w:r>
        <w:rPr>
          <w:rFonts w:hint="eastAsia" w:ascii="仿宋_GB2312" w:eastAsia="仿宋_GB2312" w:cs="仿宋_GB2312"/>
          <w:bCs/>
          <w:kern w:val="0"/>
          <w:sz w:val="32"/>
          <w:szCs w:val="32"/>
          <w:lang w:eastAsia="zh-CN"/>
        </w:rPr>
        <w:t>）</w:t>
      </w:r>
      <w:r>
        <w:rPr>
          <w:rFonts w:hint="eastAsia" w:ascii="仿宋_GB2312" w:eastAsia="仿宋_GB2312"/>
          <w:bCs/>
          <w:kern w:val="0"/>
          <w:sz w:val="32"/>
          <w:szCs w:val="32"/>
          <w:lang w:val="en-US" w:eastAsia="zh-CN"/>
        </w:rPr>
        <w:t>教育支出（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职业教育（</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高</w:t>
      </w:r>
      <w:r>
        <w:rPr>
          <w:rFonts w:hint="eastAsia" w:ascii="仿宋_GB2312" w:eastAsia="仿宋_GB2312" w:cs="仿宋_GB2312"/>
          <w:bCs/>
          <w:kern w:val="0"/>
          <w:sz w:val="32"/>
          <w:szCs w:val="32"/>
        </w:rPr>
        <w:t>等职业教育</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10.23</w:t>
      </w:r>
      <w:r>
        <w:rPr>
          <w:rFonts w:hint="eastAsia" w:ascii="仿宋_GB2312" w:hAnsi="黑体" w:eastAsia="仿宋_GB2312" w:cs="仿宋_GB2312"/>
          <w:kern w:val="0"/>
          <w:sz w:val="32"/>
          <w:szCs w:val="32"/>
        </w:rPr>
        <w:t>万元。</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原因：该项支出决算数全部为上年结转。</w:t>
      </w:r>
    </w:p>
    <w:p>
      <w:pPr>
        <w:autoSpaceDE w:val="0"/>
        <w:autoSpaceDN w:val="0"/>
        <w:adjustRightInd w:val="0"/>
        <w:spacing w:line="560" w:lineRule="exact"/>
        <w:ind w:firstLine="627" w:firstLineChars="196"/>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六</w:t>
      </w:r>
      <w:r>
        <w:rPr>
          <w:rFonts w:hint="eastAsia" w:ascii="仿宋_GB2312" w:eastAsia="仿宋_GB2312" w:cs="仿宋_GB2312"/>
          <w:bCs/>
          <w:kern w:val="0"/>
          <w:sz w:val="32"/>
          <w:szCs w:val="32"/>
          <w:lang w:eastAsia="zh-CN"/>
        </w:rPr>
        <w:t>）</w:t>
      </w:r>
      <w:r>
        <w:rPr>
          <w:rFonts w:hint="eastAsia" w:ascii="仿宋_GB2312" w:eastAsia="仿宋_GB2312"/>
          <w:bCs/>
          <w:kern w:val="0"/>
          <w:sz w:val="32"/>
          <w:szCs w:val="32"/>
          <w:lang w:val="en-US" w:eastAsia="zh-CN"/>
        </w:rPr>
        <w:t>教育支出（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特殊教育（</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特殊学校教育</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20.02</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667.33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原因：支出决算数包含当年上级追加的资金、上年结转等。</w:t>
      </w:r>
    </w:p>
    <w:p>
      <w:pPr>
        <w:autoSpaceDE w:val="0"/>
        <w:autoSpaceDN w:val="0"/>
        <w:adjustRightInd w:val="0"/>
        <w:spacing w:line="560" w:lineRule="exact"/>
        <w:ind w:firstLine="627" w:firstLineChars="196"/>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七</w:t>
      </w:r>
      <w:r>
        <w:rPr>
          <w:rFonts w:hint="eastAsia" w:ascii="仿宋_GB2312" w:eastAsia="仿宋_GB2312" w:cs="仿宋_GB2312"/>
          <w:bCs/>
          <w:kern w:val="0"/>
          <w:sz w:val="32"/>
          <w:szCs w:val="32"/>
          <w:lang w:eastAsia="zh-CN"/>
        </w:rPr>
        <w:t>）</w:t>
      </w:r>
      <w:r>
        <w:rPr>
          <w:rFonts w:hint="eastAsia" w:ascii="仿宋_GB2312" w:eastAsia="仿宋_GB2312"/>
          <w:bCs/>
          <w:kern w:val="0"/>
          <w:sz w:val="32"/>
          <w:szCs w:val="32"/>
          <w:lang w:val="en-US" w:eastAsia="zh-CN"/>
        </w:rPr>
        <w:t>教育支出（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其他教育支出（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其他教育支出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80.27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88.66</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110.45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原因：支出决算数包含当年人员变动经费、上年结转等。</w:t>
      </w:r>
    </w:p>
    <w:p>
      <w:pPr>
        <w:autoSpaceDE w:val="0"/>
        <w:autoSpaceDN w:val="0"/>
        <w:adjustRightInd w:val="0"/>
        <w:spacing w:line="560" w:lineRule="exact"/>
        <w:ind w:firstLine="627" w:firstLineChars="196"/>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八</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机关事业单位基本养老保险缴费支出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9.32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11</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118.03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原因：支出决算数包含当年人员变动经费。</w:t>
      </w:r>
    </w:p>
    <w:p>
      <w:pPr>
        <w:autoSpaceDE w:val="0"/>
        <w:autoSpaceDN w:val="0"/>
        <w:adjustRightInd w:val="0"/>
        <w:spacing w:line="560" w:lineRule="exact"/>
        <w:ind w:firstLine="627" w:firstLineChars="196"/>
        <w:jc w:val="both"/>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九</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社会保障和就业支出（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行政事业单位养老支出（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机关事业单位职业年金缴费支出</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4.66</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5.09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109.23</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原因：支出决算数包含当年人员变动经费。</w:t>
      </w:r>
    </w:p>
    <w:p>
      <w:pPr>
        <w:autoSpaceDE w:val="0"/>
        <w:autoSpaceDN w:val="0"/>
        <w:adjustRightInd w:val="0"/>
        <w:spacing w:line="560" w:lineRule="exact"/>
        <w:ind w:firstLine="627" w:firstLineChars="196"/>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十</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卫生健康支出（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行政事业单位医疗（</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事业单位医疗</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4.58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5.40</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117.90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原因：支出决算数包含当年人员变动经费。</w:t>
      </w:r>
    </w:p>
    <w:p>
      <w:pPr>
        <w:autoSpaceDE w:val="0"/>
        <w:autoSpaceDN w:val="0"/>
        <w:adjustRightInd w:val="0"/>
        <w:spacing w:line="560" w:lineRule="exact"/>
        <w:ind w:firstLine="627" w:firstLineChars="196"/>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十一</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住房保障支出（</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住房改革支出（</w:t>
      </w:r>
      <w:r>
        <w:rPr>
          <w:rFonts w:hint="eastAsia" w:ascii="仿宋_GB2312" w:eastAsia="仿宋_GB2312" w:cs="仿宋_GB2312"/>
          <w:bCs/>
          <w:kern w:val="0"/>
          <w:sz w:val="32"/>
          <w:szCs w:val="32"/>
        </w:rPr>
        <w:t>款</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住房公积金</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项</w:t>
      </w:r>
      <w:r>
        <w:rPr>
          <w:rFonts w:hint="eastAsia" w:ascii="仿宋_GB2312" w:eastAsia="仿宋_GB2312" w:cs="仿宋_GB2312"/>
          <w:bCs/>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6.99</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6.49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92.85</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原因：支出决算数包含当年人员变动经费，</w:t>
      </w:r>
      <w:r>
        <w:rPr>
          <w:rFonts w:hint="eastAsia" w:ascii="仿宋_GB2312" w:hAnsi="黑体" w:eastAsia="仿宋_GB2312" w:cs="仿宋_GB2312"/>
          <w:kern w:val="0"/>
          <w:sz w:val="32"/>
          <w:szCs w:val="32"/>
          <w:lang w:val="en-US" w:eastAsia="zh-CN"/>
        </w:rPr>
        <w:t>市财政未放行我单位本年度部分公积金支付申请</w:t>
      </w:r>
      <w:r>
        <w:rPr>
          <w:rFonts w:hint="eastAsia" w:ascii="仿宋_GB2312" w:eastAsia="仿宋_GB2312" w:cs="仿宋_GB2312"/>
          <w:kern w:val="0"/>
          <w:sz w:val="32"/>
          <w:szCs w:val="32"/>
          <w:lang w:val="en-US" w:eastAsia="zh-CN"/>
        </w:rPr>
        <w:t>。</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27" w:firstLineChars="196"/>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本单位2021年度一般公共预算财政拨款基本支出107.47万元，支出具体情况如下：</w:t>
      </w:r>
    </w:p>
    <w:p>
      <w:pPr>
        <w:autoSpaceDE w:val="0"/>
        <w:autoSpaceDN w:val="0"/>
        <w:adjustRightInd w:val="0"/>
        <w:spacing w:line="560" w:lineRule="exact"/>
        <w:ind w:firstLine="627" w:firstLineChars="196"/>
        <w:jc w:val="both"/>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eastAsia="zh-CN"/>
        </w:rPr>
        <w:t>（一）工资福利支出101.48万元，完成年初预算的115.57%。预决算差异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原因：支出决算数包含当年人员变动经费。</w:t>
      </w:r>
    </w:p>
    <w:p>
      <w:pPr>
        <w:autoSpaceDE w:val="0"/>
        <w:autoSpaceDN w:val="0"/>
        <w:adjustRightInd w:val="0"/>
        <w:spacing w:line="560" w:lineRule="exact"/>
        <w:ind w:firstLine="627" w:firstLineChars="196"/>
        <w:jc w:val="both"/>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lang w:val="en-US" w:eastAsia="zh-CN"/>
        </w:rPr>
        <w:t>二</w:t>
      </w:r>
      <w:r>
        <w:rPr>
          <w:rFonts w:hint="eastAsia" w:ascii="仿宋_GB2312" w:eastAsia="仿宋_GB2312" w:cs="仿宋_GB2312"/>
          <w:bCs/>
          <w:kern w:val="0"/>
          <w:sz w:val="32"/>
          <w:szCs w:val="32"/>
          <w:lang w:eastAsia="zh-CN"/>
        </w:rPr>
        <w:t>）商品和服务支出</w:t>
      </w:r>
      <w:r>
        <w:rPr>
          <w:rFonts w:hint="eastAsia" w:ascii="仿宋_GB2312" w:eastAsia="仿宋_GB2312" w:cs="仿宋_GB2312"/>
          <w:bCs/>
          <w:kern w:val="0"/>
          <w:sz w:val="32"/>
          <w:szCs w:val="32"/>
          <w:lang w:val="en-US" w:eastAsia="zh-CN"/>
        </w:rPr>
        <w:t>5.99万元，完成年初预算的95.23%。</w:t>
      </w:r>
      <w:r>
        <w:rPr>
          <w:rFonts w:hint="eastAsia" w:ascii="仿宋_GB2312" w:eastAsia="仿宋_GB2312" w:cs="仿宋_GB2312"/>
          <w:bCs/>
          <w:kern w:val="0"/>
          <w:sz w:val="32"/>
          <w:szCs w:val="32"/>
          <w:lang w:eastAsia="zh-CN"/>
        </w:rPr>
        <w:t>预决算差异</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val="en-US" w:eastAsia="zh-CN"/>
        </w:rPr>
        <w:t>原因：我单位无需开展相应工作（例如组织培训、会议，公务接待工作等），故部分公用经费未支出。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lang w:val="en-US" w:eastAsia="zh-CN"/>
        </w:rPr>
        <w:t>柳州市学生资助管理中心</w:t>
      </w:r>
      <w:r>
        <w:rPr>
          <w:rFonts w:hint="eastAsia" w:ascii="仿宋_GB2312" w:eastAsia="仿宋_GB2312" w:cs="仿宋_GB2312"/>
          <w:bCs/>
          <w:kern w:val="0"/>
          <w:sz w:val="32"/>
          <w:szCs w:val="32"/>
          <w:lang w:eastAsia="zh-CN"/>
        </w:rPr>
        <w:t>202</w:t>
      </w: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lang w:eastAsia="zh-CN"/>
        </w:rPr>
        <w:t>年度没有政府性基金收入，也没有政府性基金安排的支出，故无数据情况说明。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lang w:val="en-US" w:eastAsia="zh-CN"/>
        </w:rPr>
        <w:t>柳州市学生资助管理中心2021年度没有国有资本经营预算财政拨款收入，也没有国有资本经营预算财政拨款安排的支出，故无数据情况说明。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公共预算财政拨款“三公”经费支出决算情况说明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0.05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27.78</w:t>
      </w:r>
      <w:r>
        <w:rPr>
          <w:rFonts w:hint="eastAsia" w:ascii="仿宋_GB2312" w:eastAsia="仿宋_GB2312" w:cs="仿宋_GB2312"/>
          <w:kern w:val="0"/>
          <w:sz w:val="32"/>
          <w:szCs w:val="32"/>
        </w:rPr>
        <w:t>%，比上年增减</w:t>
      </w:r>
      <w:r>
        <w:rPr>
          <w:rFonts w:hint="eastAsia" w:ascii="仿宋_GB2312" w:eastAsia="仿宋_GB2312" w:cs="仿宋_GB2312"/>
          <w:kern w:val="0"/>
          <w:sz w:val="32"/>
          <w:szCs w:val="32"/>
          <w:lang w:val="en-US" w:eastAsia="zh-CN"/>
        </w:rPr>
        <w:t>0.05</w:t>
      </w:r>
      <w:r>
        <w:rPr>
          <w:rFonts w:hint="eastAsia" w:ascii="仿宋_GB2312" w:eastAsia="仿宋_GB2312" w:cs="仿宋_GB2312"/>
          <w:kern w:val="0"/>
          <w:sz w:val="32"/>
          <w:szCs w:val="32"/>
        </w:rPr>
        <w:t>万元，主要原因是</w:t>
      </w:r>
      <w:r>
        <w:rPr>
          <w:rFonts w:hint="eastAsia" w:ascii="仿宋_GB2312" w:eastAsia="仿宋_GB2312" w:cs="仿宋_GB2312"/>
          <w:kern w:val="0"/>
          <w:sz w:val="32"/>
          <w:szCs w:val="32"/>
          <w:lang w:val="en-US" w:eastAsia="zh-CN"/>
        </w:rPr>
        <w:t>上年未开展关于“三公”相关的工作</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0.05</w:t>
      </w:r>
      <w:r>
        <w:rPr>
          <w:rFonts w:hint="eastAsia" w:ascii="仿宋_GB2312" w:eastAsia="仿宋_GB2312" w:cs="仿宋_GB2312"/>
          <w:kern w:val="0"/>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%，与上年持平，原因是</w:t>
      </w:r>
      <w:r>
        <w:rPr>
          <w:rFonts w:hint="eastAsia" w:ascii="仿宋_GB2312" w:hAnsi="黑体" w:eastAsia="仿宋_GB2312" w:cs="仿宋_GB2312"/>
          <w:kern w:val="0"/>
          <w:sz w:val="32"/>
          <w:szCs w:val="32"/>
        </w:rPr>
        <w:t>无此项</w:t>
      </w:r>
      <w:r>
        <w:rPr>
          <w:rFonts w:hint="eastAsia" w:ascii="仿宋_GB2312" w:hAnsi="黑体" w:eastAsia="仿宋_GB2312" w:cs="仿宋_GB2312"/>
          <w:kern w:val="0"/>
          <w:sz w:val="32"/>
          <w:szCs w:val="32"/>
          <w:lang w:val="en-US" w:eastAsia="zh-CN"/>
        </w:rPr>
        <w:t>支出</w:t>
      </w:r>
      <w:r>
        <w:rPr>
          <w:rFonts w:hint="eastAsia" w:ascii="仿宋_GB2312" w:hAnsi="黑体" w:eastAsia="仿宋_GB2312" w:cs="仿宋_GB2312"/>
          <w:kern w:val="0"/>
          <w:sz w:val="32"/>
          <w:szCs w:val="32"/>
        </w:rPr>
        <w:t>，故没有变动</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万元。其中：公务用车购置支出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%，与上年持平，原因是</w:t>
      </w:r>
      <w:r>
        <w:rPr>
          <w:rFonts w:hint="eastAsia" w:ascii="仿宋_GB2312" w:hAnsi="黑体" w:eastAsia="仿宋_GB2312" w:cs="仿宋_GB2312"/>
          <w:kern w:val="0"/>
          <w:sz w:val="32"/>
          <w:szCs w:val="32"/>
        </w:rPr>
        <w:t>无此项</w:t>
      </w:r>
      <w:r>
        <w:rPr>
          <w:rFonts w:hint="eastAsia" w:ascii="仿宋_GB2312" w:hAnsi="黑体" w:eastAsia="仿宋_GB2312" w:cs="仿宋_GB2312"/>
          <w:kern w:val="0"/>
          <w:sz w:val="32"/>
          <w:szCs w:val="32"/>
          <w:lang w:val="en-US" w:eastAsia="zh-CN"/>
        </w:rPr>
        <w:t>支出</w:t>
      </w:r>
      <w:r>
        <w:rPr>
          <w:rFonts w:hint="eastAsia" w:ascii="仿宋_GB2312" w:hAnsi="黑体" w:eastAsia="仿宋_GB2312" w:cs="仿宋_GB2312"/>
          <w:kern w:val="0"/>
          <w:sz w:val="32"/>
          <w:szCs w:val="32"/>
        </w:rPr>
        <w:t>，故没有变动</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公务用车运行支出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%，与上年持平，原因是</w:t>
      </w:r>
      <w:r>
        <w:rPr>
          <w:rFonts w:hint="eastAsia" w:ascii="仿宋_GB2312" w:hAnsi="黑体" w:eastAsia="仿宋_GB2312" w:cs="仿宋_GB2312"/>
          <w:kern w:val="0"/>
          <w:sz w:val="32"/>
          <w:szCs w:val="32"/>
        </w:rPr>
        <w:t>无此项</w:t>
      </w:r>
      <w:r>
        <w:rPr>
          <w:rFonts w:hint="eastAsia" w:ascii="仿宋_GB2312" w:hAnsi="黑体" w:eastAsia="仿宋_GB2312" w:cs="仿宋_GB2312"/>
          <w:kern w:val="0"/>
          <w:sz w:val="32"/>
          <w:szCs w:val="32"/>
          <w:lang w:val="en-US" w:eastAsia="zh-CN"/>
        </w:rPr>
        <w:t>支出</w:t>
      </w:r>
      <w:r>
        <w:rPr>
          <w:rFonts w:hint="eastAsia" w:ascii="仿宋_GB2312" w:hAnsi="黑体" w:eastAsia="仿宋_GB2312" w:cs="仿宋_GB2312"/>
          <w:kern w:val="0"/>
          <w:sz w:val="32"/>
          <w:szCs w:val="32"/>
        </w:rPr>
        <w:t>，故没有变动</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w:t>
      </w:r>
      <w:r>
        <w:rPr>
          <w:rFonts w:hint="eastAsia" w:ascii="仿宋_GB2312" w:hAnsi="黑体" w:eastAsia="仿宋_GB2312"/>
          <w:bCs/>
          <w:color w:val="000000"/>
          <w:sz w:val="32"/>
          <w:szCs w:val="32"/>
          <w:u w:val="none"/>
          <w:lang w:val="en-US" w:eastAsia="zh-CN"/>
        </w:rPr>
        <w:t>柳州市学生资助管理中心</w:t>
      </w:r>
      <w:r>
        <w:rPr>
          <w:rFonts w:hint="eastAsia" w:ascii="仿宋_GB2312" w:hAnsi="黑体" w:eastAsia="仿宋_GB2312"/>
          <w:bCs/>
          <w:color w:val="000000"/>
          <w:sz w:val="32"/>
          <w:szCs w:val="32"/>
        </w:rPr>
        <w:t>开支财政拨款的公务用车保有量为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辆</w:t>
      </w:r>
      <w:r>
        <w:rPr>
          <w:rFonts w:hint="eastAsia" w:ascii="仿宋_GB2312" w:hAnsi="黑体" w:eastAsia="仿宋_GB2312"/>
          <w:bCs/>
          <w:color w:val="000000"/>
          <w:sz w:val="32"/>
          <w:szCs w:val="32"/>
          <w:lang w:eastAsia="zh-CN"/>
        </w:rPr>
        <w:t>，</w:t>
      </w:r>
      <w:r>
        <w:rPr>
          <w:rFonts w:hint="eastAsia" w:ascii="仿宋_GB2312" w:hAnsi="黑体" w:eastAsia="仿宋_GB2312"/>
          <w:bCs/>
          <w:color w:val="000000"/>
          <w:sz w:val="32"/>
          <w:szCs w:val="32"/>
        </w:rPr>
        <w:t>全年运行费支出</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万元，平均每辆</w:t>
      </w:r>
      <w:r>
        <w:rPr>
          <w:rFonts w:hint="eastAsia" w:ascii="仿宋_GB2312" w:hAnsi="黑体" w:eastAsia="仿宋_GB2312"/>
          <w:bCs/>
          <w:color w:val="000000"/>
          <w:sz w:val="32"/>
          <w:szCs w:val="32"/>
          <w:lang w:val="en-US" w:eastAsia="zh-CN"/>
        </w:rPr>
        <w:t>0</w:t>
      </w:r>
      <w:r>
        <w:rPr>
          <w:rFonts w:hint="eastAsia" w:ascii="仿宋_GB2312" w:hAnsi="黑体" w:eastAsia="仿宋_GB2312"/>
          <w:bCs/>
          <w:color w:val="00000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0.05</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27.78</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0.05</w:t>
      </w:r>
      <w:r>
        <w:rPr>
          <w:rFonts w:hint="eastAsia" w:ascii="仿宋_GB2312" w:eastAsia="仿宋_GB2312" w:cs="仿宋_GB2312"/>
          <w:kern w:val="0"/>
          <w:sz w:val="32"/>
          <w:szCs w:val="32"/>
        </w:rPr>
        <w:t>万元，原因是</w:t>
      </w:r>
      <w:r>
        <w:rPr>
          <w:rFonts w:hint="eastAsia" w:ascii="仿宋_GB2312" w:eastAsia="仿宋_GB2312" w:cs="仿宋_GB2312"/>
          <w:kern w:val="0"/>
          <w:sz w:val="32"/>
          <w:szCs w:val="32"/>
          <w:lang w:val="en-US" w:eastAsia="zh-CN"/>
        </w:rPr>
        <w:t>上年无公务接待相关工作</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val="en-US" w:eastAsia="zh-CN"/>
        </w:rPr>
        <w:t>3人</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val="en-US" w:eastAsia="zh-CN"/>
        </w:rPr>
        <w:t>0人</w:t>
      </w:r>
      <w:r>
        <w:rPr>
          <w:rFonts w:hint="eastAsia" w:ascii="仿宋_GB2312" w:eastAsia="仿宋_GB2312" w:cs="仿宋_GB2312"/>
          <w:kern w:val="0"/>
          <w:sz w:val="32"/>
          <w:szCs w:val="32"/>
        </w:rPr>
        <w:t>次。</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无机关运行经费支出。</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w:t>
      </w:r>
      <w:r>
        <w:rPr>
          <w:rFonts w:hint="eastAsia" w:ascii="仿宋_GB2312" w:eastAsia="仿宋_GB2312" w:cs="仿宋_GB2312"/>
          <w:kern w:val="0"/>
          <w:sz w:val="32"/>
          <w:szCs w:val="32"/>
          <w:lang w:val="en-US" w:eastAsia="zh-CN"/>
        </w:rPr>
        <w:t>5.22</w:t>
      </w:r>
      <w:r>
        <w:rPr>
          <w:rFonts w:hint="eastAsia" w:ascii="仿宋_GB2312" w:eastAsia="仿宋_GB2312" w:cs="仿宋_GB2312"/>
          <w:kern w:val="0"/>
          <w:sz w:val="32"/>
          <w:szCs w:val="32"/>
        </w:rPr>
        <w:t>万元，其中：政府采购货物支出</w:t>
      </w:r>
      <w:r>
        <w:rPr>
          <w:rFonts w:hint="eastAsia" w:ascii="仿宋_GB2312" w:eastAsia="仿宋_GB2312" w:cs="仿宋_GB2312"/>
          <w:kern w:val="0"/>
          <w:sz w:val="32"/>
          <w:szCs w:val="32"/>
          <w:lang w:val="en-US" w:eastAsia="zh-CN"/>
        </w:rPr>
        <w:t>0.25</w:t>
      </w:r>
      <w:r>
        <w:rPr>
          <w:rFonts w:hint="eastAsia" w:ascii="仿宋_GB2312" w:eastAsia="仿宋_GB2312" w:cs="仿宋_GB2312"/>
          <w:kern w:val="0"/>
          <w:sz w:val="32"/>
          <w:szCs w:val="32"/>
        </w:rPr>
        <w:t>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w:t>
      </w:r>
      <w:r>
        <w:rPr>
          <w:rFonts w:hint="eastAsia" w:ascii="仿宋_GB2312" w:eastAsia="仿宋_GB2312" w:cs="仿宋_GB2312"/>
          <w:kern w:val="0"/>
          <w:sz w:val="32"/>
          <w:szCs w:val="32"/>
          <w:lang w:val="en-US" w:eastAsia="zh-CN"/>
        </w:rPr>
        <w:t>4.97</w:t>
      </w:r>
      <w:r>
        <w:rPr>
          <w:rFonts w:hint="eastAsia" w:ascii="仿宋_GB2312" w:eastAsia="仿宋_GB2312" w:cs="仿宋_GB2312"/>
          <w:kern w:val="0"/>
          <w:sz w:val="32"/>
          <w:szCs w:val="32"/>
        </w:rPr>
        <w:t>万元，授予中小企业合同金额</w:t>
      </w:r>
      <w:r>
        <w:rPr>
          <w:rFonts w:hint="eastAsia" w:ascii="仿宋_GB2312" w:eastAsia="仿宋_GB2312" w:cs="仿宋_GB2312"/>
          <w:kern w:val="0"/>
          <w:sz w:val="32"/>
          <w:szCs w:val="32"/>
          <w:lang w:val="en-US" w:eastAsia="zh-CN"/>
        </w:rPr>
        <w:t>5.22</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5.22</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1.绩效管理工作开展情况。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1492.41</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22.06</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个政府性基金预算项目支出开展绩效自评，共涉及资金</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万元，占政府性基金预算项目支出总额的</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共组织对</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个项目进行了部门评价，涉及一般公共预算支出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万元，政府性基金预算支出</w:t>
      </w:r>
      <w:bookmarkStart w:id="0" w:name="_GoBack"/>
      <w:bookmarkEnd w:id="0"/>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个单位开展整体支出绩效评价试点，涉及一般公共预算支出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决算中项目绩效自评结果。</w:t>
      </w:r>
    </w:p>
    <w:p>
      <w:pPr>
        <w:autoSpaceDE w:val="0"/>
        <w:autoSpaceDN w:val="0"/>
        <w:adjustRightInd w:val="0"/>
        <w:spacing w:line="560" w:lineRule="exact"/>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根据年初设定的绩效目标，普通高中国家助学金</w:t>
      </w:r>
      <w:r>
        <w:rPr>
          <w:rFonts w:hint="eastAsia" w:ascii="仿宋_GB2312" w:eastAsia="仿宋_GB2312" w:cs="仿宋_GB2312"/>
          <w:kern w:val="0"/>
          <w:sz w:val="32"/>
          <w:szCs w:val="32"/>
          <w:lang w:val="en-US" w:eastAsia="zh-CN"/>
        </w:rPr>
        <w:t>配套项目自评得分为98.17分。扣分原因：资金执行率为91.69%，已对符合政策的贫困学生进行相应资助，上级和本</w:t>
      </w:r>
      <w:r>
        <w:rPr>
          <w:rFonts w:hint="eastAsia" w:ascii="Times New Roman" w:hAnsi="Times New Roman" w:eastAsia="仿宋_GB2312"/>
          <w:sz w:val="32"/>
          <w:szCs w:val="32"/>
          <w:lang w:val="en-US" w:eastAsia="zh-CN"/>
        </w:rPr>
        <w:t>级资金配备充足，仍有部分经费未执行完毕，但未影响该工作的开展，因此</w:t>
      </w:r>
      <w:r>
        <w:rPr>
          <w:rFonts w:ascii="Times New Roman" w:hAnsi="Times New Roman" w:eastAsia="仿宋_GB2312"/>
          <w:sz w:val="32"/>
          <w:szCs w:val="32"/>
        </w:rPr>
        <w:t>达到预期目标。</w:t>
      </w:r>
      <w:r>
        <w:rPr>
          <w:rFonts w:hint="eastAsia" w:ascii="仿宋_GB2312" w:eastAsia="仿宋_GB2312" w:cs="仿宋_GB2312"/>
          <w:kern w:val="0"/>
          <w:sz w:val="32"/>
          <w:szCs w:val="32"/>
        </w:rPr>
        <w:t>中等职业教育免学费、助学金配套专项经费项目自评得分为</w:t>
      </w:r>
      <w:r>
        <w:rPr>
          <w:rFonts w:hint="eastAsia" w:ascii="仿宋_GB2312" w:eastAsia="仿宋_GB2312" w:cs="仿宋_GB2312"/>
          <w:kern w:val="0"/>
          <w:sz w:val="32"/>
          <w:szCs w:val="32"/>
          <w:lang w:val="en-US" w:eastAsia="zh-CN"/>
        </w:rPr>
        <w:t>98.91</w:t>
      </w:r>
      <w:r>
        <w:rPr>
          <w:rFonts w:hint="eastAsia" w:ascii="仿宋_GB2312" w:eastAsia="仿宋_GB2312" w:cs="仿宋_GB2312"/>
          <w:kern w:val="0"/>
          <w:sz w:val="32"/>
          <w:szCs w:val="32"/>
        </w:rPr>
        <w:t>分。</w:t>
      </w:r>
      <w:r>
        <w:rPr>
          <w:rFonts w:hint="eastAsia" w:ascii="仿宋_GB2312" w:eastAsia="仿宋_GB2312" w:cs="仿宋_GB2312"/>
          <w:kern w:val="0"/>
          <w:sz w:val="32"/>
          <w:szCs w:val="32"/>
          <w:lang w:val="en-US" w:eastAsia="zh-CN"/>
        </w:rPr>
        <w:t>扣分原因：</w:t>
      </w:r>
      <w:r>
        <w:rPr>
          <w:rFonts w:hint="eastAsia" w:ascii="仿宋_GB2312" w:eastAsia="仿宋_GB2312" w:cs="仿宋_GB2312"/>
          <w:kern w:val="0"/>
          <w:sz w:val="32"/>
          <w:szCs w:val="32"/>
        </w:rPr>
        <w:t>一是资金</w:t>
      </w:r>
      <w:r>
        <w:rPr>
          <w:rFonts w:hint="eastAsia" w:ascii="仿宋_GB2312" w:eastAsia="仿宋_GB2312" w:cs="仿宋_GB2312"/>
          <w:kern w:val="0"/>
          <w:sz w:val="32"/>
          <w:szCs w:val="32"/>
          <w:lang w:val="en-US" w:eastAsia="zh-CN"/>
        </w:rPr>
        <w:t>到位率达99.12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由于中职助学金第三批经费上级下达时间较晚，市本级配套资金未能在年底前到位</w:t>
      </w:r>
      <w:r>
        <w:rPr>
          <w:rFonts w:hint="eastAsia" w:ascii="仿宋_GB2312" w:eastAsia="仿宋_GB2312" w:cs="仿宋_GB2312"/>
          <w:kern w:val="0"/>
          <w:sz w:val="32"/>
          <w:szCs w:val="32"/>
        </w:rPr>
        <w:t>；二是资金执行率为</w:t>
      </w:r>
      <w:r>
        <w:rPr>
          <w:rFonts w:hint="eastAsia" w:ascii="仿宋_GB2312" w:eastAsia="仿宋_GB2312" w:cs="仿宋_GB2312"/>
          <w:kern w:val="0"/>
          <w:sz w:val="32"/>
          <w:szCs w:val="32"/>
          <w:lang w:val="en-US" w:eastAsia="zh-CN"/>
        </w:rPr>
        <w:t>99.12</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由于中职助学金第三批经费</w:t>
      </w:r>
      <w:r>
        <w:rPr>
          <w:rFonts w:hint="eastAsia" w:ascii="Times New Roman" w:hAnsi="Times New Roman" w:eastAsia="仿宋_GB2312"/>
          <w:sz w:val="32"/>
          <w:szCs w:val="32"/>
          <w:lang w:val="en-US" w:eastAsia="zh-CN"/>
        </w:rPr>
        <w:t>上级下达时间较晚，市本级配套资金未能在年底前到位，故未能执行，但未影响该工作的开展，因此</w:t>
      </w:r>
      <w:r>
        <w:rPr>
          <w:rFonts w:ascii="Times New Roman" w:hAnsi="Times New Roman" w:eastAsia="仿宋_GB2312"/>
          <w:sz w:val="32"/>
          <w:szCs w:val="32"/>
        </w:rPr>
        <w:t>达到预期目标</w:t>
      </w:r>
      <w:r>
        <w:rPr>
          <w:rFonts w:hint="eastAsia" w:ascii="仿宋_GB2312" w:eastAsia="仿宋_GB2312" w:cs="仿宋_GB2312"/>
          <w:kern w:val="0"/>
          <w:sz w:val="32"/>
          <w:szCs w:val="32"/>
        </w:rPr>
        <w:t>。下一步改进措施：</w:t>
      </w:r>
      <w:r>
        <w:rPr>
          <w:rFonts w:ascii="Times New Roman" w:hAnsi="Times New Roman" w:eastAsia="仿宋_GB2312"/>
          <w:sz w:val="32"/>
          <w:szCs w:val="32"/>
        </w:rPr>
        <w:t>加强资金管理，提高资金执行率，使得各项国家资助政策得到落实</w:t>
      </w:r>
      <w:r>
        <w:rPr>
          <w:rFonts w:hint="eastAsia" w:ascii="仿宋_GB2312" w:eastAsia="仿宋_GB2312" w:cs="仿宋_GB2312"/>
          <w:kern w:val="0"/>
          <w:sz w:val="32"/>
          <w:szCs w:val="32"/>
        </w:rPr>
        <w:t>。家庭经济困难大学新生入学资助专项经费</w:t>
      </w:r>
      <w:r>
        <w:rPr>
          <w:rFonts w:hint="eastAsia" w:ascii="仿宋_GB2312" w:eastAsia="仿宋_GB2312" w:cs="仿宋_GB2312"/>
          <w:kern w:val="0"/>
          <w:sz w:val="32"/>
          <w:szCs w:val="32"/>
          <w:lang w:val="en-US" w:eastAsia="zh-CN"/>
        </w:rPr>
        <w:t>项目自评得分为96.82分。扣分原因：资金执行率为88.17%，已对符合政策的贫困学生进行相应资助，上级和本级资金配备充足，仍有部分经费未执行完毕，但未影响该工作的开展，因此达到预期目标。易地扶贫搬迁免费午餐经费项目自评得分为99分。扣分原因：日生均达到5元的补助标准。此项目与营养改善计划补助标准一致，下半年营养改善计划补助标准为每生每天5元，故全年生均达不到5.5元。</w:t>
      </w: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center"/>
        <w:rPr>
          <w:rFonts w:hint="eastAsia" w:ascii="仿宋_GB2312" w:eastAsia="仿宋_GB2312"/>
          <w:b/>
          <w:sz w:val="32"/>
          <w:szCs w:val="32"/>
        </w:rPr>
      </w:pPr>
    </w:p>
    <w:p>
      <w:pPr>
        <w:spacing w:line="580" w:lineRule="exact"/>
        <w:jc w:val="both"/>
        <w:rPr>
          <w:rFonts w:hint="eastAsia" w:ascii="仿宋_GB2312" w:eastAsia="仿宋_GB2312"/>
          <w:b/>
          <w:sz w:val="32"/>
          <w:szCs w:val="32"/>
        </w:rPr>
      </w:pPr>
    </w:p>
    <w:p>
      <w:pPr>
        <w:spacing w:line="580" w:lineRule="exact"/>
        <w:jc w:val="center"/>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财政部门当年拨付的资金。</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五、用事业基金弥补收支差额指事业单位在当年的“财政拨款收入”“事业收入”“经营收入”“其他收入”不足以安排当年支出的情况下，使用非财政拨款结余弥补本年度收支缺口的资金。</w:t>
      </w:r>
    </w:p>
    <w:p>
      <w:pPr>
        <w:ind w:firstLine="640" w:firstLineChars="200"/>
        <w:rPr>
          <w:rFonts w:hint="eastAsia" w:ascii="仿宋_GB2312" w:eastAsia="仿宋_GB2312"/>
          <w:sz w:val="32"/>
          <w:szCs w:val="32"/>
        </w:rPr>
      </w:pPr>
      <w:r>
        <w:rPr>
          <w:rFonts w:hint="eastAsia" w:ascii="仿宋_GB2312" w:eastAsia="仿宋_GB2312"/>
          <w:sz w:val="32"/>
          <w:szCs w:val="32"/>
        </w:rPr>
        <w:t>六、年初结转和结余：指以前年度尚未完成、结转到本年按有关规定继续使用的资金。</w:t>
      </w:r>
    </w:p>
    <w:p>
      <w:pPr>
        <w:ind w:firstLine="640" w:firstLineChars="200"/>
        <w:rPr>
          <w:rFonts w:hint="eastAsia" w:ascii="仿宋_GB2312" w:eastAsia="仿宋_GB2312"/>
          <w:sz w:val="32"/>
          <w:szCs w:val="32"/>
        </w:rPr>
      </w:pPr>
      <w:r>
        <w:rPr>
          <w:rFonts w:hint="eastAsia" w:ascii="仿宋_GB2312" w:eastAsia="仿宋_GB2312"/>
          <w:sz w:val="32"/>
          <w:szCs w:val="32"/>
        </w:rPr>
        <w:t>七、结余分配：指事业单位按规定提取的职工福利基金、事业基金和缴纳的所得税，以及建设单位按规定应交回的基本建设竣工项目结余资金。</w:t>
      </w:r>
    </w:p>
    <w:p>
      <w:pPr>
        <w:ind w:firstLine="640" w:firstLineChars="200"/>
        <w:rPr>
          <w:rFonts w:hint="eastAsia" w:ascii="仿宋_GB2312" w:eastAsia="仿宋_GB2312"/>
          <w:sz w:val="32"/>
          <w:szCs w:val="32"/>
        </w:rPr>
      </w:pPr>
      <w:r>
        <w:rPr>
          <w:rFonts w:hint="eastAsia" w:ascii="仿宋_GB2312" w:eastAsia="仿宋_GB2312"/>
          <w:sz w:val="32"/>
          <w:szCs w:val="32"/>
        </w:rPr>
        <w:t>八、年末结转和结余：指本年度或以前年度预算安排、因客观条件发生变化无法按原计划实施，需要延迟到以后年度按有关规定继续使用的资金。</w:t>
      </w:r>
    </w:p>
    <w:p>
      <w:pPr>
        <w:ind w:firstLine="640" w:firstLineChars="200"/>
        <w:rPr>
          <w:rFonts w:hint="eastAsia" w:ascii="仿宋_GB2312" w:eastAsia="仿宋_GB2312"/>
          <w:sz w:val="32"/>
          <w:szCs w:val="32"/>
        </w:rPr>
      </w:pPr>
      <w:r>
        <w:rPr>
          <w:rFonts w:hint="eastAsia" w:ascii="仿宋_GB2312" w:eastAsia="仿宋_GB2312"/>
          <w:sz w:val="32"/>
          <w:szCs w:val="32"/>
        </w:rPr>
        <w:t>九、基本支出：指为保障机构正常运转、完成日常工作任务而发生的人员支出和公用支出。</w:t>
      </w:r>
    </w:p>
    <w:p>
      <w:pPr>
        <w:ind w:firstLine="640" w:firstLineChars="200"/>
        <w:rPr>
          <w:rFonts w:hint="eastAsia" w:ascii="仿宋_GB2312" w:eastAsia="仿宋_GB2312"/>
          <w:sz w:val="32"/>
          <w:szCs w:val="32"/>
        </w:rPr>
      </w:pPr>
      <w:r>
        <w:rPr>
          <w:rFonts w:hint="eastAsia" w:ascii="仿宋_GB2312" w:eastAsia="仿宋_GB2312"/>
          <w:sz w:val="32"/>
          <w:szCs w:val="32"/>
        </w:rPr>
        <w:t>十、项目支出：指在基本支出之外为完成特定行政任务和事业发展目标所发生的支出。</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sz w:val="32"/>
          <w:szCs w:val="32"/>
        </w:rPr>
      </w:pPr>
    </w:p>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sz w:val="30"/>
        <w:szCs w:val="30"/>
      </w:rPr>
    </w:pPr>
    <w:r>
      <w:rPr>
        <w:sz w:val="30"/>
        <w:szCs w:val="30"/>
      </w:rPr>
      <w:fldChar w:fldCharType="begin"/>
    </w:r>
    <w:r>
      <w:rPr>
        <w:rStyle w:val="7"/>
        <w:sz w:val="30"/>
        <w:szCs w:val="30"/>
      </w:rPr>
      <w:instrText xml:space="preserve">PAGE  </w:instrText>
    </w:r>
    <w:r>
      <w:rPr>
        <w:sz w:val="30"/>
        <w:szCs w:val="30"/>
      </w:rPr>
      <w:fldChar w:fldCharType="separate"/>
    </w:r>
    <w:r>
      <w:rPr>
        <w:rStyle w:val="7"/>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zNTc1Njc1YjU3NWVhMWFjNGU3MWVkZDQ4YjU4YWEifQ=="/>
  </w:docVars>
  <w:rsids>
    <w:rsidRoot w:val="4C256E3D"/>
    <w:rsid w:val="00066CA3"/>
    <w:rsid w:val="006C1367"/>
    <w:rsid w:val="00715385"/>
    <w:rsid w:val="00F66C5B"/>
    <w:rsid w:val="03694E42"/>
    <w:rsid w:val="044C2EB2"/>
    <w:rsid w:val="04B723B2"/>
    <w:rsid w:val="06FA3127"/>
    <w:rsid w:val="095177AD"/>
    <w:rsid w:val="09BE6112"/>
    <w:rsid w:val="0A2B020F"/>
    <w:rsid w:val="0BCB54ED"/>
    <w:rsid w:val="0C4E3DBC"/>
    <w:rsid w:val="0DA86951"/>
    <w:rsid w:val="0E074DDF"/>
    <w:rsid w:val="0F30413F"/>
    <w:rsid w:val="0F5731D6"/>
    <w:rsid w:val="124204B5"/>
    <w:rsid w:val="12B0064F"/>
    <w:rsid w:val="12C31B67"/>
    <w:rsid w:val="12F3155C"/>
    <w:rsid w:val="132B59F3"/>
    <w:rsid w:val="13B628A5"/>
    <w:rsid w:val="15C520BA"/>
    <w:rsid w:val="15E96CAD"/>
    <w:rsid w:val="182962AB"/>
    <w:rsid w:val="18627337"/>
    <w:rsid w:val="19236DEE"/>
    <w:rsid w:val="19953677"/>
    <w:rsid w:val="19AC2601"/>
    <w:rsid w:val="19D073EB"/>
    <w:rsid w:val="19D315F4"/>
    <w:rsid w:val="19DC6DFD"/>
    <w:rsid w:val="1CC31F67"/>
    <w:rsid w:val="1D2A755F"/>
    <w:rsid w:val="1D900FF2"/>
    <w:rsid w:val="1E334FC7"/>
    <w:rsid w:val="20311DD2"/>
    <w:rsid w:val="20B100E1"/>
    <w:rsid w:val="21A4246F"/>
    <w:rsid w:val="21D13B53"/>
    <w:rsid w:val="235F4381"/>
    <w:rsid w:val="2492198F"/>
    <w:rsid w:val="24D337DC"/>
    <w:rsid w:val="26460DBA"/>
    <w:rsid w:val="26E35EF4"/>
    <w:rsid w:val="2757559B"/>
    <w:rsid w:val="278D617A"/>
    <w:rsid w:val="27D00CCB"/>
    <w:rsid w:val="2878616D"/>
    <w:rsid w:val="28EC6E83"/>
    <w:rsid w:val="2B6F74EB"/>
    <w:rsid w:val="2C3A4BAB"/>
    <w:rsid w:val="2C4219FE"/>
    <w:rsid w:val="2D7946DE"/>
    <w:rsid w:val="2DBD5491"/>
    <w:rsid w:val="2DDA1D4D"/>
    <w:rsid w:val="2DF90CD7"/>
    <w:rsid w:val="2E14324D"/>
    <w:rsid w:val="2E5D382E"/>
    <w:rsid w:val="31CC05D4"/>
    <w:rsid w:val="334F4FF0"/>
    <w:rsid w:val="34020F86"/>
    <w:rsid w:val="34474AA4"/>
    <w:rsid w:val="3728527B"/>
    <w:rsid w:val="376F1C28"/>
    <w:rsid w:val="37DB605B"/>
    <w:rsid w:val="389A630C"/>
    <w:rsid w:val="39A63F06"/>
    <w:rsid w:val="3B59557C"/>
    <w:rsid w:val="3C1C29AB"/>
    <w:rsid w:val="3E2B0CF8"/>
    <w:rsid w:val="3ED1439F"/>
    <w:rsid w:val="3EEC0340"/>
    <w:rsid w:val="3F5E72F8"/>
    <w:rsid w:val="40B1392D"/>
    <w:rsid w:val="41C0224B"/>
    <w:rsid w:val="433929E4"/>
    <w:rsid w:val="43F22FA3"/>
    <w:rsid w:val="44500BF5"/>
    <w:rsid w:val="449C0218"/>
    <w:rsid w:val="44DF6E9B"/>
    <w:rsid w:val="452C2890"/>
    <w:rsid w:val="45757660"/>
    <w:rsid w:val="45C93B4A"/>
    <w:rsid w:val="46763BE0"/>
    <w:rsid w:val="46794278"/>
    <w:rsid w:val="46DD75F6"/>
    <w:rsid w:val="4769480C"/>
    <w:rsid w:val="48374EDC"/>
    <w:rsid w:val="48BA50E8"/>
    <w:rsid w:val="4C256E3D"/>
    <w:rsid w:val="4CB52F0F"/>
    <w:rsid w:val="4CF06DDE"/>
    <w:rsid w:val="4E907B00"/>
    <w:rsid w:val="4FBF5EBC"/>
    <w:rsid w:val="50D32103"/>
    <w:rsid w:val="5112160E"/>
    <w:rsid w:val="52733A67"/>
    <w:rsid w:val="52FF38CA"/>
    <w:rsid w:val="532F1F9A"/>
    <w:rsid w:val="53573BD1"/>
    <w:rsid w:val="55D11BC6"/>
    <w:rsid w:val="55D94214"/>
    <w:rsid w:val="5794651F"/>
    <w:rsid w:val="590809EF"/>
    <w:rsid w:val="5A4B1890"/>
    <w:rsid w:val="5A4C0DB6"/>
    <w:rsid w:val="5B112394"/>
    <w:rsid w:val="5CCB1F7C"/>
    <w:rsid w:val="5CE26FB5"/>
    <w:rsid w:val="5D07554F"/>
    <w:rsid w:val="5E4F5FA1"/>
    <w:rsid w:val="5E995A3E"/>
    <w:rsid w:val="5FE02B68"/>
    <w:rsid w:val="60DE0614"/>
    <w:rsid w:val="61D218D0"/>
    <w:rsid w:val="61E672E2"/>
    <w:rsid w:val="62163194"/>
    <w:rsid w:val="622402F4"/>
    <w:rsid w:val="624D024D"/>
    <w:rsid w:val="63632990"/>
    <w:rsid w:val="638D4CA5"/>
    <w:rsid w:val="640269BE"/>
    <w:rsid w:val="646E1BA9"/>
    <w:rsid w:val="64B314D1"/>
    <w:rsid w:val="650E086A"/>
    <w:rsid w:val="692A79C1"/>
    <w:rsid w:val="69710F03"/>
    <w:rsid w:val="699238F5"/>
    <w:rsid w:val="6A431EE2"/>
    <w:rsid w:val="6B19323C"/>
    <w:rsid w:val="6BAA0708"/>
    <w:rsid w:val="6BE565A0"/>
    <w:rsid w:val="6C085287"/>
    <w:rsid w:val="6E850948"/>
    <w:rsid w:val="71394FA1"/>
    <w:rsid w:val="723436D8"/>
    <w:rsid w:val="75DF727A"/>
    <w:rsid w:val="76664F87"/>
    <w:rsid w:val="7697021D"/>
    <w:rsid w:val="78242629"/>
    <w:rsid w:val="78F54CE6"/>
    <w:rsid w:val="793D6529"/>
    <w:rsid w:val="7BC51529"/>
    <w:rsid w:val="7E5E78B5"/>
    <w:rsid w:val="7F1A5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批注框文本 Char"/>
    <w:basedOn w:val="6"/>
    <w:link w:val="2"/>
    <w:qFormat/>
    <w:uiPriority w:val="0"/>
    <w:rPr>
      <w:kern w:val="2"/>
      <w:sz w:val="18"/>
      <w:szCs w:val="18"/>
    </w:rPr>
  </w:style>
  <w:style w:type="character" w:customStyle="1" w:styleId="9">
    <w:name w:val="font11"/>
    <w:basedOn w:val="6"/>
    <w:qFormat/>
    <w:uiPriority w:val="0"/>
    <w:rPr>
      <w:rFonts w:hint="eastAsia" w:ascii="宋体" w:hAnsi="宋体" w:eastAsia="宋体" w:cs="宋体"/>
      <w:color w:val="000000"/>
      <w:sz w:val="22"/>
      <w:szCs w:val="22"/>
      <w:u w:val="none"/>
    </w:rPr>
  </w:style>
  <w:style w:type="character" w:customStyle="1" w:styleId="10">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6068</Words>
  <Characters>6650</Characters>
  <Lines>60</Lines>
  <Paragraphs>17</Paragraphs>
  <TotalTime>6</TotalTime>
  <ScaleCrop>false</ScaleCrop>
  <LinksUpToDate>false</LinksUpToDate>
  <CharactersWithSpaces>6654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JoJo</cp:lastModifiedBy>
  <cp:lastPrinted>2021-07-07T01:10:00Z</cp:lastPrinted>
  <dcterms:modified xsi:type="dcterms:W3CDTF">2023-06-06T09:43:42Z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9C0CA2F128D84F08990F542481C88BAD</vt:lpwstr>
  </property>
</Properties>
</file>