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both"/>
        <w:textAlignment w:val="baseline"/>
        <w:rPr>
          <w:rFonts w:ascii="仿宋_GB2312" w:eastAsia="仿宋_GB2312" w:cs="ArialUnicodeMS"/>
          <w:b w:val="0"/>
          <w:i w:val="0"/>
          <w:caps w:val="0"/>
          <w:spacing w:val="0"/>
          <w:w w:val="100"/>
          <w:kern w:val="0"/>
          <w:sz w:val="32"/>
          <w:szCs w:val="32"/>
        </w:rPr>
      </w:pPr>
    </w:p>
    <w:p>
      <w:pPr>
        <w:snapToGrid/>
        <w:spacing w:before="0" w:beforeAutospacing="0" w:after="0" w:afterAutospacing="0" w:line="240" w:lineRule="auto"/>
        <w:jc w:val="both"/>
        <w:textAlignment w:val="baseline"/>
        <w:rPr>
          <w:rFonts w:ascii="黑体" w:eastAsia="黑体" w:cs="ArialUnicodeMS"/>
          <w:b w:val="0"/>
          <w:i w:val="0"/>
          <w:caps w:val="0"/>
          <w:spacing w:val="0"/>
          <w:w w:val="100"/>
          <w:kern w:val="0"/>
          <w:sz w:val="72"/>
          <w:szCs w:val="72"/>
        </w:rPr>
      </w:pPr>
      <w:bookmarkStart w:id="0" w:name="_GoBack"/>
      <w:bookmarkEnd w:id="0"/>
    </w:p>
    <w:p>
      <w:pPr>
        <w:snapToGrid/>
        <w:spacing w:before="0" w:beforeAutospacing="0" w:after="0" w:afterAutospacing="0" w:line="240" w:lineRule="auto"/>
        <w:jc w:val="both"/>
        <w:textAlignment w:val="baseline"/>
        <w:rPr>
          <w:rFonts w:ascii="黑体" w:eastAsia="黑体" w:cs="ArialUnicodeMS"/>
          <w:b w:val="0"/>
          <w:i w:val="0"/>
          <w:caps w:val="0"/>
          <w:spacing w:val="0"/>
          <w:w w:val="100"/>
          <w:kern w:val="0"/>
          <w:sz w:val="72"/>
          <w:szCs w:val="72"/>
        </w:rPr>
      </w:pPr>
    </w:p>
    <w:p>
      <w:pPr>
        <w:snapToGrid/>
        <w:spacing w:before="0" w:beforeAutospacing="0" w:after="0" w:afterAutospacing="0" w:line="240" w:lineRule="auto"/>
        <w:jc w:val="center"/>
        <w:textAlignment w:val="baseline"/>
        <w:rPr>
          <w:rFonts w:ascii="黑体" w:eastAsia="黑体" w:cs="ArialUnicodeMS"/>
          <w:b w:val="0"/>
          <w:i w:val="0"/>
          <w:caps w:val="0"/>
          <w:spacing w:val="0"/>
          <w:w w:val="100"/>
          <w:kern w:val="0"/>
          <w:sz w:val="52"/>
          <w:szCs w:val="52"/>
        </w:rPr>
      </w:pPr>
      <w:r>
        <w:rPr>
          <w:rFonts w:hint="eastAsia" w:ascii="黑体" w:eastAsia="黑体" w:cs="ArialUnicodeMS"/>
          <w:b w:val="0"/>
          <w:i w:val="0"/>
          <w:caps w:val="0"/>
          <w:spacing w:val="0"/>
          <w:w w:val="100"/>
          <w:kern w:val="0"/>
          <w:sz w:val="52"/>
          <w:szCs w:val="52"/>
        </w:rPr>
        <w:t>柳州市</w:t>
      </w:r>
      <w:r>
        <w:rPr>
          <w:rFonts w:hint="eastAsia" w:ascii="黑体" w:hAnsi="黑体" w:eastAsia="黑体"/>
          <w:b w:val="0"/>
          <w:bCs/>
          <w:i w:val="0"/>
          <w:caps w:val="0"/>
          <w:color w:val="000000"/>
          <w:spacing w:val="0"/>
          <w:w w:val="100"/>
          <w:sz w:val="52"/>
          <w:szCs w:val="52"/>
        </w:rPr>
        <w:t>电化教育站</w:t>
      </w:r>
      <w:r>
        <w:rPr>
          <w:rFonts w:hint="eastAsia" w:ascii="黑体" w:eastAsia="黑体"/>
          <w:b w:val="0"/>
          <w:i w:val="0"/>
          <w:caps w:val="0"/>
          <w:spacing w:val="0"/>
          <w:w w:val="100"/>
          <w:kern w:val="0"/>
          <w:sz w:val="52"/>
          <w:szCs w:val="52"/>
        </w:rPr>
        <w:t>2021</w:t>
      </w:r>
      <w:r>
        <w:rPr>
          <w:rFonts w:hint="eastAsia" w:ascii="黑体" w:eastAsia="黑体" w:cs="ArialUnicodeMS"/>
          <w:b w:val="0"/>
          <w:i w:val="0"/>
          <w:caps w:val="0"/>
          <w:spacing w:val="0"/>
          <w:w w:val="100"/>
          <w:kern w:val="0"/>
          <w:sz w:val="52"/>
          <w:szCs w:val="52"/>
        </w:rPr>
        <w:t>年度</w:t>
      </w:r>
    </w:p>
    <w:p>
      <w:pPr>
        <w:snapToGrid/>
        <w:spacing w:before="0" w:beforeAutospacing="0" w:after="0" w:afterAutospacing="0" w:line="240" w:lineRule="auto"/>
        <w:jc w:val="center"/>
        <w:textAlignment w:val="baseline"/>
        <w:rPr>
          <w:rFonts w:ascii="黑体" w:eastAsia="黑体" w:cs="ArialUnicodeMS"/>
          <w:b w:val="0"/>
          <w:i w:val="0"/>
          <w:caps w:val="0"/>
          <w:spacing w:val="0"/>
          <w:w w:val="100"/>
          <w:kern w:val="0"/>
          <w:sz w:val="52"/>
          <w:szCs w:val="52"/>
        </w:rPr>
      </w:pPr>
      <w:r>
        <w:rPr>
          <w:rFonts w:hint="eastAsia" w:ascii="黑体" w:eastAsia="黑体" w:cs="ArialUnicodeMS"/>
          <w:b w:val="0"/>
          <w:i w:val="0"/>
          <w:caps w:val="0"/>
          <w:spacing w:val="0"/>
          <w:w w:val="100"/>
          <w:kern w:val="0"/>
          <w:sz w:val="52"/>
          <w:szCs w:val="52"/>
        </w:rPr>
        <w:t>部门决算</w:t>
      </w:r>
    </w:p>
    <w:p>
      <w:pPr>
        <w:snapToGrid/>
        <w:spacing w:before="0" w:beforeAutospacing="0" w:after="0" w:afterAutospacing="0" w:line="240" w:lineRule="auto"/>
        <w:jc w:val="both"/>
        <w:textAlignment w:val="baseline"/>
        <w:rPr>
          <w:rFonts w:ascii="ArialUnicodeMS" w:eastAsia="ArialUnicodeMS" w:cs="ArialUnicodeMS"/>
          <w:b w:val="0"/>
          <w:i w:val="0"/>
          <w:caps w:val="0"/>
          <w:spacing w:val="0"/>
          <w:w w:val="100"/>
          <w:kern w:val="0"/>
          <w:sz w:val="84"/>
          <w:szCs w:val="84"/>
        </w:rPr>
      </w:pPr>
    </w:p>
    <w:p>
      <w:pPr>
        <w:snapToGrid/>
        <w:spacing w:before="0" w:beforeAutospacing="0" w:after="0" w:afterAutospacing="0" w:line="240" w:lineRule="auto"/>
        <w:jc w:val="both"/>
        <w:textAlignment w:val="baseline"/>
        <w:rPr>
          <w:rFonts w:ascii="ArialUnicodeMS" w:eastAsia="ArialUnicodeMS" w:cs="ArialUnicodeMS"/>
          <w:b w:val="0"/>
          <w:i w:val="0"/>
          <w:caps w:val="0"/>
          <w:spacing w:val="0"/>
          <w:w w:val="100"/>
          <w:kern w:val="0"/>
          <w:sz w:val="84"/>
          <w:szCs w:val="84"/>
        </w:rPr>
      </w:pPr>
    </w:p>
    <w:p>
      <w:pPr>
        <w:snapToGrid/>
        <w:spacing w:before="0" w:beforeAutospacing="0" w:after="0" w:afterAutospacing="0" w:line="240" w:lineRule="auto"/>
        <w:jc w:val="both"/>
        <w:textAlignment w:val="baseline"/>
        <w:rPr>
          <w:rFonts w:ascii="ArialUnicodeMS" w:eastAsia="ArialUnicodeMS" w:cs="ArialUnicodeMS"/>
          <w:b w:val="0"/>
          <w:i w:val="0"/>
          <w:caps w:val="0"/>
          <w:spacing w:val="0"/>
          <w:w w:val="100"/>
          <w:kern w:val="0"/>
          <w:sz w:val="84"/>
          <w:szCs w:val="84"/>
        </w:rPr>
      </w:pPr>
    </w:p>
    <w:p>
      <w:pPr>
        <w:snapToGrid/>
        <w:spacing w:before="0" w:beforeAutospacing="0" w:after="0" w:afterAutospacing="0" w:line="240" w:lineRule="auto"/>
        <w:jc w:val="both"/>
        <w:textAlignment w:val="baseline"/>
        <w:rPr>
          <w:rFonts w:ascii="ArialUnicodeMS" w:eastAsia="ArialUnicodeMS" w:cs="ArialUnicodeMS"/>
          <w:b w:val="0"/>
          <w:i w:val="0"/>
          <w:caps w:val="0"/>
          <w:spacing w:val="0"/>
          <w:w w:val="100"/>
          <w:kern w:val="0"/>
          <w:sz w:val="84"/>
          <w:szCs w:val="84"/>
        </w:rPr>
      </w:pPr>
    </w:p>
    <w:p>
      <w:pPr>
        <w:snapToGrid/>
        <w:spacing w:before="0" w:beforeAutospacing="0" w:after="0" w:afterAutospacing="0" w:line="240" w:lineRule="auto"/>
        <w:jc w:val="both"/>
        <w:textAlignment w:val="baseline"/>
        <w:rPr>
          <w:rFonts w:ascii="ArialUnicodeMS" w:eastAsia="ArialUnicodeMS" w:cs="ArialUnicodeMS"/>
          <w:b w:val="0"/>
          <w:i w:val="0"/>
          <w:caps w:val="0"/>
          <w:spacing w:val="0"/>
          <w:w w:val="100"/>
          <w:kern w:val="0"/>
          <w:sz w:val="84"/>
          <w:szCs w:val="84"/>
        </w:rPr>
      </w:pPr>
    </w:p>
    <w:p>
      <w:pPr>
        <w:snapToGrid/>
        <w:spacing w:before="0" w:beforeAutospacing="0" w:after="0" w:afterAutospacing="0" w:line="240" w:lineRule="auto"/>
        <w:jc w:val="both"/>
        <w:textAlignment w:val="baseline"/>
        <w:rPr>
          <w:rFonts w:ascii="ArialUnicodeMS" w:eastAsia="ArialUnicodeMS" w:cs="ArialUnicodeMS"/>
          <w:b w:val="0"/>
          <w:i w:val="0"/>
          <w:caps w:val="0"/>
          <w:spacing w:val="0"/>
          <w:w w:val="100"/>
          <w:kern w:val="0"/>
          <w:sz w:val="84"/>
          <w:szCs w:val="84"/>
        </w:rPr>
      </w:pPr>
    </w:p>
    <w:p>
      <w:pPr>
        <w:snapToGrid/>
        <w:spacing w:before="0" w:beforeAutospacing="0" w:after="0" w:afterAutospacing="0" w:line="240" w:lineRule="auto"/>
        <w:jc w:val="both"/>
        <w:textAlignment w:val="baseline"/>
        <w:rPr>
          <w:rFonts w:ascii="ArialUnicodeMS" w:eastAsia="ArialUnicodeMS" w:cs="ArialUnicodeMS"/>
          <w:b w:val="0"/>
          <w:i w:val="0"/>
          <w:caps w:val="0"/>
          <w:spacing w:val="0"/>
          <w:w w:val="100"/>
          <w:kern w:val="0"/>
          <w:sz w:val="84"/>
          <w:szCs w:val="84"/>
        </w:rPr>
      </w:pPr>
    </w:p>
    <w:p>
      <w:pPr>
        <w:snapToGrid/>
        <w:spacing w:before="0" w:beforeAutospacing="0" w:after="0" w:afterAutospacing="0" w:line="240" w:lineRule="auto"/>
        <w:jc w:val="center"/>
        <w:textAlignment w:val="baseline"/>
        <w:rPr>
          <w:rFonts w:ascii="黑体" w:eastAsia="黑体" w:cs="黑体"/>
          <w:b w:val="0"/>
          <w:i w:val="0"/>
          <w:caps w:val="0"/>
          <w:spacing w:val="0"/>
          <w:w w:val="100"/>
          <w:kern w:val="0"/>
          <w:sz w:val="44"/>
          <w:szCs w:val="44"/>
        </w:rPr>
      </w:pPr>
    </w:p>
    <w:p>
      <w:pPr>
        <w:snapToGrid/>
        <w:spacing w:before="0" w:beforeAutospacing="0" w:after="0" w:afterAutospacing="0" w:line="240" w:lineRule="auto"/>
        <w:ind w:firstLine="646"/>
        <w:jc w:val="center"/>
        <w:textAlignment w:val="baseline"/>
        <w:rPr>
          <w:rFonts w:ascii="方正小标宋简体" w:eastAsia="方正小标宋简体"/>
          <w:b/>
          <w:i w:val="0"/>
          <w:caps w:val="0"/>
          <w:spacing w:val="0"/>
          <w:w w:val="100"/>
          <w:sz w:val="44"/>
          <w:szCs w:val="44"/>
        </w:rPr>
      </w:pPr>
      <w:r>
        <w:rPr>
          <w:rFonts w:hint="eastAsia" w:ascii="方正小标宋简体" w:eastAsia="方正小标宋简体"/>
          <w:b/>
          <w:i w:val="0"/>
          <w:caps w:val="0"/>
          <w:spacing w:val="0"/>
          <w:w w:val="100"/>
          <w:sz w:val="44"/>
          <w:szCs w:val="44"/>
        </w:rPr>
        <w:t>目    录</w:t>
      </w:r>
    </w:p>
    <w:p>
      <w:pPr>
        <w:snapToGrid/>
        <w:spacing w:before="0" w:beforeAutospacing="0" w:after="0" w:afterAutospacing="0" w:line="240" w:lineRule="auto"/>
        <w:ind w:firstLine="645"/>
        <w:jc w:val="both"/>
        <w:textAlignment w:val="baseline"/>
        <w:rPr>
          <w:rFonts w:ascii="仿宋_GB2312" w:eastAsia="仿宋_GB2312"/>
          <w:b/>
          <w:i w:val="0"/>
          <w:caps w:val="0"/>
          <w:spacing w:val="0"/>
          <w:w w:val="100"/>
          <w:sz w:val="32"/>
          <w:szCs w:val="32"/>
        </w:rPr>
      </w:pPr>
    </w:p>
    <w:p>
      <w:pPr>
        <w:snapToGrid/>
        <w:spacing w:before="0" w:beforeAutospacing="0" w:after="0" w:afterAutospacing="0" w:line="240" w:lineRule="auto"/>
        <w:ind w:firstLine="645"/>
        <w:jc w:val="both"/>
        <w:textAlignment w:val="baseline"/>
        <w:rPr>
          <w:rFonts w:ascii="仿宋_GB2312" w:eastAsia="仿宋_GB2312"/>
          <w:b/>
          <w:i w:val="0"/>
          <w:caps w:val="0"/>
          <w:spacing w:val="0"/>
          <w:w w:val="100"/>
          <w:sz w:val="32"/>
          <w:szCs w:val="32"/>
        </w:rPr>
      </w:pPr>
      <w:r>
        <w:rPr>
          <w:rFonts w:hint="eastAsia" w:ascii="仿宋_GB2312" w:eastAsia="仿宋_GB2312"/>
          <w:b/>
          <w:i w:val="0"/>
          <w:caps w:val="0"/>
          <w:spacing w:val="0"/>
          <w:w w:val="100"/>
          <w:sz w:val="32"/>
          <w:szCs w:val="32"/>
        </w:rPr>
        <w:t>第一部分：</w:t>
      </w:r>
      <w:r>
        <w:rPr>
          <w:rFonts w:hint="eastAsia" w:ascii="仿宋_GB2312" w:hAnsi="黑体" w:eastAsia="仿宋_GB2312"/>
          <w:b/>
          <w:bCs/>
          <w:i w:val="0"/>
          <w:caps w:val="0"/>
          <w:color w:val="000000"/>
          <w:spacing w:val="0"/>
          <w:w w:val="100"/>
          <w:sz w:val="32"/>
          <w:szCs w:val="32"/>
        </w:rPr>
        <w:t>柳州市电化教育站</w:t>
      </w:r>
      <w:r>
        <w:rPr>
          <w:rFonts w:hint="eastAsia" w:ascii="仿宋_GB2312" w:eastAsia="仿宋_GB2312"/>
          <w:b/>
          <w:i w:val="0"/>
          <w:caps w:val="0"/>
          <w:spacing w:val="0"/>
          <w:w w:val="100"/>
          <w:sz w:val="32"/>
          <w:szCs w:val="32"/>
        </w:rPr>
        <w:t>概况</w:t>
      </w:r>
    </w:p>
    <w:p>
      <w:pPr>
        <w:snapToGrid/>
        <w:spacing w:before="0" w:beforeAutospacing="0" w:after="0" w:afterAutospacing="0" w:line="240" w:lineRule="auto"/>
        <w:ind w:firstLine="645"/>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一、主要职能</w:t>
      </w:r>
    </w:p>
    <w:p>
      <w:pPr>
        <w:snapToGrid/>
        <w:spacing w:before="0" w:beforeAutospacing="0" w:after="0" w:afterAutospacing="0" w:line="240" w:lineRule="auto"/>
        <w:ind w:firstLine="645"/>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二、单位机构设置情况</w:t>
      </w:r>
    </w:p>
    <w:p>
      <w:pPr>
        <w:snapToGrid/>
        <w:spacing w:before="0" w:beforeAutospacing="0" w:after="0" w:afterAutospacing="0" w:line="240" w:lineRule="auto"/>
        <w:ind w:firstLine="645"/>
        <w:jc w:val="both"/>
        <w:textAlignment w:val="baseline"/>
        <w:rPr>
          <w:rFonts w:ascii="仿宋_GB2312" w:eastAsia="仿宋_GB2312"/>
          <w:b/>
          <w:i w:val="0"/>
          <w:caps w:val="0"/>
          <w:spacing w:val="0"/>
          <w:w w:val="100"/>
          <w:sz w:val="32"/>
          <w:szCs w:val="32"/>
        </w:rPr>
      </w:pPr>
      <w:r>
        <w:rPr>
          <w:rFonts w:hint="eastAsia" w:ascii="仿宋_GB2312" w:eastAsia="仿宋_GB2312"/>
          <w:b/>
          <w:i w:val="0"/>
          <w:caps w:val="0"/>
          <w:spacing w:val="0"/>
          <w:w w:val="100"/>
          <w:sz w:val="32"/>
          <w:szCs w:val="32"/>
        </w:rPr>
        <w:t>第二部分：</w:t>
      </w:r>
      <w:r>
        <w:rPr>
          <w:rFonts w:hint="eastAsia" w:ascii="仿宋_GB2312" w:hAnsi="黑体" w:eastAsia="仿宋_GB2312"/>
          <w:b/>
          <w:bCs/>
          <w:i w:val="0"/>
          <w:caps w:val="0"/>
          <w:color w:val="000000"/>
          <w:spacing w:val="0"/>
          <w:w w:val="100"/>
          <w:sz w:val="32"/>
          <w:szCs w:val="32"/>
        </w:rPr>
        <w:t>柳州市电化教育站</w:t>
      </w:r>
      <w:r>
        <w:rPr>
          <w:rFonts w:hint="eastAsia" w:ascii="仿宋_GB2312" w:eastAsia="仿宋_GB2312"/>
          <w:b/>
          <w:i w:val="0"/>
          <w:caps w:val="0"/>
          <w:spacing w:val="0"/>
          <w:w w:val="100"/>
          <w:sz w:val="32"/>
          <w:szCs w:val="32"/>
        </w:rPr>
        <w:t>2021年部门决算报表</w:t>
      </w:r>
    </w:p>
    <w:p>
      <w:pPr>
        <w:snapToGrid/>
        <w:spacing w:before="0" w:beforeAutospacing="0" w:after="0" w:afterAutospacing="0" w:line="240" w:lineRule="auto"/>
        <w:ind w:left="645"/>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表一：收入支出决算总表</w:t>
      </w:r>
    </w:p>
    <w:p>
      <w:pPr>
        <w:snapToGrid/>
        <w:spacing w:before="0" w:beforeAutospacing="0" w:after="0" w:afterAutospacing="0" w:line="240" w:lineRule="auto"/>
        <w:ind w:left="645"/>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表二：收入决算表</w:t>
      </w:r>
    </w:p>
    <w:p>
      <w:pPr>
        <w:snapToGrid/>
        <w:spacing w:before="0" w:beforeAutospacing="0" w:after="0" w:afterAutospacing="0" w:line="240" w:lineRule="auto"/>
        <w:ind w:left="645"/>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表三：支出决算表</w:t>
      </w:r>
    </w:p>
    <w:p>
      <w:pPr>
        <w:snapToGrid/>
        <w:spacing w:before="0" w:beforeAutospacing="0" w:after="0" w:afterAutospacing="0" w:line="240" w:lineRule="auto"/>
        <w:ind w:left="645"/>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表四：财政拨款收入支出决算总表</w:t>
      </w:r>
    </w:p>
    <w:p>
      <w:pPr>
        <w:snapToGrid/>
        <w:spacing w:before="0" w:beforeAutospacing="0" w:after="0" w:afterAutospacing="0" w:line="240" w:lineRule="auto"/>
        <w:ind w:left="645"/>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表五：一般公共预算财政拨款支出决算表</w:t>
      </w:r>
    </w:p>
    <w:p>
      <w:pPr>
        <w:snapToGrid/>
        <w:spacing w:before="0" w:beforeAutospacing="0" w:after="0" w:afterAutospacing="0" w:line="240" w:lineRule="auto"/>
        <w:ind w:left="645"/>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表六：一般公共预算财政拨款基本支出决算表</w:t>
      </w:r>
    </w:p>
    <w:p>
      <w:pPr>
        <w:snapToGrid/>
        <w:spacing w:before="0" w:beforeAutospacing="0" w:after="0" w:afterAutospacing="0" w:line="240" w:lineRule="auto"/>
        <w:ind w:left="645"/>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表七：一般公共预算财政拨款“三公”经费支出决算表</w:t>
      </w:r>
    </w:p>
    <w:p>
      <w:pPr>
        <w:snapToGrid/>
        <w:spacing w:before="0" w:beforeAutospacing="0" w:after="0" w:afterAutospacing="0" w:line="240" w:lineRule="auto"/>
        <w:ind w:left="645"/>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表八：政府性基金</w:t>
      </w:r>
      <w:r>
        <w:rPr>
          <w:rFonts w:hint="eastAsia" w:ascii="仿宋_GB2312" w:hAnsi="黑体" w:eastAsia="仿宋_GB2312"/>
          <w:b w:val="0"/>
          <w:i w:val="0"/>
          <w:caps w:val="0"/>
          <w:spacing w:val="0"/>
          <w:w w:val="100"/>
          <w:sz w:val="32"/>
          <w:szCs w:val="32"/>
        </w:rPr>
        <w:t>预算财政拨款</w:t>
      </w:r>
      <w:r>
        <w:rPr>
          <w:rFonts w:hint="eastAsia" w:ascii="仿宋_GB2312" w:eastAsia="仿宋_GB2312"/>
          <w:b w:val="0"/>
          <w:i w:val="0"/>
          <w:caps w:val="0"/>
          <w:spacing w:val="0"/>
          <w:w w:val="100"/>
          <w:sz w:val="32"/>
          <w:szCs w:val="32"/>
        </w:rPr>
        <w:t>收入支出决算表</w:t>
      </w:r>
    </w:p>
    <w:p>
      <w:pPr>
        <w:snapToGrid/>
        <w:spacing w:before="0" w:beforeAutospacing="0" w:after="0" w:afterAutospacing="0" w:line="240" w:lineRule="auto"/>
        <w:ind w:firstLine="645"/>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表九：国有资本经营预算</w:t>
      </w:r>
      <w:r>
        <w:rPr>
          <w:rFonts w:hint="eastAsia" w:ascii="仿宋_GB2312" w:hAnsi="黑体" w:eastAsia="仿宋_GB2312"/>
          <w:b w:val="0"/>
          <w:i w:val="0"/>
          <w:caps w:val="0"/>
          <w:spacing w:val="0"/>
          <w:w w:val="100"/>
          <w:sz w:val="32"/>
          <w:szCs w:val="32"/>
        </w:rPr>
        <w:t>财政拨款</w:t>
      </w:r>
      <w:r>
        <w:rPr>
          <w:rFonts w:hint="eastAsia" w:ascii="仿宋_GB2312" w:eastAsia="仿宋_GB2312"/>
          <w:b w:val="0"/>
          <w:i w:val="0"/>
          <w:caps w:val="0"/>
          <w:spacing w:val="0"/>
          <w:w w:val="100"/>
          <w:sz w:val="32"/>
          <w:szCs w:val="32"/>
        </w:rPr>
        <w:t>支出决算表</w:t>
      </w:r>
    </w:p>
    <w:p>
      <w:pPr>
        <w:snapToGrid/>
        <w:spacing w:before="0" w:beforeAutospacing="0" w:after="0" w:afterAutospacing="0" w:line="240" w:lineRule="auto"/>
        <w:ind w:firstLine="645"/>
        <w:jc w:val="both"/>
        <w:textAlignment w:val="baseline"/>
        <w:rPr>
          <w:rFonts w:ascii="仿宋_GB2312" w:eastAsia="仿宋_GB2312"/>
          <w:b/>
          <w:i w:val="0"/>
          <w:caps w:val="0"/>
          <w:spacing w:val="0"/>
          <w:w w:val="100"/>
          <w:sz w:val="32"/>
          <w:szCs w:val="32"/>
        </w:rPr>
      </w:pPr>
      <w:r>
        <w:rPr>
          <w:rFonts w:hint="eastAsia" w:ascii="仿宋_GB2312" w:eastAsia="仿宋_GB2312"/>
          <w:b/>
          <w:i w:val="0"/>
          <w:caps w:val="0"/>
          <w:spacing w:val="0"/>
          <w:w w:val="100"/>
          <w:sz w:val="32"/>
          <w:szCs w:val="32"/>
        </w:rPr>
        <w:t>第三部分：</w:t>
      </w:r>
      <w:r>
        <w:rPr>
          <w:rFonts w:hint="eastAsia" w:ascii="仿宋_GB2312" w:hAnsi="黑体" w:eastAsia="仿宋_GB2312"/>
          <w:b/>
          <w:bCs/>
          <w:i w:val="0"/>
          <w:caps w:val="0"/>
          <w:color w:val="000000"/>
          <w:spacing w:val="0"/>
          <w:w w:val="100"/>
          <w:sz w:val="32"/>
          <w:szCs w:val="32"/>
        </w:rPr>
        <w:t>柳州市电化教育站</w:t>
      </w:r>
      <w:r>
        <w:rPr>
          <w:rFonts w:hint="eastAsia" w:ascii="仿宋_GB2312" w:eastAsia="仿宋_GB2312"/>
          <w:b/>
          <w:i w:val="0"/>
          <w:caps w:val="0"/>
          <w:spacing w:val="0"/>
          <w:w w:val="100"/>
          <w:sz w:val="32"/>
          <w:szCs w:val="32"/>
        </w:rPr>
        <w:t>2021年度部门决算情况说明</w:t>
      </w:r>
    </w:p>
    <w:p>
      <w:pPr>
        <w:snapToGrid/>
        <w:spacing w:before="0" w:beforeAutospacing="0" w:after="0" w:afterAutospacing="0" w:line="240" w:lineRule="auto"/>
        <w:ind w:firstLine="640" w:firstLineChars="200"/>
        <w:jc w:val="both"/>
        <w:textAlignment w:val="baseline"/>
        <w:rPr>
          <w:rFonts w:ascii="仿宋_GB2312" w:eastAsia="仿宋_GB2312" w:cs="仿宋_GB2312"/>
          <w:b w:val="0"/>
          <w:i w:val="0"/>
          <w:caps w:val="0"/>
          <w:spacing w:val="0"/>
          <w:w w:val="100"/>
          <w:kern w:val="0"/>
          <w:sz w:val="32"/>
          <w:szCs w:val="32"/>
        </w:rPr>
      </w:pPr>
      <w:r>
        <w:rPr>
          <w:rFonts w:hint="eastAsia" w:ascii="仿宋_GB2312" w:eastAsia="仿宋_GB2312" w:cs="仿宋_GB2312"/>
          <w:b w:val="0"/>
          <w:i w:val="0"/>
          <w:caps w:val="0"/>
          <w:spacing w:val="0"/>
          <w:w w:val="100"/>
          <w:kern w:val="0"/>
          <w:sz w:val="32"/>
          <w:szCs w:val="32"/>
        </w:rPr>
        <w:t>一、</w:t>
      </w:r>
      <w:r>
        <w:rPr>
          <w:rFonts w:hint="eastAsia" w:ascii="仿宋_GB2312" w:eastAsia="仿宋_GB2312"/>
          <w:b w:val="0"/>
          <w:i w:val="0"/>
          <w:caps w:val="0"/>
          <w:spacing w:val="0"/>
          <w:w w:val="100"/>
          <w:kern w:val="0"/>
          <w:sz w:val="32"/>
          <w:szCs w:val="32"/>
        </w:rPr>
        <w:t xml:space="preserve">2021 </w:t>
      </w:r>
      <w:r>
        <w:rPr>
          <w:rFonts w:hint="eastAsia" w:ascii="仿宋_GB2312" w:eastAsia="仿宋_GB2312" w:cs="仿宋_GB2312"/>
          <w:b w:val="0"/>
          <w:i w:val="0"/>
          <w:caps w:val="0"/>
          <w:spacing w:val="0"/>
          <w:w w:val="100"/>
          <w:kern w:val="0"/>
          <w:sz w:val="32"/>
          <w:szCs w:val="32"/>
        </w:rPr>
        <w:t>年度收入支出决算总体情况。</w:t>
      </w:r>
    </w:p>
    <w:p>
      <w:pPr>
        <w:snapToGrid/>
        <w:spacing w:before="0" w:beforeAutospacing="0" w:after="0" w:afterAutospacing="0" w:line="240" w:lineRule="auto"/>
        <w:ind w:firstLine="640" w:firstLineChars="200"/>
        <w:jc w:val="both"/>
        <w:textAlignment w:val="baseline"/>
        <w:rPr>
          <w:rFonts w:ascii="仿宋_GB2312" w:eastAsia="仿宋_GB2312" w:cs="仿宋_GB2312"/>
          <w:b w:val="0"/>
          <w:i w:val="0"/>
          <w:caps w:val="0"/>
          <w:spacing w:val="0"/>
          <w:w w:val="100"/>
          <w:kern w:val="0"/>
          <w:sz w:val="32"/>
          <w:szCs w:val="32"/>
        </w:rPr>
      </w:pPr>
      <w:r>
        <w:rPr>
          <w:rFonts w:hint="eastAsia" w:ascii="仿宋_GB2312" w:eastAsia="仿宋_GB2312" w:cs="仿宋_GB2312"/>
          <w:b w:val="0"/>
          <w:i w:val="0"/>
          <w:caps w:val="0"/>
          <w:spacing w:val="0"/>
          <w:w w:val="100"/>
          <w:kern w:val="0"/>
          <w:sz w:val="32"/>
          <w:szCs w:val="32"/>
        </w:rPr>
        <w:t>二、</w:t>
      </w:r>
      <w:r>
        <w:rPr>
          <w:rFonts w:hint="eastAsia" w:ascii="仿宋_GB2312" w:eastAsia="仿宋_GB2312"/>
          <w:b w:val="0"/>
          <w:i w:val="0"/>
          <w:caps w:val="0"/>
          <w:spacing w:val="0"/>
          <w:w w:val="100"/>
          <w:kern w:val="0"/>
          <w:sz w:val="32"/>
          <w:szCs w:val="32"/>
        </w:rPr>
        <w:t xml:space="preserve">2021 </w:t>
      </w:r>
      <w:r>
        <w:rPr>
          <w:rFonts w:hint="eastAsia" w:ascii="仿宋_GB2312" w:eastAsia="仿宋_GB2312" w:cs="仿宋_GB2312"/>
          <w:b w:val="0"/>
          <w:i w:val="0"/>
          <w:caps w:val="0"/>
          <w:spacing w:val="0"/>
          <w:w w:val="100"/>
          <w:kern w:val="0"/>
          <w:sz w:val="32"/>
          <w:szCs w:val="32"/>
        </w:rPr>
        <w:t>年度</w:t>
      </w:r>
      <w:r>
        <w:rPr>
          <w:rFonts w:hint="eastAsia" w:ascii="仿宋_GB2312" w:eastAsia="仿宋_GB2312"/>
          <w:b w:val="0"/>
          <w:i w:val="0"/>
          <w:caps w:val="0"/>
          <w:spacing w:val="0"/>
          <w:w w:val="100"/>
          <w:sz w:val="32"/>
          <w:szCs w:val="32"/>
        </w:rPr>
        <w:t>一般</w:t>
      </w:r>
      <w:r>
        <w:rPr>
          <w:rFonts w:hint="eastAsia" w:ascii="仿宋_GB2312" w:eastAsia="仿宋_GB2312" w:cs="仿宋_GB2312"/>
          <w:b w:val="0"/>
          <w:i w:val="0"/>
          <w:caps w:val="0"/>
          <w:spacing w:val="0"/>
          <w:w w:val="100"/>
          <w:kern w:val="0"/>
          <w:sz w:val="32"/>
          <w:szCs w:val="32"/>
        </w:rPr>
        <w:t>公共预算财政拨款支出决算情况。</w:t>
      </w:r>
    </w:p>
    <w:p>
      <w:pPr>
        <w:snapToGrid/>
        <w:spacing w:before="0" w:beforeAutospacing="0" w:after="0" w:afterAutospacing="0" w:line="240" w:lineRule="auto"/>
        <w:ind w:firstLine="640" w:firstLineChars="200"/>
        <w:jc w:val="both"/>
        <w:textAlignment w:val="baseline"/>
        <w:rPr>
          <w:rFonts w:ascii="仿宋_GB2312" w:eastAsia="仿宋_GB2312" w:cs="仿宋_GB2312"/>
          <w:b w:val="0"/>
          <w:i w:val="0"/>
          <w:caps w:val="0"/>
          <w:spacing w:val="0"/>
          <w:w w:val="100"/>
          <w:kern w:val="0"/>
          <w:sz w:val="32"/>
          <w:szCs w:val="32"/>
        </w:rPr>
      </w:pPr>
      <w:r>
        <w:rPr>
          <w:rFonts w:hint="eastAsia" w:ascii="仿宋_GB2312" w:eastAsia="仿宋_GB2312" w:cs="仿宋_GB2312"/>
          <w:b w:val="0"/>
          <w:i w:val="0"/>
          <w:caps w:val="0"/>
          <w:spacing w:val="0"/>
          <w:w w:val="100"/>
          <w:kern w:val="0"/>
          <w:sz w:val="32"/>
          <w:szCs w:val="32"/>
        </w:rPr>
        <w:t>三、2021年度一般公共预算财政拨款基本支出决算情况说明。</w:t>
      </w:r>
    </w:p>
    <w:p>
      <w:pPr>
        <w:snapToGrid/>
        <w:spacing w:before="0" w:beforeAutospacing="0" w:after="0" w:afterAutospacing="0" w:line="240" w:lineRule="auto"/>
        <w:ind w:firstLine="640" w:firstLineChars="200"/>
        <w:jc w:val="both"/>
        <w:textAlignment w:val="baseline"/>
        <w:rPr>
          <w:rFonts w:ascii="仿宋_GB2312" w:eastAsia="仿宋_GB2312" w:cs="仿宋_GB2312"/>
          <w:b w:val="0"/>
          <w:i w:val="0"/>
          <w:caps w:val="0"/>
          <w:spacing w:val="0"/>
          <w:w w:val="100"/>
          <w:kern w:val="0"/>
          <w:sz w:val="32"/>
          <w:szCs w:val="32"/>
        </w:rPr>
      </w:pPr>
      <w:r>
        <w:rPr>
          <w:rFonts w:hint="eastAsia" w:ascii="仿宋_GB2312" w:eastAsia="仿宋_GB2312" w:cs="仿宋_GB2312"/>
          <w:b w:val="0"/>
          <w:i w:val="0"/>
          <w:caps w:val="0"/>
          <w:spacing w:val="0"/>
          <w:w w:val="100"/>
          <w:kern w:val="0"/>
          <w:sz w:val="32"/>
          <w:szCs w:val="32"/>
        </w:rPr>
        <w:t>四、</w:t>
      </w:r>
      <w:r>
        <w:rPr>
          <w:rFonts w:hint="eastAsia" w:ascii="仿宋_GB2312" w:eastAsia="仿宋_GB2312"/>
          <w:b w:val="0"/>
          <w:i w:val="0"/>
          <w:caps w:val="0"/>
          <w:spacing w:val="0"/>
          <w:w w:val="100"/>
          <w:kern w:val="0"/>
          <w:sz w:val="32"/>
          <w:szCs w:val="32"/>
        </w:rPr>
        <w:t xml:space="preserve">2021 </w:t>
      </w:r>
      <w:r>
        <w:rPr>
          <w:rFonts w:hint="eastAsia" w:ascii="仿宋_GB2312" w:eastAsia="仿宋_GB2312" w:cs="仿宋_GB2312"/>
          <w:b w:val="0"/>
          <w:i w:val="0"/>
          <w:caps w:val="0"/>
          <w:spacing w:val="0"/>
          <w:w w:val="100"/>
          <w:kern w:val="0"/>
          <w:sz w:val="32"/>
          <w:szCs w:val="32"/>
        </w:rPr>
        <w:t>年度政府性基金支出决算情况。</w:t>
      </w:r>
    </w:p>
    <w:p>
      <w:pPr>
        <w:snapToGrid/>
        <w:spacing w:before="0" w:beforeAutospacing="0" w:after="0" w:afterAutospacing="0" w:line="240" w:lineRule="auto"/>
        <w:ind w:firstLine="640" w:firstLineChars="200"/>
        <w:jc w:val="both"/>
        <w:textAlignment w:val="baseline"/>
        <w:rPr>
          <w:rFonts w:ascii="仿宋_GB2312" w:eastAsia="仿宋_GB2312" w:cs="仿宋_GB2312"/>
          <w:b w:val="0"/>
          <w:i w:val="0"/>
          <w:caps w:val="0"/>
          <w:spacing w:val="0"/>
          <w:w w:val="100"/>
          <w:kern w:val="0"/>
          <w:sz w:val="32"/>
          <w:szCs w:val="32"/>
        </w:rPr>
      </w:pPr>
      <w:r>
        <w:rPr>
          <w:rFonts w:hint="eastAsia" w:ascii="仿宋_GB2312" w:eastAsia="仿宋_GB2312" w:cs="仿宋_GB2312"/>
          <w:b w:val="0"/>
          <w:i w:val="0"/>
          <w:caps w:val="0"/>
          <w:spacing w:val="0"/>
          <w:w w:val="100"/>
          <w:kern w:val="0"/>
          <w:sz w:val="32"/>
          <w:szCs w:val="32"/>
        </w:rPr>
        <w:t>五、2021年度国有资本经营预算支出决算情况</w:t>
      </w:r>
    </w:p>
    <w:p>
      <w:pPr>
        <w:snapToGrid/>
        <w:spacing w:before="0" w:beforeAutospacing="0" w:after="0" w:afterAutospacing="0" w:line="240" w:lineRule="auto"/>
        <w:ind w:firstLine="640" w:firstLineChars="200"/>
        <w:jc w:val="both"/>
        <w:textAlignment w:val="baseline"/>
        <w:rPr>
          <w:rFonts w:ascii="仿宋_GB2312" w:eastAsia="仿宋_GB2312" w:cs="仿宋_GB2312"/>
          <w:b w:val="0"/>
          <w:i w:val="0"/>
          <w:caps w:val="0"/>
          <w:spacing w:val="0"/>
          <w:w w:val="100"/>
          <w:kern w:val="0"/>
          <w:sz w:val="32"/>
          <w:szCs w:val="32"/>
        </w:rPr>
      </w:pPr>
      <w:r>
        <w:rPr>
          <w:rFonts w:hint="eastAsia" w:ascii="仿宋_GB2312" w:eastAsia="仿宋_GB2312" w:cs="仿宋_GB2312"/>
          <w:b w:val="0"/>
          <w:i w:val="0"/>
          <w:caps w:val="0"/>
          <w:spacing w:val="0"/>
          <w:w w:val="100"/>
          <w:kern w:val="0"/>
          <w:sz w:val="32"/>
          <w:szCs w:val="32"/>
        </w:rPr>
        <w:t>六、</w:t>
      </w:r>
      <w:r>
        <w:rPr>
          <w:rFonts w:hint="eastAsia" w:ascii="仿宋_GB2312" w:eastAsia="仿宋_GB2312"/>
          <w:b w:val="0"/>
          <w:i w:val="0"/>
          <w:caps w:val="0"/>
          <w:spacing w:val="0"/>
          <w:w w:val="100"/>
          <w:sz w:val="32"/>
          <w:szCs w:val="32"/>
        </w:rPr>
        <w:t>一般</w:t>
      </w:r>
      <w:r>
        <w:rPr>
          <w:rFonts w:hint="eastAsia" w:ascii="仿宋_GB2312" w:eastAsia="仿宋_GB2312" w:cs="仿宋_GB2312"/>
          <w:b w:val="0"/>
          <w:i w:val="0"/>
          <w:caps w:val="0"/>
          <w:spacing w:val="0"/>
          <w:w w:val="100"/>
          <w:kern w:val="0"/>
          <w:sz w:val="32"/>
          <w:szCs w:val="32"/>
        </w:rPr>
        <w:t>公共预算财政拨款安排的“三公”经费支出决算情况说明。</w:t>
      </w:r>
    </w:p>
    <w:p>
      <w:pPr>
        <w:snapToGrid/>
        <w:spacing w:before="0" w:beforeAutospacing="0" w:after="0" w:afterAutospacing="0" w:line="240" w:lineRule="auto"/>
        <w:ind w:firstLine="640" w:firstLineChars="200"/>
        <w:jc w:val="both"/>
        <w:textAlignment w:val="baseline"/>
        <w:rPr>
          <w:rFonts w:ascii="仿宋_GB2312" w:eastAsia="仿宋_GB2312" w:cs="仿宋_GB2312"/>
          <w:b w:val="0"/>
          <w:i w:val="0"/>
          <w:caps w:val="0"/>
          <w:spacing w:val="0"/>
          <w:w w:val="100"/>
          <w:kern w:val="0"/>
          <w:sz w:val="32"/>
          <w:szCs w:val="32"/>
        </w:rPr>
      </w:pPr>
      <w:r>
        <w:rPr>
          <w:rFonts w:hint="eastAsia" w:ascii="仿宋_GB2312" w:eastAsia="仿宋_GB2312" w:cs="仿宋_GB2312"/>
          <w:b w:val="0"/>
          <w:i w:val="0"/>
          <w:caps w:val="0"/>
          <w:spacing w:val="0"/>
          <w:w w:val="100"/>
          <w:kern w:val="0"/>
          <w:sz w:val="32"/>
          <w:szCs w:val="32"/>
        </w:rPr>
        <w:t>七、其他重要事项情况说明。</w:t>
      </w:r>
    </w:p>
    <w:p>
      <w:pPr>
        <w:snapToGrid/>
        <w:spacing w:before="0" w:beforeAutospacing="0" w:after="0" w:afterAutospacing="0" w:line="240" w:lineRule="auto"/>
        <w:ind w:firstLine="645"/>
        <w:jc w:val="both"/>
        <w:textAlignment w:val="baseline"/>
        <w:rPr>
          <w:rFonts w:ascii="仿宋_GB2312" w:eastAsia="仿宋_GB2312"/>
          <w:b/>
          <w:i w:val="0"/>
          <w:caps w:val="0"/>
          <w:spacing w:val="0"/>
          <w:w w:val="100"/>
          <w:sz w:val="32"/>
          <w:szCs w:val="32"/>
        </w:rPr>
      </w:pPr>
      <w:r>
        <w:rPr>
          <w:rFonts w:hint="eastAsia" w:ascii="仿宋_GB2312" w:eastAsia="仿宋_GB2312"/>
          <w:b/>
          <w:i w:val="0"/>
          <w:caps w:val="0"/>
          <w:spacing w:val="0"/>
          <w:w w:val="100"/>
          <w:sz w:val="32"/>
          <w:szCs w:val="32"/>
        </w:rPr>
        <w:t>第四部分：名词解释</w:t>
      </w:r>
    </w:p>
    <w:p>
      <w:pPr>
        <w:snapToGrid/>
        <w:spacing w:before="0" w:beforeAutospacing="0" w:after="0" w:afterAutospacing="0" w:line="240" w:lineRule="auto"/>
        <w:ind w:firstLine="0"/>
        <w:jc w:val="both"/>
        <w:textAlignment w:val="baseline"/>
        <w:rPr>
          <w:rFonts w:ascii="仿宋_GB2312" w:eastAsia="仿宋_GB2312"/>
          <w:b/>
          <w:i w:val="0"/>
          <w:caps w:val="0"/>
          <w:spacing w:val="0"/>
          <w:w w:val="100"/>
          <w:sz w:val="32"/>
          <w:szCs w:val="32"/>
        </w:rPr>
      </w:pPr>
      <w:r>
        <w:rPr>
          <w:rFonts w:hint="eastAsia" w:ascii="仿宋_GB2312" w:eastAsia="仿宋_GB2312" w:cs="仿宋_GB2312"/>
          <w:b w:val="0"/>
          <w:bCs/>
          <w:i w:val="0"/>
          <w:caps w:val="0"/>
          <w:spacing w:val="0"/>
          <w:w w:val="100"/>
          <w:kern w:val="0"/>
          <w:sz w:val="32"/>
          <w:szCs w:val="32"/>
        </w:rPr>
        <w:br w:type="page"/>
      </w:r>
    </w:p>
    <w:p>
      <w:pPr>
        <w:snapToGrid/>
        <w:spacing w:before="0" w:beforeAutospacing="0" w:after="0" w:afterAutospacing="0" w:line="240" w:lineRule="auto"/>
        <w:ind w:firstLine="0"/>
        <w:jc w:val="both"/>
        <w:textAlignment w:val="baseline"/>
        <w:rPr>
          <w:rFonts w:ascii="仿宋_GB2312" w:eastAsia="仿宋_GB2312"/>
          <w:b/>
          <w:i w:val="0"/>
          <w:caps w:val="0"/>
          <w:spacing w:val="0"/>
          <w:w w:val="100"/>
          <w:sz w:val="32"/>
        </w:rPr>
      </w:pPr>
      <w:r>
        <w:rPr>
          <w:rFonts w:hint="eastAsia" w:ascii="仿宋_GB2312" w:eastAsia="仿宋_GB2312"/>
          <w:b/>
          <w:i w:val="0"/>
          <w:caps w:val="0"/>
          <w:spacing w:val="0"/>
          <w:w w:val="100"/>
          <w:sz w:val="32"/>
          <w:szCs w:val="32"/>
        </w:rPr>
        <w:t>第一部分：</w:t>
      </w:r>
      <w:r>
        <w:rPr>
          <w:rFonts w:hint="eastAsia" w:ascii="仿宋_GB2312" w:hAnsi="黑体" w:eastAsia="仿宋_GB2312"/>
          <w:b/>
          <w:bCs/>
          <w:i w:val="0"/>
          <w:caps w:val="0"/>
          <w:color w:val="000000"/>
          <w:spacing w:val="0"/>
          <w:w w:val="100"/>
          <w:sz w:val="32"/>
          <w:szCs w:val="32"/>
        </w:rPr>
        <w:t>柳州市电化教育站</w:t>
      </w:r>
      <w:r>
        <w:rPr>
          <w:rFonts w:hint="eastAsia" w:ascii="仿宋_GB2312" w:eastAsia="仿宋_GB2312"/>
          <w:b/>
          <w:bCs/>
          <w:i w:val="0"/>
          <w:caps w:val="0"/>
          <w:spacing w:val="0"/>
          <w:w w:val="100"/>
          <w:sz w:val="32"/>
          <w:szCs w:val="32"/>
        </w:rPr>
        <w:t>概况</w:t>
      </w:r>
    </w:p>
    <w:p>
      <w:pPr>
        <w:snapToGrid/>
        <w:spacing w:before="0" w:beforeAutospacing="0" w:after="0" w:afterAutospacing="0" w:line="240" w:lineRule="auto"/>
        <w:ind w:firstLine="646"/>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一、主要职能</w:t>
      </w:r>
    </w:p>
    <w:p>
      <w:pPr>
        <w:snapToGrid/>
        <w:spacing w:before="0" w:beforeAutospacing="0" w:after="0" w:afterAutospacing="0" w:line="240" w:lineRule="auto"/>
        <w:ind w:firstLine="645"/>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（一）贯彻执行国家教育信息化的方针和政策。协助拟订本 地区教育信息化发展政策、规划并组织实施。</w:t>
      </w:r>
    </w:p>
    <w:p>
      <w:pPr>
        <w:snapToGrid/>
        <w:spacing w:before="0" w:beforeAutospacing="0" w:after="0" w:afterAutospacing="0" w:line="240" w:lineRule="auto"/>
        <w:ind w:firstLine="645"/>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（二）协助开展全市教育系统信息化建设工作，负责教育系统网络信息安全工作及远程教育系统的管理。</w:t>
      </w:r>
    </w:p>
    <w:p>
      <w:pPr>
        <w:snapToGrid/>
        <w:spacing w:before="0" w:beforeAutospacing="0" w:after="0" w:afterAutospacing="0" w:line="240" w:lineRule="auto"/>
        <w:ind w:firstLine="645"/>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（三）协助主管部门指导中小学校实施常规电教、多媒体系统、网络建设、远程教育等教学设备的标准化建设，建立健全现代教学设施管理制度。</w:t>
      </w:r>
    </w:p>
    <w:p>
      <w:pPr>
        <w:snapToGrid/>
        <w:spacing w:before="0" w:beforeAutospacing="0" w:after="0" w:afterAutospacing="0" w:line="240" w:lineRule="auto"/>
        <w:ind w:firstLine="645"/>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（四）负责信息技术教学应用有关课题的研究和实验，总结信息技术教学运用经验，提高教育质量。承担信息技术与学科课 程整合等教科研项目的组织、指导、评估、培训等工作。</w:t>
      </w:r>
    </w:p>
    <w:p>
      <w:pPr>
        <w:snapToGrid/>
        <w:spacing w:before="0" w:beforeAutospacing="0" w:after="0" w:afterAutospacing="0" w:line="240" w:lineRule="auto"/>
        <w:ind w:firstLine="645"/>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（五）组织开展中小学教师信息技术能力提升培训、教育系 统网络信息安全培训和电教管理人员培训。</w:t>
      </w:r>
    </w:p>
    <w:p>
      <w:pPr>
        <w:snapToGrid/>
        <w:spacing w:before="0" w:beforeAutospacing="0" w:after="0" w:afterAutospacing="0" w:line="240" w:lineRule="auto"/>
        <w:ind w:firstLine="645"/>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（六）完成主管部门交办的其他任务。</w:t>
      </w:r>
    </w:p>
    <w:p>
      <w:pPr>
        <w:snapToGrid/>
        <w:spacing w:before="0" w:beforeAutospacing="0" w:after="0" w:afterAutospacing="0" w:line="240" w:lineRule="auto"/>
        <w:ind w:firstLine="645"/>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二、单位机构设置情况</w:t>
      </w:r>
    </w:p>
    <w:p>
      <w:pPr>
        <w:snapToGrid/>
        <w:spacing w:before="0" w:beforeAutospacing="0" w:after="0" w:afterAutospacing="0" w:line="240" w:lineRule="auto"/>
        <w:ind w:firstLine="645"/>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柳州市电化教育站为市教育局管理的正科级公益一类全额拨款事业单位。</w:t>
      </w:r>
    </w:p>
    <w:p>
      <w:pPr>
        <w:snapToGrid/>
        <w:spacing w:before="0" w:beforeAutospacing="0" w:after="0" w:afterAutospacing="0" w:line="240" w:lineRule="auto"/>
        <w:ind w:firstLine="645"/>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根据本单位的主要职责和柳州市电化教育（教育信息化）事业发展的需要，设有办公财务室、规划建设室、信息技术教研与培训室、教育技术与设备管理室等4个职能部门。 </w:t>
      </w:r>
    </w:p>
    <w:p>
      <w:pPr>
        <w:snapToGrid/>
        <w:spacing w:before="0" w:beforeAutospacing="0" w:after="0" w:afterAutospacing="0" w:line="240" w:lineRule="auto"/>
        <w:jc w:val="center"/>
        <w:textAlignment w:val="baseline"/>
        <w:rPr>
          <w:b w:val="0"/>
          <w:i w:val="0"/>
          <w:caps w:val="0"/>
          <w:spacing w:val="0"/>
          <w:w w:val="100"/>
          <w:sz w:val="20"/>
        </w:rPr>
      </w:pPr>
    </w:p>
    <w:p>
      <w:pPr>
        <w:snapToGrid/>
        <w:spacing w:before="0" w:beforeAutospacing="0" w:after="0" w:afterAutospacing="0" w:line="240" w:lineRule="auto"/>
        <w:jc w:val="center"/>
        <w:textAlignment w:val="baseline"/>
        <w:rPr>
          <w:b w:val="0"/>
          <w:i w:val="0"/>
          <w:caps w:val="0"/>
          <w:spacing w:val="0"/>
          <w:w w:val="100"/>
          <w:sz w:val="20"/>
        </w:rPr>
      </w:pPr>
    </w:p>
    <w:p>
      <w:pPr>
        <w:snapToGrid/>
        <w:spacing w:before="0" w:beforeAutospacing="0" w:after="0" w:afterAutospacing="0" w:line="240" w:lineRule="auto"/>
        <w:jc w:val="both"/>
        <w:textAlignment w:val="baseline"/>
        <w:rPr>
          <w:rFonts w:ascii="仿宋_GB2312" w:eastAsia="仿宋_GB2312"/>
          <w:b/>
          <w:i w:val="0"/>
          <w:caps w:val="0"/>
          <w:spacing w:val="0"/>
          <w:w w:val="100"/>
          <w:sz w:val="32"/>
          <w:szCs w:val="32"/>
        </w:rPr>
      </w:pPr>
      <w:r>
        <w:rPr>
          <w:rFonts w:hint="eastAsia" w:ascii="仿宋_GB2312" w:eastAsia="仿宋_GB2312"/>
          <w:b/>
          <w:i w:val="0"/>
          <w:caps w:val="0"/>
          <w:spacing w:val="0"/>
          <w:w w:val="100"/>
          <w:sz w:val="32"/>
          <w:szCs w:val="32"/>
        </w:rPr>
        <w:t>第二部分：</w:t>
      </w:r>
      <w:r>
        <w:rPr>
          <w:rFonts w:hint="eastAsia" w:ascii="仿宋_GB2312" w:hAnsi="黑体" w:eastAsia="仿宋_GB2312"/>
          <w:b/>
          <w:bCs/>
          <w:i w:val="0"/>
          <w:caps w:val="0"/>
          <w:color w:val="000000"/>
          <w:spacing w:val="0"/>
          <w:w w:val="100"/>
          <w:sz w:val="32"/>
          <w:szCs w:val="32"/>
        </w:rPr>
        <w:t>柳州市电化教育站</w:t>
      </w:r>
      <w:r>
        <w:rPr>
          <w:rFonts w:hint="eastAsia" w:ascii="仿宋_GB2312" w:eastAsia="仿宋_GB2312"/>
          <w:b/>
          <w:i w:val="0"/>
          <w:caps w:val="0"/>
          <w:spacing w:val="0"/>
          <w:w w:val="100"/>
          <w:sz w:val="32"/>
          <w:szCs w:val="32"/>
        </w:rPr>
        <w:t>2021年部门决算报表</w:t>
      </w:r>
    </w:p>
    <w:p>
      <w:pPr>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一、收入支出决算总表（决算公开01表）</w:t>
      </w:r>
    </w:p>
    <w:p>
      <w:pPr>
        <w:snapToGrid/>
        <w:spacing w:before="0" w:beforeAutospacing="0" w:after="0" w:afterAutospacing="0" w:line="240" w:lineRule="auto"/>
        <w:ind w:left="645"/>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二、收入决算表（决算公开02表）</w:t>
      </w:r>
    </w:p>
    <w:p>
      <w:pPr>
        <w:snapToGrid/>
        <w:spacing w:before="0" w:beforeAutospacing="0" w:after="0" w:afterAutospacing="0" w:line="240" w:lineRule="auto"/>
        <w:ind w:left="645"/>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三、支出决算表（决算公开03表）</w:t>
      </w:r>
    </w:p>
    <w:p>
      <w:pPr>
        <w:snapToGrid/>
        <w:spacing w:before="0" w:beforeAutospacing="0" w:after="0" w:afterAutospacing="0" w:line="240" w:lineRule="auto"/>
        <w:ind w:firstLine="645"/>
        <w:jc w:val="both"/>
        <w:textAlignment w:val="baseline"/>
        <w:rPr>
          <w:rFonts w:hint="eastAsia" w:ascii="仿宋_GB2312" w:hAnsi="仿宋_GB2312" w:eastAsia="仿宋_GB2312" w:cs="仿宋_GB2312"/>
          <w:b w:val="0"/>
          <w:i w:val="0"/>
          <w:caps w:val="0"/>
          <w:spacing w:val="0"/>
          <w:w w:val="100"/>
          <w:kern w:val="0"/>
          <w:sz w:val="32"/>
          <w:szCs w:val="32"/>
        </w:rPr>
      </w:pPr>
      <w:r>
        <w:rPr>
          <w:rFonts w:hint="eastAsia" w:ascii="仿宋_GB2312" w:hAnsi="仿宋_GB2312" w:eastAsia="仿宋_GB2312" w:cs="仿宋_GB2312"/>
          <w:b w:val="0"/>
          <w:i w:val="0"/>
          <w:caps w:val="0"/>
          <w:spacing w:val="0"/>
          <w:w w:val="100"/>
          <w:sz w:val="32"/>
          <w:szCs w:val="32"/>
        </w:rPr>
        <w:t>四、财政拨款收入支出决算总表（决算公开04表）</w:t>
      </w:r>
    </w:p>
    <w:p>
      <w:pPr>
        <w:snapToGrid/>
        <w:spacing w:before="0" w:beforeAutospacing="0" w:after="0" w:afterAutospacing="0" w:line="240" w:lineRule="auto"/>
        <w:ind w:firstLine="645"/>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五、一般公共预算财政拨款支出决算表（决算公开05表）</w:t>
      </w:r>
    </w:p>
    <w:p>
      <w:pPr>
        <w:snapToGrid/>
        <w:spacing w:before="0" w:beforeAutospacing="0" w:after="0" w:afterAutospacing="0" w:line="240" w:lineRule="auto"/>
        <w:ind w:firstLine="645"/>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六、一般公共预算财政拨款基本支出决算明细表（决算公开06表）</w:t>
      </w:r>
    </w:p>
    <w:p>
      <w:pPr>
        <w:snapToGrid/>
        <w:spacing w:before="0" w:beforeAutospacing="0" w:after="0" w:afterAutospacing="0" w:line="240" w:lineRule="auto"/>
        <w:ind w:firstLine="645"/>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七、一般公共预算财政拨款“三公”经费支出决算表（决算公开07表）</w:t>
      </w:r>
    </w:p>
    <w:p>
      <w:pPr>
        <w:snapToGrid/>
        <w:spacing w:before="0" w:beforeAutospacing="0" w:after="0" w:afterAutospacing="0" w:line="240" w:lineRule="auto"/>
        <w:ind w:firstLine="645"/>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八、政府性基金预算财政拨款收入支出决算表（决算公开08表）</w:t>
      </w:r>
    </w:p>
    <w:p>
      <w:pPr>
        <w:snapToGrid/>
        <w:spacing w:before="0" w:beforeAutospacing="0" w:after="0" w:afterAutospacing="0" w:line="240" w:lineRule="auto"/>
        <w:ind w:firstLine="645"/>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九、国有资本经营预算财政拨款支出决算表（决算公开09表）</w:t>
      </w:r>
    </w:p>
    <w:p>
      <w:pPr>
        <w:snapToGrid/>
        <w:spacing w:before="0" w:beforeAutospacing="0" w:after="0" w:afterAutospacing="0" w:line="240" w:lineRule="auto"/>
        <w:ind w:firstLine="640"/>
        <w:jc w:val="both"/>
        <w:textAlignment w:val="baseline"/>
        <w:rPr>
          <w:rFonts w:ascii="仿宋_GB2312" w:hAnsi="仿宋_GB2312" w:eastAsia="仿宋_GB2312" w:cs="仿宋_GB2312"/>
          <w:b/>
          <w:bCs/>
          <w:i w:val="0"/>
          <w:caps w:val="0"/>
          <w:spacing w:val="0"/>
          <w:w w:val="100"/>
          <w:sz w:val="32"/>
          <w:szCs w:val="32"/>
        </w:rPr>
      </w:pPr>
      <w:r>
        <w:rPr>
          <w:rFonts w:hint="eastAsia" w:ascii="仿宋_GB2312" w:hAnsi="仿宋_GB2312" w:eastAsia="仿宋_GB2312" w:cs="仿宋_GB2312"/>
          <w:b/>
          <w:bCs/>
          <w:i w:val="0"/>
          <w:caps w:val="0"/>
          <w:spacing w:val="0"/>
          <w:w w:val="100"/>
          <w:sz w:val="32"/>
          <w:szCs w:val="32"/>
        </w:rPr>
        <w:t>上述报表详见附件。</w:t>
      </w: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sectPr>
          <w:headerReference r:id="rId3" w:type="default"/>
          <w:footerReference r:id="rId4" w:type="default"/>
          <w:footerReference r:id="rId5" w:type="even"/>
          <w:pgSz w:w="11906" w:h="16838"/>
          <w:pgMar w:top="1440" w:right="1531" w:bottom="1440" w:left="1531" w:header="851" w:footer="992" w:gutter="0"/>
          <w:pgNumType w:fmt="numberInDash"/>
          <w:cols w:space="720" w:num="1"/>
          <w:docGrid w:type="lines" w:linePitch="312" w:charSpace="0"/>
        </w:sectPr>
      </w:pPr>
    </w:p>
    <w:p>
      <w:pPr>
        <w:snapToGrid/>
        <w:spacing w:before="0" w:beforeAutospacing="0" w:after="0" w:afterAutospacing="0" w:line="580" w:lineRule="exact"/>
        <w:jc w:val="both"/>
        <w:textAlignment w:val="baseline"/>
        <w:rPr>
          <w:rFonts w:ascii="仿宋_GB2312" w:eastAsia="仿宋_GB2312"/>
          <w:b/>
          <w:i w:val="0"/>
          <w:caps w:val="0"/>
          <w:spacing w:val="0"/>
          <w:w w:val="100"/>
          <w:sz w:val="32"/>
          <w:szCs w:val="32"/>
        </w:rPr>
      </w:pPr>
      <w:r>
        <w:rPr>
          <w:rFonts w:hint="eastAsia" w:ascii="仿宋_GB2312" w:eastAsia="仿宋_GB2312"/>
          <w:b/>
          <w:i w:val="0"/>
          <w:caps w:val="0"/>
          <w:spacing w:val="0"/>
          <w:w w:val="100"/>
          <w:sz w:val="32"/>
          <w:szCs w:val="32"/>
        </w:rPr>
        <w:t>第三部分：</w:t>
      </w:r>
      <w:r>
        <w:rPr>
          <w:rFonts w:hint="eastAsia" w:ascii="仿宋_GB2312" w:hAnsi="黑体" w:eastAsia="仿宋_GB2312"/>
          <w:b/>
          <w:bCs/>
          <w:i w:val="0"/>
          <w:caps w:val="0"/>
          <w:color w:val="000000"/>
          <w:spacing w:val="0"/>
          <w:w w:val="100"/>
          <w:sz w:val="32"/>
          <w:szCs w:val="32"/>
        </w:rPr>
        <w:t>柳州市电化教育站</w:t>
      </w:r>
      <w:r>
        <w:rPr>
          <w:rFonts w:hint="eastAsia" w:ascii="仿宋_GB2312" w:eastAsia="仿宋_GB2312"/>
          <w:b/>
          <w:i w:val="0"/>
          <w:caps w:val="0"/>
          <w:spacing w:val="0"/>
          <w:w w:val="100"/>
          <w:sz w:val="32"/>
          <w:szCs w:val="32"/>
        </w:rPr>
        <w:t>2021年度部门决算情况说明</w:t>
      </w:r>
    </w:p>
    <w:p>
      <w:pPr>
        <w:snapToGrid/>
        <w:spacing w:before="0" w:beforeAutospacing="0" w:after="0" w:afterAutospacing="0" w:line="560" w:lineRule="exact"/>
        <w:ind w:firstLine="640" w:firstLineChars="200"/>
        <w:jc w:val="both"/>
        <w:textAlignment w:val="baseline"/>
        <w:rPr>
          <w:rFonts w:ascii="黑体" w:hAnsi="黑体" w:eastAsia="黑体" w:cs="仿宋_GB2312"/>
          <w:b w:val="0"/>
          <w:i w:val="0"/>
          <w:caps w:val="0"/>
          <w:spacing w:val="0"/>
          <w:w w:val="100"/>
          <w:kern w:val="0"/>
          <w:sz w:val="32"/>
          <w:szCs w:val="32"/>
        </w:rPr>
      </w:pPr>
      <w:r>
        <w:rPr>
          <w:rFonts w:hint="eastAsia" w:ascii="黑体" w:hAnsi="黑体" w:eastAsia="黑体" w:cs="仿宋_GB2312"/>
          <w:b w:val="0"/>
          <w:i w:val="0"/>
          <w:caps w:val="0"/>
          <w:spacing w:val="0"/>
          <w:w w:val="100"/>
          <w:kern w:val="0"/>
          <w:sz w:val="32"/>
          <w:szCs w:val="32"/>
        </w:rPr>
        <w:t>一、</w:t>
      </w:r>
      <w:r>
        <w:rPr>
          <w:rFonts w:hint="eastAsia" w:ascii="黑体" w:hAnsi="黑体" w:eastAsia="黑体"/>
          <w:b w:val="0"/>
          <w:i w:val="0"/>
          <w:caps w:val="0"/>
          <w:spacing w:val="0"/>
          <w:w w:val="100"/>
          <w:kern w:val="0"/>
          <w:sz w:val="32"/>
          <w:szCs w:val="32"/>
        </w:rPr>
        <w:t>2021</w:t>
      </w:r>
      <w:r>
        <w:rPr>
          <w:rFonts w:hint="eastAsia" w:ascii="黑体" w:hAnsi="黑体" w:eastAsia="黑体" w:cs="仿宋_GB2312"/>
          <w:b w:val="0"/>
          <w:i w:val="0"/>
          <w:caps w:val="0"/>
          <w:spacing w:val="0"/>
          <w:w w:val="100"/>
          <w:kern w:val="0"/>
          <w:sz w:val="32"/>
          <w:szCs w:val="32"/>
        </w:rPr>
        <w:t>年度收入支出决算总体情况</w:t>
      </w:r>
    </w:p>
    <w:p>
      <w:pPr>
        <w:snapToGrid/>
        <w:spacing w:before="0" w:beforeAutospacing="0" w:after="0" w:afterAutospacing="0" w:line="560" w:lineRule="exact"/>
        <w:ind w:firstLine="640" w:firstLineChars="200"/>
        <w:jc w:val="both"/>
        <w:textAlignment w:val="baseline"/>
        <w:rPr>
          <w:rFonts w:ascii="仿宋_GB2312" w:eastAsia="仿宋_GB2312" w:cs="仿宋_GB2312"/>
          <w:b w:val="0"/>
          <w:i w:val="0"/>
          <w:caps w:val="0"/>
          <w:spacing w:val="0"/>
          <w:w w:val="100"/>
          <w:kern w:val="0"/>
          <w:sz w:val="32"/>
          <w:szCs w:val="32"/>
        </w:rPr>
      </w:pPr>
      <w:r>
        <w:rPr>
          <w:rFonts w:hint="eastAsia" w:ascii="仿宋_GB2312" w:eastAsia="仿宋_GB2312" w:cs="仿宋_GB2312"/>
          <w:b w:val="0"/>
          <w:i w:val="0"/>
          <w:caps w:val="0"/>
          <w:spacing w:val="0"/>
          <w:w w:val="100"/>
          <w:kern w:val="0"/>
          <w:sz w:val="32"/>
          <w:szCs w:val="32"/>
        </w:rPr>
        <w:t>（一）本单位2021年度总收入</w:t>
      </w:r>
      <w:r>
        <w:rPr>
          <w:rFonts w:hint="eastAsia" w:ascii="仿宋_GB2312" w:eastAsia="仿宋_GB2312"/>
          <w:b w:val="0"/>
          <w:i w:val="0"/>
          <w:caps w:val="0"/>
          <w:spacing w:val="0"/>
          <w:w w:val="100"/>
          <w:kern w:val="0"/>
          <w:sz w:val="32"/>
          <w:szCs w:val="32"/>
        </w:rPr>
        <w:t>7005.24</w:t>
      </w:r>
      <w:r>
        <w:rPr>
          <w:rFonts w:hint="eastAsia" w:ascii="仿宋_GB2312" w:eastAsia="仿宋_GB2312" w:cs="仿宋_GB2312"/>
          <w:b w:val="0"/>
          <w:i w:val="0"/>
          <w:caps w:val="0"/>
          <w:spacing w:val="0"/>
          <w:w w:val="100"/>
          <w:kern w:val="0"/>
          <w:sz w:val="32"/>
          <w:szCs w:val="32"/>
        </w:rPr>
        <w:t xml:space="preserve">万元，其中本年收入6491.64万元, </w:t>
      </w:r>
      <w:r>
        <w:rPr>
          <w:rFonts w:hint="eastAsia" w:ascii="仿宋_GB2312" w:hAnsi="黑体" w:eastAsia="仿宋_GB2312" w:cs="仿宋_GB2312"/>
          <w:b w:val="0"/>
          <w:i w:val="0"/>
          <w:caps w:val="0"/>
          <w:spacing w:val="0"/>
          <w:w w:val="100"/>
          <w:kern w:val="0"/>
          <w:sz w:val="32"/>
          <w:szCs w:val="32"/>
        </w:rPr>
        <w:t>较2020年度决算数减少2152.48万元，下降23.50%。</w:t>
      </w:r>
      <w:r>
        <w:rPr>
          <w:rFonts w:hint="eastAsia" w:ascii="仿宋_GB2312" w:eastAsia="仿宋_GB2312" w:cs="仿宋_GB2312"/>
          <w:b w:val="0"/>
          <w:i w:val="0"/>
          <w:caps w:val="0"/>
          <w:spacing w:val="0"/>
          <w:w w:val="100"/>
          <w:kern w:val="0"/>
          <w:sz w:val="32"/>
          <w:szCs w:val="32"/>
        </w:rPr>
        <w:t>收入具体情况如下。</w:t>
      </w:r>
    </w:p>
    <w:p>
      <w:pPr>
        <w:snapToGrid/>
        <w:spacing w:before="0" w:beforeAutospacing="0" w:after="0" w:afterAutospacing="0" w:line="560" w:lineRule="exact"/>
        <w:ind w:firstLine="627" w:firstLineChars="196"/>
        <w:jc w:val="both"/>
        <w:textAlignment w:val="baseline"/>
        <w:rPr>
          <w:rFonts w:ascii="仿宋_GB2312" w:hAnsi="黑体" w:eastAsia="仿宋_GB2312" w:cs="仿宋_GB2312"/>
          <w:b w:val="0"/>
          <w:i w:val="0"/>
          <w:caps w:val="0"/>
          <w:spacing w:val="0"/>
          <w:w w:val="100"/>
          <w:kern w:val="0"/>
          <w:sz w:val="32"/>
          <w:szCs w:val="32"/>
        </w:rPr>
      </w:pPr>
      <w:r>
        <w:rPr>
          <w:rFonts w:hint="eastAsia" w:ascii="仿宋_GB2312" w:eastAsia="仿宋_GB2312"/>
          <w:b w:val="0"/>
          <w:bCs/>
          <w:i w:val="0"/>
          <w:caps w:val="0"/>
          <w:spacing w:val="0"/>
          <w:w w:val="100"/>
          <w:kern w:val="0"/>
          <w:sz w:val="32"/>
          <w:szCs w:val="32"/>
        </w:rPr>
        <w:t>1</w:t>
      </w:r>
      <w:r>
        <w:rPr>
          <w:rFonts w:hint="eastAsia" w:ascii="仿宋_GB2312" w:eastAsia="仿宋_GB2312" w:cs="仿宋_GB2312"/>
          <w:b w:val="0"/>
          <w:i w:val="0"/>
          <w:caps w:val="0"/>
          <w:spacing w:val="0"/>
          <w:w w:val="100"/>
          <w:kern w:val="0"/>
          <w:sz w:val="32"/>
          <w:szCs w:val="32"/>
        </w:rPr>
        <w:t>.一般公共预算财政拨款收入</w:t>
      </w:r>
      <w:r>
        <w:rPr>
          <w:rFonts w:hint="eastAsia" w:ascii="仿宋_GB2312" w:eastAsia="仿宋_GB2312"/>
          <w:b w:val="0"/>
          <w:i w:val="0"/>
          <w:caps w:val="0"/>
          <w:spacing w:val="0"/>
          <w:w w:val="100"/>
          <w:kern w:val="0"/>
          <w:sz w:val="32"/>
          <w:szCs w:val="32"/>
        </w:rPr>
        <w:t>251.59</w:t>
      </w:r>
      <w:r>
        <w:rPr>
          <w:rFonts w:hint="eastAsia" w:ascii="仿宋_GB2312" w:eastAsia="仿宋_GB2312" w:cs="仿宋_GB2312"/>
          <w:b w:val="0"/>
          <w:i w:val="0"/>
          <w:caps w:val="0"/>
          <w:spacing w:val="0"/>
          <w:w w:val="100"/>
          <w:kern w:val="0"/>
          <w:sz w:val="32"/>
          <w:szCs w:val="32"/>
        </w:rPr>
        <w:t>万元，为财政当年拨付的资金。</w:t>
      </w:r>
      <w:r>
        <w:rPr>
          <w:rFonts w:hint="eastAsia" w:ascii="仿宋_GB2312" w:hAnsi="黑体" w:eastAsia="仿宋_GB2312" w:cs="仿宋_GB2312"/>
          <w:b w:val="0"/>
          <w:i w:val="0"/>
          <w:caps w:val="0"/>
          <w:spacing w:val="0"/>
          <w:w w:val="100"/>
          <w:kern w:val="0"/>
          <w:sz w:val="32"/>
          <w:szCs w:val="32"/>
        </w:rPr>
        <w:t>较2020年度决算数下降8565.96万元，下降97.15%，主要原因是：2021年度“教育两费”非基建类项目资金下达方式有所改变：2020年，市财政将项目资金直接下达至本单位，本单位收到资金时记入本收入；2021年，市财政将项目资金经市教育局下达至本单位，本单位收到资金时记入其他收入，不再记入本收入。</w:t>
      </w:r>
    </w:p>
    <w:p>
      <w:pPr>
        <w:snapToGrid/>
        <w:spacing w:before="0" w:beforeAutospacing="0" w:after="0" w:afterAutospacing="0" w:line="560" w:lineRule="exact"/>
        <w:ind w:firstLine="627" w:firstLineChars="196"/>
        <w:jc w:val="both"/>
        <w:textAlignment w:val="baseline"/>
        <w:rPr>
          <w:rFonts w:ascii="仿宋_GB2312" w:eastAsia="仿宋_GB2312" w:cs="仿宋_GB2312"/>
          <w:b w:val="0"/>
          <w:i w:val="0"/>
          <w:caps w:val="0"/>
          <w:spacing w:val="0"/>
          <w:w w:val="100"/>
          <w:kern w:val="0"/>
          <w:sz w:val="32"/>
          <w:szCs w:val="32"/>
        </w:rPr>
      </w:pPr>
      <w:r>
        <w:rPr>
          <w:rFonts w:hint="eastAsia" w:ascii="仿宋_GB2312" w:eastAsia="仿宋_GB2312" w:cs="仿宋_GB2312"/>
          <w:b w:val="0"/>
          <w:i w:val="0"/>
          <w:caps w:val="0"/>
          <w:spacing w:val="0"/>
          <w:w w:val="100"/>
          <w:kern w:val="0"/>
          <w:sz w:val="32"/>
          <w:szCs w:val="32"/>
        </w:rPr>
        <w:t>2.政府性基金预算财政拨款收入</w:t>
      </w:r>
      <w:r>
        <w:rPr>
          <w:rFonts w:hint="eastAsia" w:ascii="仿宋_GB2312" w:eastAsia="仿宋_GB2312"/>
          <w:b w:val="0"/>
          <w:i w:val="0"/>
          <w:caps w:val="0"/>
          <w:spacing w:val="0"/>
          <w:w w:val="100"/>
          <w:kern w:val="0"/>
          <w:sz w:val="32"/>
          <w:szCs w:val="32"/>
        </w:rPr>
        <w:t>0</w:t>
      </w:r>
      <w:r>
        <w:rPr>
          <w:rFonts w:hint="eastAsia" w:ascii="仿宋_GB2312" w:eastAsia="仿宋_GB2312" w:cs="仿宋_GB2312"/>
          <w:b w:val="0"/>
          <w:i w:val="0"/>
          <w:caps w:val="0"/>
          <w:spacing w:val="0"/>
          <w:w w:val="100"/>
          <w:kern w:val="0"/>
          <w:sz w:val="32"/>
          <w:szCs w:val="32"/>
        </w:rPr>
        <w:t>万元，为财政当年拨付的资金。</w:t>
      </w:r>
      <w:r>
        <w:rPr>
          <w:rFonts w:hint="eastAsia" w:ascii="仿宋_GB2312" w:hAnsi="黑体" w:eastAsia="仿宋_GB2312" w:cs="仿宋_GB2312"/>
          <w:b w:val="0"/>
          <w:i w:val="0"/>
          <w:caps w:val="0"/>
          <w:spacing w:val="0"/>
          <w:w w:val="100"/>
          <w:kern w:val="0"/>
          <w:sz w:val="32"/>
          <w:szCs w:val="32"/>
        </w:rPr>
        <w:t>较2020年度决算数增加0万元，增长0 %，主要原因是：2020年度与2021年度本单位均无政府性基金预算拨款收入。</w:t>
      </w:r>
    </w:p>
    <w:p>
      <w:pPr>
        <w:snapToGrid/>
        <w:spacing w:before="0" w:beforeAutospacing="0" w:after="0" w:afterAutospacing="0" w:line="560" w:lineRule="exact"/>
        <w:ind w:firstLine="627" w:firstLineChars="196"/>
        <w:jc w:val="both"/>
        <w:textAlignment w:val="baseline"/>
        <w:rPr>
          <w:rFonts w:ascii="仿宋_GB2312" w:eastAsia="仿宋_GB2312" w:cs="仿宋_GB2312"/>
          <w:b w:val="0"/>
          <w:i w:val="0"/>
          <w:caps w:val="0"/>
          <w:spacing w:val="0"/>
          <w:w w:val="100"/>
          <w:kern w:val="0"/>
          <w:sz w:val="32"/>
          <w:szCs w:val="32"/>
        </w:rPr>
      </w:pPr>
      <w:r>
        <w:rPr>
          <w:rFonts w:hint="eastAsia" w:ascii="仿宋_GB2312" w:eastAsia="仿宋_GB2312"/>
          <w:b w:val="0"/>
          <w:bCs/>
          <w:i w:val="0"/>
          <w:caps w:val="0"/>
          <w:spacing w:val="0"/>
          <w:w w:val="100"/>
          <w:kern w:val="0"/>
          <w:sz w:val="32"/>
          <w:szCs w:val="32"/>
        </w:rPr>
        <w:t>3</w:t>
      </w:r>
      <w:r>
        <w:rPr>
          <w:rFonts w:hint="eastAsia" w:ascii="仿宋_GB2312" w:eastAsia="仿宋_GB2312" w:cs="仿宋_GB2312"/>
          <w:b w:val="0"/>
          <w:i w:val="0"/>
          <w:caps w:val="0"/>
          <w:spacing w:val="0"/>
          <w:w w:val="100"/>
          <w:kern w:val="0"/>
          <w:sz w:val="32"/>
          <w:szCs w:val="32"/>
        </w:rPr>
        <w:t>.国有资本经营预算财政拨款收入</w:t>
      </w:r>
      <w:r>
        <w:rPr>
          <w:rFonts w:hint="eastAsia" w:ascii="仿宋_GB2312" w:eastAsia="仿宋_GB2312"/>
          <w:b w:val="0"/>
          <w:i w:val="0"/>
          <w:caps w:val="0"/>
          <w:spacing w:val="0"/>
          <w:w w:val="100"/>
          <w:kern w:val="0"/>
          <w:sz w:val="32"/>
          <w:szCs w:val="32"/>
        </w:rPr>
        <w:t>0</w:t>
      </w:r>
      <w:r>
        <w:rPr>
          <w:rFonts w:hint="eastAsia" w:ascii="仿宋_GB2312" w:eastAsia="仿宋_GB2312" w:cs="仿宋_GB2312"/>
          <w:b w:val="0"/>
          <w:i w:val="0"/>
          <w:caps w:val="0"/>
          <w:spacing w:val="0"/>
          <w:w w:val="100"/>
          <w:kern w:val="0"/>
          <w:sz w:val="32"/>
          <w:szCs w:val="32"/>
        </w:rPr>
        <w:t>万元，为财政当年拨付的资金。</w:t>
      </w:r>
      <w:r>
        <w:rPr>
          <w:rFonts w:hint="eastAsia" w:ascii="仿宋_GB2312" w:hAnsi="黑体" w:eastAsia="仿宋_GB2312" w:cs="仿宋_GB2312"/>
          <w:b w:val="0"/>
          <w:i w:val="0"/>
          <w:caps w:val="0"/>
          <w:spacing w:val="0"/>
          <w:w w:val="100"/>
          <w:kern w:val="0"/>
          <w:sz w:val="32"/>
          <w:szCs w:val="32"/>
        </w:rPr>
        <w:t>较2020年度决算数增加0万元，增长0 %，主要原因是：2020年度与2021年度本单位均无国有资本经营预算财政拨款收入。</w:t>
      </w:r>
    </w:p>
    <w:p>
      <w:pPr>
        <w:snapToGrid/>
        <w:spacing w:before="0" w:beforeAutospacing="0" w:after="0" w:afterAutospacing="0" w:line="560" w:lineRule="exact"/>
        <w:ind w:firstLine="627" w:firstLineChars="196"/>
        <w:jc w:val="both"/>
        <w:textAlignment w:val="baseline"/>
        <w:rPr>
          <w:rFonts w:ascii="仿宋_GB2312" w:eastAsia="仿宋_GB2312" w:cs="仿宋_GB2312"/>
          <w:b w:val="0"/>
          <w:i w:val="0"/>
          <w:caps w:val="0"/>
          <w:spacing w:val="0"/>
          <w:w w:val="100"/>
          <w:kern w:val="0"/>
          <w:sz w:val="32"/>
          <w:szCs w:val="32"/>
        </w:rPr>
      </w:pPr>
      <w:r>
        <w:rPr>
          <w:rFonts w:hint="eastAsia" w:ascii="仿宋_GB2312" w:eastAsia="仿宋_GB2312" w:cs="仿宋_GB2312"/>
          <w:b w:val="0"/>
          <w:i w:val="0"/>
          <w:caps w:val="0"/>
          <w:spacing w:val="0"/>
          <w:w w:val="100"/>
          <w:kern w:val="0"/>
          <w:sz w:val="32"/>
          <w:szCs w:val="32"/>
        </w:rPr>
        <w:t>4.事业收入</w:t>
      </w:r>
      <w:r>
        <w:rPr>
          <w:rFonts w:hint="eastAsia" w:ascii="仿宋_GB2312" w:eastAsia="仿宋_GB2312"/>
          <w:b w:val="0"/>
          <w:i w:val="0"/>
          <w:caps w:val="0"/>
          <w:spacing w:val="0"/>
          <w:w w:val="100"/>
          <w:kern w:val="0"/>
          <w:sz w:val="32"/>
          <w:szCs w:val="32"/>
        </w:rPr>
        <w:t>0</w:t>
      </w:r>
      <w:r>
        <w:rPr>
          <w:rFonts w:hint="eastAsia" w:ascii="仿宋_GB2312" w:eastAsia="仿宋_GB2312" w:cs="仿宋_GB2312"/>
          <w:b w:val="0"/>
          <w:i w:val="0"/>
          <w:caps w:val="0"/>
          <w:spacing w:val="0"/>
          <w:w w:val="100"/>
          <w:kern w:val="0"/>
          <w:sz w:val="32"/>
          <w:szCs w:val="32"/>
        </w:rPr>
        <w:t>万元，为事业单位开展业务活动取得的收入。</w:t>
      </w:r>
      <w:r>
        <w:rPr>
          <w:rFonts w:hint="eastAsia" w:ascii="仿宋_GB2312" w:hAnsi="黑体" w:eastAsia="仿宋_GB2312" w:cs="仿宋_GB2312"/>
          <w:b w:val="0"/>
          <w:i w:val="0"/>
          <w:caps w:val="0"/>
          <w:spacing w:val="0"/>
          <w:w w:val="100"/>
          <w:kern w:val="0"/>
          <w:sz w:val="32"/>
          <w:szCs w:val="32"/>
        </w:rPr>
        <w:t>较2020年度决算数增加0万元，增长0 %，主要原因是</w:t>
      </w:r>
      <w:r>
        <w:rPr>
          <w:rFonts w:hint="eastAsia" w:ascii="仿宋_GB2312" w:eastAsia="仿宋_GB2312" w:cs="仿宋_GB2312"/>
          <w:b w:val="0"/>
          <w:i w:val="0"/>
          <w:caps w:val="0"/>
          <w:spacing w:val="0"/>
          <w:w w:val="100"/>
          <w:kern w:val="0"/>
          <w:sz w:val="32"/>
          <w:szCs w:val="32"/>
        </w:rPr>
        <w:t>：本单位为公益一类财政全额拨款事业单位，</w:t>
      </w:r>
      <w:r>
        <w:rPr>
          <w:rFonts w:hint="eastAsia" w:ascii="仿宋_GB2312" w:hAnsi="黑体" w:eastAsia="仿宋_GB2312" w:cs="仿宋_GB2312"/>
          <w:b w:val="0"/>
          <w:i w:val="0"/>
          <w:caps w:val="0"/>
          <w:spacing w:val="0"/>
          <w:w w:val="100"/>
          <w:kern w:val="0"/>
          <w:sz w:val="32"/>
          <w:szCs w:val="32"/>
        </w:rPr>
        <w:t>2020年度与2021年度均无事业收入</w:t>
      </w:r>
      <w:r>
        <w:rPr>
          <w:rFonts w:hint="eastAsia" w:ascii="仿宋_GB2312" w:eastAsia="仿宋_GB2312" w:cs="仿宋_GB2312"/>
          <w:b w:val="0"/>
          <w:i w:val="0"/>
          <w:caps w:val="0"/>
          <w:spacing w:val="0"/>
          <w:w w:val="100"/>
          <w:kern w:val="0"/>
          <w:sz w:val="32"/>
          <w:szCs w:val="32"/>
        </w:rPr>
        <w:t>。</w:t>
      </w:r>
    </w:p>
    <w:p>
      <w:pPr>
        <w:snapToGrid/>
        <w:spacing w:before="0" w:beforeAutospacing="0" w:after="0" w:afterAutospacing="0" w:line="560" w:lineRule="exact"/>
        <w:ind w:firstLine="627" w:firstLineChars="196"/>
        <w:jc w:val="both"/>
        <w:textAlignment w:val="baseline"/>
        <w:rPr>
          <w:rFonts w:ascii="仿宋_GB2312" w:eastAsia="仿宋_GB2312" w:cs="仿宋_GB2312"/>
          <w:b w:val="0"/>
          <w:i w:val="0"/>
          <w:caps w:val="0"/>
          <w:spacing w:val="0"/>
          <w:w w:val="100"/>
          <w:kern w:val="0"/>
          <w:sz w:val="32"/>
          <w:szCs w:val="32"/>
        </w:rPr>
      </w:pPr>
      <w:r>
        <w:rPr>
          <w:rFonts w:hint="eastAsia" w:ascii="仿宋_GB2312" w:eastAsia="仿宋_GB2312"/>
          <w:b w:val="0"/>
          <w:bCs/>
          <w:i w:val="0"/>
          <w:caps w:val="0"/>
          <w:spacing w:val="0"/>
          <w:w w:val="100"/>
          <w:kern w:val="0"/>
          <w:sz w:val="32"/>
          <w:szCs w:val="32"/>
        </w:rPr>
        <w:t>5</w:t>
      </w:r>
      <w:r>
        <w:rPr>
          <w:rFonts w:hint="eastAsia" w:ascii="仿宋_GB2312" w:eastAsia="仿宋_GB2312" w:cs="仿宋_GB2312"/>
          <w:b w:val="0"/>
          <w:i w:val="0"/>
          <w:caps w:val="0"/>
          <w:spacing w:val="0"/>
          <w:w w:val="100"/>
          <w:kern w:val="0"/>
          <w:sz w:val="32"/>
          <w:szCs w:val="32"/>
        </w:rPr>
        <w:t>.经营收入</w:t>
      </w:r>
      <w:r>
        <w:rPr>
          <w:rFonts w:hint="eastAsia" w:ascii="仿宋_GB2312" w:eastAsia="仿宋_GB2312"/>
          <w:b w:val="0"/>
          <w:i w:val="0"/>
          <w:caps w:val="0"/>
          <w:spacing w:val="0"/>
          <w:w w:val="100"/>
          <w:kern w:val="0"/>
          <w:sz w:val="32"/>
          <w:szCs w:val="32"/>
        </w:rPr>
        <w:t>0</w:t>
      </w:r>
      <w:r>
        <w:rPr>
          <w:rFonts w:hint="eastAsia" w:ascii="仿宋_GB2312" w:eastAsia="仿宋_GB2312" w:cs="仿宋_GB2312"/>
          <w:b w:val="0"/>
          <w:i w:val="0"/>
          <w:caps w:val="0"/>
          <w:spacing w:val="0"/>
          <w:w w:val="100"/>
          <w:kern w:val="0"/>
          <w:sz w:val="32"/>
          <w:szCs w:val="32"/>
        </w:rPr>
        <w:t>万元，为事业单位在业务活动之外开展非独立核算经营活动取得的收入。</w:t>
      </w:r>
      <w:r>
        <w:rPr>
          <w:rFonts w:hint="eastAsia" w:ascii="仿宋_GB2312" w:hAnsi="黑体" w:eastAsia="仿宋_GB2312" w:cs="仿宋_GB2312"/>
          <w:b w:val="0"/>
          <w:i w:val="0"/>
          <w:caps w:val="0"/>
          <w:spacing w:val="0"/>
          <w:w w:val="100"/>
          <w:kern w:val="0"/>
          <w:sz w:val="32"/>
          <w:szCs w:val="32"/>
        </w:rPr>
        <w:t>较2020年度决算数增加</w:t>
      </w:r>
      <w:r>
        <w:rPr>
          <w:rFonts w:hint="eastAsia" w:ascii="仿宋_GB2312" w:hAnsi="黑体" w:eastAsia="仿宋_GB2312" w:cs="仿宋_GB2312"/>
          <w:b w:val="0"/>
          <w:i w:val="0"/>
          <w:caps w:val="0"/>
          <w:color w:val="000000"/>
          <w:spacing w:val="0"/>
          <w:w w:val="100"/>
          <w:kern w:val="0"/>
          <w:sz w:val="32"/>
          <w:szCs w:val="32"/>
          <w:lang w:val="en-US" w:eastAsia="zh-CN"/>
        </w:rPr>
        <w:t>0</w:t>
      </w:r>
      <w:r>
        <w:rPr>
          <w:rFonts w:hint="eastAsia" w:ascii="仿宋_GB2312" w:hAnsi="黑体" w:eastAsia="仿宋_GB2312" w:cs="仿宋_GB2312"/>
          <w:b w:val="0"/>
          <w:i w:val="0"/>
          <w:caps w:val="0"/>
          <w:spacing w:val="0"/>
          <w:w w:val="100"/>
          <w:kern w:val="0"/>
          <w:sz w:val="32"/>
          <w:szCs w:val="32"/>
        </w:rPr>
        <w:t>万元，增长0%，主要原因是：本单位为公益一类财政全额拨款事业单位，2020年度与2021年度均无经营收入。</w:t>
      </w:r>
    </w:p>
    <w:p>
      <w:pPr>
        <w:snapToGrid/>
        <w:spacing w:before="0" w:beforeAutospacing="0" w:after="0" w:afterAutospacing="0" w:line="560" w:lineRule="exact"/>
        <w:ind w:firstLine="627" w:firstLineChars="196"/>
        <w:jc w:val="both"/>
        <w:textAlignment w:val="baseline"/>
        <w:rPr>
          <w:rFonts w:ascii="仿宋_GB2312" w:eastAsia="仿宋_GB2312" w:cs="仿宋_GB2312"/>
          <w:b w:val="0"/>
          <w:i w:val="0"/>
          <w:caps w:val="0"/>
          <w:spacing w:val="0"/>
          <w:w w:val="100"/>
          <w:kern w:val="0"/>
          <w:sz w:val="32"/>
          <w:szCs w:val="32"/>
        </w:rPr>
      </w:pPr>
      <w:r>
        <w:rPr>
          <w:rFonts w:hint="eastAsia" w:ascii="仿宋_GB2312" w:eastAsia="仿宋_GB2312"/>
          <w:b w:val="0"/>
          <w:bCs/>
          <w:i w:val="0"/>
          <w:caps w:val="0"/>
          <w:spacing w:val="0"/>
          <w:w w:val="100"/>
          <w:kern w:val="0"/>
          <w:sz w:val="32"/>
          <w:szCs w:val="32"/>
        </w:rPr>
        <w:t>6</w:t>
      </w:r>
      <w:r>
        <w:rPr>
          <w:rFonts w:hint="eastAsia" w:ascii="仿宋_GB2312" w:eastAsia="仿宋_GB2312" w:cs="仿宋_GB2312"/>
          <w:b w:val="0"/>
          <w:i w:val="0"/>
          <w:caps w:val="0"/>
          <w:spacing w:val="0"/>
          <w:w w:val="100"/>
          <w:kern w:val="0"/>
          <w:sz w:val="32"/>
          <w:szCs w:val="32"/>
        </w:rPr>
        <w:t>.其他收入</w:t>
      </w:r>
      <w:r>
        <w:rPr>
          <w:rFonts w:hint="eastAsia" w:ascii="仿宋_GB2312" w:eastAsia="仿宋_GB2312"/>
          <w:b w:val="0"/>
          <w:i w:val="0"/>
          <w:caps w:val="0"/>
          <w:spacing w:val="0"/>
          <w:w w:val="100"/>
          <w:kern w:val="0"/>
          <w:sz w:val="32"/>
          <w:szCs w:val="32"/>
        </w:rPr>
        <w:t>6240.05</w:t>
      </w:r>
      <w:r>
        <w:rPr>
          <w:rFonts w:hint="eastAsia" w:ascii="仿宋_GB2312" w:eastAsia="仿宋_GB2312" w:cs="仿宋_GB2312"/>
          <w:b w:val="0"/>
          <w:i w:val="0"/>
          <w:caps w:val="0"/>
          <w:spacing w:val="0"/>
          <w:w w:val="100"/>
          <w:kern w:val="0"/>
          <w:sz w:val="32"/>
          <w:szCs w:val="32"/>
        </w:rPr>
        <w:t>万元，为部门单位在</w:t>
      </w:r>
      <w:r>
        <w:rPr>
          <w:rFonts w:hint="eastAsia" w:ascii="仿宋_GB2312" w:eastAsia="仿宋_GB2312"/>
          <w:b w:val="0"/>
          <w:i w:val="0"/>
          <w:caps w:val="0"/>
          <w:spacing w:val="0"/>
          <w:w w:val="100"/>
          <w:kern w:val="0"/>
          <w:sz w:val="32"/>
          <w:szCs w:val="32"/>
        </w:rPr>
        <w:t>“</w:t>
      </w:r>
      <w:r>
        <w:rPr>
          <w:rFonts w:hint="eastAsia" w:ascii="仿宋_GB2312" w:eastAsia="仿宋_GB2312" w:cs="仿宋_GB2312"/>
          <w:b w:val="0"/>
          <w:i w:val="0"/>
          <w:caps w:val="0"/>
          <w:spacing w:val="0"/>
          <w:w w:val="100"/>
          <w:kern w:val="0"/>
          <w:sz w:val="32"/>
          <w:szCs w:val="32"/>
        </w:rPr>
        <w:t>财政拨款收入</w:t>
      </w:r>
      <w:r>
        <w:rPr>
          <w:rFonts w:hint="eastAsia" w:ascii="仿宋_GB2312" w:eastAsia="仿宋_GB2312"/>
          <w:b w:val="0"/>
          <w:i w:val="0"/>
          <w:caps w:val="0"/>
          <w:spacing w:val="0"/>
          <w:w w:val="100"/>
          <w:kern w:val="0"/>
          <w:sz w:val="32"/>
          <w:szCs w:val="32"/>
        </w:rPr>
        <w:t>”、“</w:t>
      </w:r>
      <w:r>
        <w:rPr>
          <w:rFonts w:hint="eastAsia" w:ascii="仿宋_GB2312" w:eastAsia="仿宋_GB2312" w:cs="仿宋_GB2312"/>
          <w:b w:val="0"/>
          <w:i w:val="0"/>
          <w:caps w:val="0"/>
          <w:spacing w:val="0"/>
          <w:w w:val="100"/>
          <w:kern w:val="0"/>
          <w:sz w:val="32"/>
          <w:szCs w:val="32"/>
        </w:rPr>
        <w:t>事业收入</w:t>
      </w:r>
      <w:r>
        <w:rPr>
          <w:rFonts w:hint="eastAsia" w:ascii="仿宋_GB2312" w:eastAsia="仿宋_GB2312"/>
          <w:b w:val="0"/>
          <w:i w:val="0"/>
          <w:caps w:val="0"/>
          <w:spacing w:val="0"/>
          <w:w w:val="100"/>
          <w:kern w:val="0"/>
          <w:sz w:val="32"/>
          <w:szCs w:val="32"/>
        </w:rPr>
        <w:t>”、“</w:t>
      </w:r>
      <w:r>
        <w:rPr>
          <w:rFonts w:hint="eastAsia" w:ascii="仿宋_GB2312" w:eastAsia="仿宋_GB2312" w:cs="仿宋_GB2312"/>
          <w:b w:val="0"/>
          <w:i w:val="0"/>
          <w:caps w:val="0"/>
          <w:spacing w:val="0"/>
          <w:w w:val="100"/>
          <w:kern w:val="0"/>
          <w:sz w:val="32"/>
          <w:szCs w:val="32"/>
        </w:rPr>
        <w:t>经营收入</w:t>
      </w:r>
      <w:r>
        <w:rPr>
          <w:rFonts w:hint="eastAsia" w:ascii="仿宋_GB2312" w:eastAsia="仿宋_GB2312"/>
          <w:b w:val="0"/>
          <w:i w:val="0"/>
          <w:caps w:val="0"/>
          <w:spacing w:val="0"/>
          <w:w w:val="100"/>
          <w:kern w:val="0"/>
          <w:sz w:val="32"/>
          <w:szCs w:val="32"/>
        </w:rPr>
        <w:t>”</w:t>
      </w:r>
      <w:r>
        <w:rPr>
          <w:rFonts w:hint="eastAsia" w:ascii="仿宋_GB2312" w:eastAsia="仿宋_GB2312" w:cs="仿宋_GB2312"/>
          <w:b w:val="0"/>
          <w:i w:val="0"/>
          <w:caps w:val="0"/>
          <w:spacing w:val="0"/>
          <w:w w:val="100"/>
          <w:kern w:val="0"/>
          <w:sz w:val="32"/>
          <w:szCs w:val="32"/>
        </w:rPr>
        <w:t>之外取得的收入。</w:t>
      </w:r>
      <w:r>
        <w:rPr>
          <w:rFonts w:hint="eastAsia" w:ascii="仿宋_GB2312" w:hAnsi="黑体" w:eastAsia="仿宋_GB2312" w:cs="仿宋_GB2312"/>
          <w:b w:val="0"/>
          <w:i w:val="0"/>
          <w:caps w:val="0"/>
          <w:spacing w:val="0"/>
          <w:w w:val="100"/>
          <w:kern w:val="0"/>
          <w:sz w:val="32"/>
          <w:szCs w:val="32"/>
        </w:rPr>
        <w:t>较2020年度决算数增加6108.67万元，增长4649.62%，主要原因是：2021年度“教育两费”非基建类项目资金下达方式有所改变：2020年，市财政将项目资金直接下达至本单位，本单位收到资金时记入一般公共预算财政拨款收入</w:t>
      </w:r>
      <w:r>
        <w:rPr>
          <w:rFonts w:hint="eastAsia" w:ascii="仿宋_GB2312" w:hAnsi="黑体" w:eastAsia="仿宋_GB2312" w:cs="仿宋_GB2312"/>
          <w:b w:val="0"/>
          <w:i w:val="0"/>
          <w:caps w:val="0"/>
          <w:spacing w:val="0"/>
          <w:w w:val="100"/>
          <w:kern w:val="0"/>
          <w:sz w:val="32"/>
          <w:szCs w:val="32"/>
          <w:lang w:eastAsia="zh-CN"/>
        </w:rPr>
        <w:t>，</w:t>
      </w:r>
      <w:r>
        <w:rPr>
          <w:rFonts w:hint="eastAsia" w:ascii="仿宋_GB2312" w:hAnsi="黑体" w:eastAsia="仿宋_GB2312" w:cs="仿宋_GB2312"/>
          <w:b w:val="0"/>
          <w:i w:val="0"/>
          <w:caps w:val="0"/>
          <w:spacing w:val="0"/>
          <w:w w:val="100"/>
          <w:kern w:val="0"/>
          <w:sz w:val="32"/>
          <w:szCs w:val="32"/>
        </w:rPr>
        <w:t>2021年，市财政将项目资金经市教育局下达至本单位，本单位收到资金时记入本收入，不再记入一般公共预算财政拨款收入。</w:t>
      </w:r>
    </w:p>
    <w:p>
      <w:pPr>
        <w:snapToGrid/>
        <w:spacing w:before="0" w:beforeAutospacing="0" w:after="0" w:afterAutospacing="0" w:line="560" w:lineRule="exact"/>
        <w:ind w:firstLine="627" w:firstLineChars="196"/>
        <w:jc w:val="both"/>
        <w:textAlignment w:val="baseline"/>
        <w:rPr>
          <w:rFonts w:ascii="仿宋_GB2312" w:eastAsia="仿宋_GB2312" w:cs="仿宋_GB2312"/>
          <w:b w:val="0"/>
          <w:i w:val="0"/>
          <w:caps w:val="0"/>
          <w:spacing w:val="0"/>
          <w:w w:val="100"/>
          <w:kern w:val="0"/>
          <w:sz w:val="32"/>
          <w:szCs w:val="32"/>
        </w:rPr>
      </w:pPr>
      <w:r>
        <w:rPr>
          <w:rFonts w:hint="eastAsia" w:ascii="仿宋_GB2312" w:eastAsia="仿宋_GB2312"/>
          <w:b w:val="0"/>
          <w:bCs/>
          <w:i w:val="0"/>
          <w:caps w:val="0"/>
          <w:spacing w:val="0"/>
          <w:w w:val="100"/>
          <w:kern w:val="0"/>
          <w:sz w:val="32"/>
          <w:szCs w:val="32"/>
        </w:rPr>
        <w:t>7</w:t>
      </w:r>
      <w:r>
        <w:rPr>
          <w:rFonts w:hint="eastAsia" w:ascii="仿宋_GB2312" w:eastAsia="仿宋_GB2312" w:cs="仿宋_GB2312"/>
          <w:b w:val="0"/>
          <w:i w:val="0"/>
          <w:caps w:val="0"/>
          <w:spacing w:val="0"/>
          <w:w w:val="100"/>
          <w:kern w:val="0"/>
          <w:sz w:val="32"/>
          <w:szCs w:val="32"/>
        </w:rPr>
        <w:t>.使用非财政拨款结余</w:t>
      </w:r>
      <w:r>
        <w:rPr>
          <w:rFonts w:hint="eastAsia" w:ascii="仿宋_GB2312" w:eastAsia="仿宋_GB2312"/>
          <w:b w:val="0"/>
          <w:i w:val="0"/>
          <w:caps w:val="0"/>
          <w:spacing w:val="0"/>
          <w:w w:val="100"/>
          <w:kern w:val="0"/>
          <w:sz w:val="32"/>
          <w:szCs w:val="32"/>
        </w:rPr>
        <w:t>2.2</w:t>
      </w:r>
      <w:r>
        <w:rPr>
          <w:rFonts w:hint="eastAsia" w:ascii="仿宋_GB2312" w:eastAsia="仿宋_GB2312" w:cs="仿宋_GB2312"/>
          <w:b w:val="0"/>
          <w:i w:val="0"/>
          <w:caps w:val="0"/>
          <w:spacing w:val="0"/>
          <w:w w:val="100"/>
          <w:kern w:val="0"/>
          <w:sz w:val="32"/>
          <w:szCs w:val="32"/>
        </w:rPr>
        <w:t>万元，主要是所属事业单位在当年的</w:t>
      </w:r>
      <w:r>
        <w:rPr>
          <w:rFonts w:hint="eastAsia" w:ascii="仿宋_GB2312" w:eastAsia="仿宋_GB2312"/>
          <w:b w:val="0"/>
          <w:i w:val="0"/>
          <w:caps w:val="0"/>
          <w:spacing w:val="0"/>
          <w:w w:val="100"/>
          <w:kern w:val="0"/>
          <w:sz w:val="32"/>
          <w:szCs w:val="32"/>
        </w:rPr>
        <w:t>“</w:t>
      </w:r>
      <w:r>
        <w:rPr>
          <w:rFonts w:hint="eastAsia" w:ascii="仿宋_GB2312" w:eastAsia="仿宋_GB2312" w:cs="仿宋_GB2312"/>
          <w:b w:val="0"/>
          <w:i w:val="0"/>
          <w:caps w:val="0"/>
          <w:spacing w:val="0"/>
          <w:w w:val="100"/>
          <w:kern w:val="0"/>
          <w:sz w:val="32"/>
          <w:szCs w:val="32"/>
        </w:rPr>
        <w:t>财政拨款收入</w:t>
      </w:r>
      <w:r>
        <w:rPr>
          <w:rFonts w:hint="eastAsia" w:ascii="仿宋_GB2312" w:eastAsia="仿宋_GB2312"/>
          <w:b w:val="0"/>
          <w:i w:val="0"/>
          <w:caps w:val="0"/>
          <w:spacing w:val="0"/>
          <w:w w:val="100"/>
          <w:kern w:val="0"/>
          <w:sz w:val="32"/>
          <w:szCs w:val="32"/>
        </w:rPr>
        <w:t>”“</w:t>
      </w:r>
      <w:r>
        <w:rPr>
          <w:rFonts w:hint="eastAsia" w:ascii="仿宋_GB2312" w:eastAsia="仿宋_GB2312" w:cs="仿宋_GB2312"/>
          <w:b w:val="0"/>
          <w:i w:val="0"/>
          <w:caps w:val="0"/>
          <w:spacing w:val="0"/>
          <w:w w:val="100"/>
          <w:kern w:val="0"/>
          <w:sz w:val="32"/>
          <w:szCs w:val="32"/>
        </w:rPr>
        <w:t>事业收入</w:t>
      </w:r>
      <w:r>
        <w:rPr>
          <w:rFonts w:hint="eastAsia" w:ascii="仿宋_GB2312" w:eastAsia="仿宋_GB2312"/>
          <w:b w:val="0"/>
          <w:i w:val="0"/>
          <w:caps w:val="0"/>
          <w:spacing w:val="0"/>
          <w:w w:val="100"/>
          <w:kern w:val="0"/>
          <w:sz w:val="32"/>
          <w:szCs w:val="32"/>
        </w:rPr>
        <w:t>”“</w:t>
      </w:r>
      <w:r>
        <w:rPr>
          <w:rFonts w:hint="eastAsia" w:ascii="仿宋_GB2312" w:eastAsia="仿宋_GB2312" w:cs="仿宋_GB2312"/>
          <w:b w:val="0"/>
          <w:i w:val="0"/>
          <w:caps w:val="0"/>
          <w:spacing w:val="0"/>
          <w:w w:val="100"/>
          <w:kern w:val="0"/>
          <w:sz w:val="32"/>
          <w:szCs w:val="32"/>
        </w:rPr>
        <w:t>经营收入</w:t>
      </w:r>
      <w:r>
        <w:rPr>
          <w:rFonts w:hint="eastAsia" w:ascii="仿宋_GB2312" w:eastAsia="仿宋_GB2312"/>
          <w:b w:val="0"/>
          <w:i w:val="0"/>
          <w:caps w:val="0"/>
          <w:spacing w:val="0"/>
          <w:w w:val="100"/>
          <w:kern w:val="0"/>
          <w:sz w:val="32"/>
          <w:szCs w:val="32"/>
        </w:rPr>
        <w:t>”</w:t>
      </w:r>
      <w:r>
        <w:rPr>
          <w:rFonts w:hint="eastAsia" w:ascii="仿宋_GB2312" w:eastAsia="仿宋_GB2312" w:cs="仿宋_GB2312"/>
          <w:b w:val="0"/>
          <w:i w:val="0"/>
          <w:caps w:val="0"/>
          <w:spacing w:val="0"/>
          <w:w w:val="100"/>
          <w:kern w:val="0"/>
          <w:sz w:val="32"/>
          <w:szCs w:val="32"/>
        </w:rPr>
        <w:t>及</w:t>
      </w:r>
      <w:r>
        <w:rPr>
          <w:rFonts w:hint="eastAsia" w:ascii="仿宋_GB2312" w:eastAsia="仿宋_GB2312"/>
          <w:b w:val="0"/>
          <w:i w:val="0"/>
          <w:caps w:val="0"/>
          <w:spacing w:val="0"/>
          <w:w w:val="100"/>
          <w:kern w:val="0"/>
          <w:sz w:val="32"/>
          <w:szCs w:val="32"/>
        </w:rPr>
        <w:t>“</w:t>
      </w:r>
      <w:r>
        <w:rPr>
          <w:rFonts w:hint="eastAsia" w:ascii="仿宋_GB2312" w:eastAsia="仿宋_GB2312" w:cs="仿宋_GB2312"/>
          <w:b w:val="0"/>
          <w:i w:val="0"/>
          <w:caps w:val="0"/>
          <w:spacing w:val="0"/>
          <w:w w:val="100"/>
          <w:kern w:val="0"/>
          <w:sz w:val="32"/>
          <w:szCs w:val="32"/>
        </w:rPr>
        <w:t>其他收入</w:t>
      </w:r>
      <w:r>
        <w:rPr>
          <w:rFonts w:hint="eastAsia" w:ascii="仿宋_GB2312" w:eastAsia="仿宋_GB2312"/>
          <w:b w:val="0"/>
          <w:i w:val="0"/>
          <w:caps w:val="0"/>
          <w:spacing w:val="0"/>
          <w:w w:val="100"/>
          <w:kern w:val="0"/>
          <w:sz w:val="32"/>
          <w:szCs w:val="32"/>
        </w:rPr>
        <w:t>”</w:t>
      </w:r>
      <w:r>
        <w:rPr>
          <w:rFonts w:hint="eastAsia" w:ascii="仿宋_GB2312" w:eastAsia="仿宋_GB2312" w:cs="仿宋_GB2312"/>
          <w:b w:val="0"/>
          <w:i w:val="0"/>
          <w:caps w:val="0"/>
          <w:spacing w:val="0"/>
          <w:w w:val="100"/>
          <w:kern w:val="0"/>
          <w:sz w:val="32"/>
          <w:szCs w:val="32"/>
        </w:rPr>
        <w:t>不能保证其支出的情况下，使用以前年度积累的非财政拨款结余弥补本年度收支缺口的资金。</w:t>
      </w:r>
      <w:r>
        <w:rPr>
          <w:rFonts w:hint="eastAsia" w:ascii="仿宋_GB2312" w:hAnsi="黑体" w:eastAsia="仿宋_GB2312" w:cs="仿宋_GB2312"/>
          <w:b w:val="0"/>
          <w:i w:val="0"/>
          <w:caps w:val="0"/>
          <w:spacing w:val="0"/>
          <w:w w:val="100"/>
          <w:kern w:val="0"/>
          <w:sz w:val="32"/>
          <w:szCs w:val="32"/>
        </w:rPr>
        <w:t>较2020年度决算数增加0.73万元，增长49.66%，</w:t>
      </w:r>
      <w:r>
        <w:rPr>
          <w:rFonts w:hint="eastAsia" w:ascii="仿宋_GB2312" w:hAnsi="黑体" w:eastAsia="仿宋_GB2312" w:cs="仿宋_GB2312"/>
          <w:b w:val="0"/>
          <w:i w:val="0"/>
          <w:caps w:val="0"/>
          <w:spacing w:val="0"/>
          <w:w w:val="100"/>
          <w:kern w:val="0"/>
          <w:sz w:val="32"/>
          <w:szCs w:val="32"/>
          <w:lang w:eastAsia="zh-CN"/>
        </w:rPr>
        <w:t>属于正常开支范围。</w:t>
      </w:r>
    </w:p>
    <w:p>
      <w:pPr>
        <w:snapToGrid/>
        <w:spacing w:before="0" w:beforeAutospacing="0" w:after="0" w:afterAutospacing="0" w:line="560" w:lineRule="exact"/>
        <w:ind w:firstLine="627" w:firstLineChars="196"/>
        <w:jc w:val="both"/>
        <w:textAlignment w:val="baseline"/>
        <w:rPr>
          <w:rFonts w:ascii="仿宋_GB2312" w:eastAsia="仿宋_GB2312" w:cs="仿宋_GB2312"/>
          <w:b w:val="0"/>
          <w:i w:val="0"/>
          <w:caps w:val="0"/>
          <w:spacing w:val="0"/>
          <w:w w:val="100"/>
          <w:kern w:val="0"/>
          <w:sz w:val="32"/>
          <w:szCs w:val="32"/>
        </w:rPr>
      </w:pPr>
      <w:r>
        <w:rPr>
          <w:rFonts w:hint="eastAsia" w:ascii="仿宋_GB2312" w:eastAsia="仿宋_GB2312"/>
          <w:b w:val="0"/>
          <w:bCs/>
          <w:i w:val="0"/>
          <w:caps w:val="0"/>
          <w:spacing w:val="0"/>
          <w:w w:val="100"/>
          <w:kern w:val="0"/>
          <w:sz w:val="32"/>
          <w:szCs w:val="32"/>
        </w:rPr>
        <w:t>8</w:t>
      </w:r>
      <w:r>
        <w:rPr>
          <w:rFonts w:hint="eastAsia" w:ascii="仿宋_GB2312" w:eastAsia="仿宋_GB2312" w:cs="仿宋_GB2312"/>
          <w:b w:val="0"/>
          <w:i w:val="0"/>
          <w:caps w:val="0"/>
          <w:spacing w:val="0"/>
          <w:w w:val="100"/>
          <w:kern w:val="0"/>
          <w:sz w:val="32"/>
          <w:szCs w:val="32"/>
        </w:rPr>
        <w:t>.</w:t>
      </w:r>
      <w:r>
        <w:rPr>
          <w:rFonts w:hint="eastAsia" w:ascii="仿宋_GB2312" w:eastAsia="仿宋_GB2312" w:cs="仿宋_GB2312"/>
          <w:b w:val="0"/>
          <w:i w:val="0"/>
          <w:caps w:val="0"/>
          <w:spacing w:val="0"/>
          <w:w w:val="100"/>
          <w:kern w:val="0"/>
          <w:sz w:val="32"/>
          <w:szCs w:val="32"/>
          <w:lang w:eastAsia="zh-CN"/>
        </w:rPr>
        <w:t>年初</w:t>
      </w:r>
      <w:r>
        <w:rPr>
          <w:rFonts w:hint="eastAsia" w:ascii="仿宋_GB2312" w:eastAsia="仿宋_GB2312" w:cs="仿宋_GB2312"/>
          <w:b w:val="0"/>
          <w:i w:val="0"/>
          <w:caps w:val="0"/>
          <w:spacing w:val="0"/>
          <w:w w:val="100"/>
          <w:kern w:val="0"/>
          <w:sz w:val="32"/>
          <w:szCs w:val="32"/>
        </w:rPr>
        <w:t>结转和结余</w:t>
      </w:r>
      <w:r>
        <w:rPr>
          <w:rFonts w:hint="eastAsia" w:ascii="仿宋_GB2312" w:eastAsia="仿宋_GB2312"/>
          <w:b w:val="0"/>
          <w:i w:val="0"/>
          <w:caps w:val="0"/>
          <w:spacing w:val="0"/>
          <w:w w:val="100"/>
          <w:kern w:val="0"/>
          <w:sz w:val="32"/>
          <w:szCs w:val="32"/>
        </w:rPr>
        <w:t>511.4</w:t>
      </w:r>
      <w:r>
        <w:rPr>
          <w:rFonts w:hint="eastAsia" w:ascii="仿宋_GB2312" w:eastAsia="仿宋_GB2312" w:cs="仿宋_GB2312"/>
          <w:b w:val="0"/>
          <w:i w:val="0"/>
          <w:caps w:val="0"/>
          <w:spacing w:val="0"/>
          <w:w w:val="100"/>
          <w:kern w:val="0"/>
          <w:sz w:val="32"/>
          <w:szCs w:val="32"/>
        </w:rPr>
        <w:t>万元，为以前年度支出预算因客观条件变化未执行完毕、结转到本年度按有关规定继续使用的资金。</w:t>
      </w:r>
      <w:r>
        <w:rPr>
          <w:rFonts w:hint="eastAsia" w:ascii="仿宋_GB2312" w:hAnsi="黑体" w:eastAsia="仿宋_GB2312" w:cs="仿宋_GB2312"/>
          <w:b w:val="0"/>
          <w:i w:val="0"/>
          <w:caps w:val="0"/>
          <w:spacing w:val="0"/>
          <w:w w:val="100"/>
          <w:kern w:val="0"/>
          <w:sz w:val="32"/>
          <w:szCs w:val="32"/>
        </w:rPr>
        <w:t>较2020年度决算数增加304.07万元，增长146.66%，主要原因是：大部分是项目资金结转，留待下年使用。</w:t>
      </w:r>
    </w:p>
    <w:p>
      <w:pPr>
        <w:snapToGrid/>
        <w:spacing w:before="0" w:beforeAutospacing="0" w:after="0" w:afterAutospacing="0" w:line="560" w:lineRule="exact"/>
        <w:ind w:firstLine="627" w:firstLineChars="196"/>
        <w:jc w:val="both"/>
        <w:textAlignment w:val="baseline"/>
        <w:rPr>
          <w:rFonts w:ascii="仿宋_GB2312" w:eastAsia="仿宋_GB2312" w:cs="仿宋_GB2312"/>
          <w:b w:val="0"/>
          <w:i w:val="0"/>
          <w:caps w:val="0"/>
          <w:spacing w:val="0"/>
          <w:w w:val="100"/>
          <w:kern w:val="0"/>
          <w:sz w:val="32"/>
          <w:szCs w:val="32"/>
        </w:rPr>
      </w:pPr>
      <w:r>
        <w:rPr>
          <w:rFonts w:hint="eastAsia" w:ascii="仿宋_GB2312" w:eastAsia="仿宋_GB2312" w:cs="仿宋_GB2312"/>
          <w:b w:val="0"/>
          <w:i w:val="0"/>
          <w:caps w:val="0"/>
          <w:spacing w:val="0"/>
          <w:w w:val="100"/>
          <w:kern w:val="0"/>
          <w:sz w:val="32"/>
          <w:szCs w:val="32"/>
        </w:rPr>
        <w:t>（二）本单位2021年度总支出</w:t>
      </w:r>
      <w:r>
        <w:rPr>
          <w:rFonts w:hint="eastAsia" w:ascii="仿宋_GB2312" w:eastAsia="仿宋_GB2312"/>
          <w:b w:val="0"/>
          <w:i w:val="0"/>
          <w:caps w:val="0"/>
          <w:spacing w:val="0"/>
          <w:w w:val="100"/>
          <w:kern w:val="0"/>
          <w:sz w:val="32"/>
          <w:szCs w:val="32"/>
        </w:rPr>
        <w:t>7005.24</w:t>
      </w:r>
      <w:r>
        <w:rPr>
          <w:rFonts w:hint="eastAsia" w:ascii="仿宋_GB2312" w:eastAsia="仿宋_GB2312" w:cs="仿宋_GB2312"/>
          <w:b w:val="0"/>
          <w:i w:val="0"/>
          <w:caps w:val="0"/>
          <w:spacing w:val="0"/>
          <w:w w:val="100"/>
          <w:kern w:val="0"/>
          <w:sz w:val="32"/>
          <w:szCs w:val="32"/>
        </w:rPr>
        <w:t xml:space="preserve">万元，其中本年支出4360.73万元, </w:t>
      </w:r>
      <w:r>
        <w:rPr>
          <w:rFonts w:hint="eastAsia" w:ascii="仿宋_GB2312" w:hAnsi="黑体" w:eastAsia="仿宋_GB2312" w:cs="仿宋_GB2312"/>
          <w:b w:val="0"/>
          <w:i w:val="0"/>
          <w:caps w:val="0"/>
          <w:spacing w:val="0"/>
          <w:w w:val="100"/>
          <w:kern w:val="0"/>
          <w:sz w:val="32"/>
          <w:szCs w:val="32"/>
        </w:rPr>
        <w:t>较2020年度决算数减少2152.48万元，下降23.5%。</w:t>
      </w:r>
      <w:r>
        <w:rPr>
          <w:rFonts w:hint="eastAsia" w:ascii="仿宋_GB2312" w:eastAsia="仿宋_GB2312" w:cs="仿宋_GB2312"/>
          <w:b w:val="0"/>
          <w:i w:val="0"/>
          <w:caps w:val="0"/>
          <w:spacing w:val="0"/>
          <w:w w:val="100"/>
          <w:kern w:val="0"/>
          <w:sz w:val="32"/>
          <w:szCs w:val="32"/>
        </w:rPr>
        <w:t>支出具体情况如下：</w:t>
      </w:r>
    </w:p>
    <w:p>
      <w:pPr>
        <w:snapToGrid/>
        <w:spacing w:before="0" w:beforeAutospacing="0" w:after="0" w:afterAutospacing="0" w:line="560" w:lineRule="exact"/>
        <w:ind w:firstLine="627" w:firstLineChars="196"/>
        <w:jc w:val="both"/>
        <w:textAlignment w:val="baseline"/>
        <w:rPr>
          <w:rFonts w:ascii="仿宋_GB2312" w:hAnsi="黑体" w:eastAsia="仿宋_GB2312" w:cs="仿宋_GB2312"/>
          <w:b w:val="0"/>
          <w:i w:val="0"/>
          <w:caps w:val="0"/>
          <w:spacing w:val="0"/>
          <w:w w:val="100"/>
          <w:kern w:val="0"/>
          <w:sz w:val="32"/>
          <w:szCs w:val="32"/>
          <w:highlight w:val="yellow"/>
        </w:rPr>
      </w:pPr>
      <w:r>
        <w:rPr>
          <w:rFonts w:hint="eastAsia" w:ascii="仿宋_GB2312" w:eastAsia="仿宋_GB2312"/>
          <w:b w:val="0"/>
          <w:bCs/>
          <w:i w:val="0"/>
          <w:caps w:val="0"/>
          <w:spacing w:val="0"/>
          <w:w w:val="100"/>
          <w:kern w:val="0"/>
          <w:sz w:val="32"/>
          <w:szCs w:val="32"/>
        </w:rPr>
        <w:t>1</w:t>
      </w:r>
      <w:r>
        <w:rPr>
          <w:rFonts w:hint="eastAsia" w:ascii="仿宋_GB2312" w:eastAsia="仿宋_GB2312" w:cs="仿宋_GB2312"/>
          <w:b w:val="0"/>
          <w:i w:val="0"/>
          <w:caps w:val="0"/>
          <w:spacing w:val="0"/>
          <w:w w:val="100"/>
          <w:kern w:val="0"/>
          <w:sz w:val="32"/>
          <w:szCs w:val="32"/>
        </w:rPr>
        <w:t>.教育支出4320.32万元：主要用于人员支出及日常公用支出、柳州市202</w:t>
      </w:r>
      <w:r>
        <w:rPr>
          <w:rFonts w:hint="eastAsia" w:ascii="仿宋_GB2312" w:eastAsia="仿宋_GB2312" w:cs="仿宋_GB2312"/>
          <w:b w:val="0"/>
          <w:i w:val="0"/>
          <w:caps w:val="0"/>
          <w:spacing w:val="0"/>
          <w:w w:val="100"/>
          <w:kern w:val="0"/>
          <w:sz w:val="32"/>
          <w:szCs w:val="32"/>
          <w:lang w:val="en-US" w:eastAsia="zh-CN"/>
        </w:rPr>
        <w:t>0</w:t>
      </w:r>
      <w:r>
        <w:rPr>
          <w:rFonts w:hint="eastAsia" w:ascii="仿宋_GB2312" w:eastAsia="仿宋_GB2312" w:cs="仿宋_GB2312"/>
          <w:b w:val="0"/>
          <w:i w:val="0"/>
          <w:caps w:val="0"/>
          <w:spacing w:val="0"/>
          <w:w w:val="100"/>
          <w:kern w:val="0"/>
          <w:sz w:val="32"/>
          <w:szCs w:val="32"/>
        </w:rPr>
        <w:t>年教育“两费”第五批支出预算（非基建类项目）、柳州市2021年教育“两费”第二批支出预算（非基建类项目）等，</w:t>
      </w:r>
      <w:r>
        <w:rPr>
          <w:rFonts w:hint="eastAsia" w:ascii="仿宋_GB2312" w:hAnsi="黑体" w:eastAsia="仿宋_GB2312" w:cs="仿宋_GB2312"/>
          <w:b w:val="0"/>
          <w:i w:val="0"/>
          <w:caps w:val="0"/>
          <w:spacing w:val="0"/>
          <w:w w:val="100"/>
          <w:kern w:val="0"/>
          <w:sz w:val="32"/>
          <w:szCs w:val="32"/>
        </w:rPr>
        <w:t>较2020年度决算数减少4257.30万元，下降49.63%，主要原因是</w:t>
      </w:r>
      <w:r>
        <w:rPr>
          <w:rFonts w:hint="eastAsia" w:ascii="仿宋_GB2312" w:hAnsi="黑体" w:eastAsia="仿宋_GB2312" w:cs="仿宋_GB2312"/>
          <w:b w:val="0"/>
          <w:i w:val="0"/>
          <w:caps w:val="0"/>
          <w:spacing w:val="0"/>
          <w:w w:val="100"/>
          <w:kern w:val="0"/>
          <w:sz w:val="32"/>
          <w:szCs w:val="32"/>
          <w:lang w:eastAsia="zh-CN"/>
        </w:rPr>
        <w:t>：本年度财政下达项目资金较上年度减少，支出也减少。</w:t>
      </w:r>
    </w:p>
    <w:p>
      <w:pPr>
        <w:snapToGrid/>
        <w:spacing w:before="0" w:beforeAutospacing="0" w:after="0" w:afterAutospacing="0" w:line="560" w:lineRule="exact"/>
        <w:ind w:firstLine="627" w:firstLineChars="196"/>
        <w:jc w:val="both"/>
        <w:textAlignment w:val="baseline"/>
        <w:rPr>
          <w:rFonts w:ascii="仿宋_GB2312" w:hAnsi="黑体" w:eastAsia="仿宋_GB2312" w:cs="仿宋_GB2312"/>
          <w:b w:val="0"/>
          <w:i w:val="0"/>
          <w:caps w:val="0"/>
          <w:spacing w:val="0"/>
          <w:w w:val="100"/>
          <w:kern w:val="0"/>
          <w:sz w:val="32"/>
          <w:szCs w:val="32"/>
          <w:highlight w:val="yellow"/>
        </w:rPr>
      </w:pPr>
      <w:r>
        <w:rPr>
          <w:rFonts w:hint="eastAsia" w:ascii="仿宋_GB2312" w:eastAsia="仿宋_GB2312" w:cs="仿宋_GB2312"/>
          <w:b w:val="0"/>
          <w:i w:val="0"/>
          <w:caps w:val="0"/>
          <w:spacing w:val="0"/>
          <w:w w:val="100"/>
          <w:kern w:val="0"/>
          <w:sz w:val="32"/>
          <w:szCs w:val="32"/>
        </w:rPr>
        <w:t>2.社会保障和就业支出14.39万元：主要用于</w:t>
      </w:r>
      <w:r>
        <w:rPr>
          <w:rFonts w:hint="eastAsia" w:ascii="仿宋_GB2312" w:eastAsia="仿宋_GB2312" w:cs="仿宋_GB2312"/>
          <w:b w:val="0"/>
          <w:bCs/>
          <w:i w:val="0"/>
          <w:caps w:val="0"/>
          <w:spacing w:val="0"/>
          <w:w w:val="100"/>
          <w:kern w:val="0"/>
          <w:sz w:val="32"/>
          <w:szCs w:val="32"/>
        </w:rPr>
        <w:t>2021年市本级教职工社会保险缴费等，</w:t>
      </w:r>
      <w:r>
        <w:rPr>
          <w:rFonts w:hint="eastAsia" w:ascii="仿宋_GB2312" w:hAnsi="黑体" w:eastAsia="仿宋_GB2312" w:cs="仿宋_GB2312"/>
          <w:b w:val="0"/>
          <w:i w:val="0"/>
          <w:caps w:val="0"/>
          <w:spacing w:val="0"/>
          <w:w w:val="100"/>
          <w:kern w:val="0"/>
          <w:sz w:val="32"/>
          <w:szCs w:val="32"/>
        </w:rPr>
        <w:t>较2020年度决算数减少27.38万元，下降65.55%，主要原因是</w:t>
      </w:r>
      <w:r>
        <w:rPr>
          <w:rFonts w:hint="eastAsia" w:ascii="仿宋_GB2312" w:hAnsi="黑体" w:eastAsia="仿宋_GB2312" w:cs="仿宋_GB2312"/>
          <w:b w:val="0"/>
          <w:i w:val="0"/>
          <w:caps w:val="0"/>
          <w:spacing w:val="0"/>
          <w:w w:val="100"/>
          <w:kern w:val="0"/>
          <w:sz w:val="32"/>
          <w:szCs w:val="32"/>
          <w:lang w:eastAsia="zh-CN"/>
        </w:rPr>
        <w:t>按照相关规定正常缴纳，属于正常开支范围；</w:t>
      </w:r>
      <w:r>
        <w:rPr>
          <w:rFonts w:hint="eastAsia" w:ascii="仿宋_GB2312" w:eastAsia="仿宋_GB2312" w:cs="仿宋_GB2312"/>
          <w:b w:val="0"/>
          <w:i w:val="0"/>
          <w:caps w:val="0"/>
          <w:spacing w:val="0"/>
          <w:w w:val="100"/>
          <w:kern w:val="0"/>
          <w:sz w:val="32"/>
          <w:szCs w:val="32"/>
          <w:lang w:eastAsia="zh-CN"/>
        </w:rPr>
        <w:t>根据年终财政对账数调账等。</w:t>
      </w:r>
    </w:p>
    <w:p>
      <w:pPr>
        <w:snapToGrid/>
        <w:spacing w:before="0" w:beforeAutospacing="0" w:after="0" w:afterAutospacing="0" w:line="560" w:lineRule="exact"/>
        <w:ind w:firstLine="640" w:firstLineChars="200"/>
        <w:jc w:val="both"/>
        <w:textAlignment w:val="baseline"/>
        <w:rPr>
          <w:rFonts w:hint="eastAsia" w:ascii="仿宋_GB2312" w:hAnsi="黑体" w:eastAsia="仿宋_GB2312" w:cs="仿宋_GB2312"/>
          <w:b w:val="0"/>
          <w:i w:val="0"/>
          <w:caps w:val="0"/>
          <w:spacing w:val="0"/>
          <w:w w:val="100"/>
          <w:kern w:val="0"/>
          <w:sz w:val="32"/>
          <w:szCs w:val="32"/>
          <w:lang w:eastAsia="zh-CN"/>
        </w:rPr>
      </w:pPr>
      <w:r>
        <w:rPr>
          <w:rFonts w:hint="eastAsia" w:ascii="仿宋_GB2312" w:eastAsia="仿宋_GB2312" w:cs="仿宋_GB2312"/>
          <w:b w:val="0"/>
          <w:i w:val="0"/>
          <w:caps w:val="0"/>
          <w:spacing w:val="0"/>
          <w:w w:val="100"/>
          <w:kern w:val="0"/>
          <w:sz w:val="32"/>
          <w:szCs w:val="32"/>
          <w:lang w:val="en-US" w:eastAsia="zh-CN"/>
        </w:rPr>
        <w:t>3.</w:t>
      </w:r>
      <w:r>
        <w:rPr>
          <w:rFonts w:hint="eastAsia" w:ascii="仿宋_GB2312" w:eastAsia="仿宋_GB2312" w:cs="仿宋_GB2312"/>
          <w:b w:val="0"/>
          <w:i w:val="0"/>
          <w:caps w:val="0"/>
          <w:spacing w:val="0"/>
          <w:w w:val="100"/>
          <w:kern w:val="0"/>
          <w:sz w:val="32"/>
          <w:szCs w:val="32"/>
        </w:rPr>
        <w:t>卫生健康支出9.52万元：主要用于</w:t>
      </w:r>
      <w:r>
        <w:rPr>
          <w:rFonts w:hint="eastAsia" w:ascii="仿宋_GB2312" w:eastAsia="仿宋_GB2312" w:cs="仿宋_GB2312"/>
          <w:b w:val="0"/>
          <w:bCs/>
          <w:i w:val="0"/>
          <w:caps w:val="0"/>
          <w:spacing w:val="0"/>
          <w:w w:val="100"/>
          <w:kern w:val="0"/>
          <w:sz w:val="32"/>
          <w:szCs w:val="32"/>
        </w:rPr>
        <w:t>2021年市本级教职工参照公务员医疗补助经费、医疗保险缴费等。</w:t>
      </w:r>
      <w:r>
        <w:rPr>
          <w:rFonts w:hint="eastAsia" w:ascii="仿宋_GB2312" w:hAnsi="黑体" w:eastAsia="仿宋_GB2312" w:cs="仿宋_GB2312"/>
          <w:b w:val="0"/>
          <w:i w:val="0"/>
          <w:caps w:val="0"/>
          <w:spacing w:val="0"/>
          <w:w w:val="100"/>
          <w:kern w:val="0"/>
          <w:sz w:val="32"/>
          <w:szCs w:val="32"/>
        </w:rPr>
        <w:t>较2020年度决算数增加1.10万元，增长13.06%，主要原因是</w:t>
      </w:r>
      <w:r>
        <w:rPr>
          <w:rFonts w:hint="eastAsia" w:ascii="仿宋_GB2312" w:hAnsi="黑体" w:eastAsia="仿宋_GB2312" w:cs="仿宋_GB2312"/>
          <w:b w:val="0"/>
          <w:i w:val="0"/>
          <w:caps w:val="0"/>
          <w:spacing w:val="0"/>
          <w:w w:val="100"/>
          <w:kern w:val="0"/>
          <w:sz w:val="32"/>
          <w:szCs w:val="32"/>
          <w:lang w:eastAsia="zh-CN"/>
        </w:rPr>
        <w:t>按照相关规定正常缴纳，属于正常开支范围</w:t>
      </w:r>
    </w:p>
    <w:p>
      <w:pPr>
        <w:snapToGrid/>
        <w:spacing w:before="0" w:beforeAutospacing="0" w:after="0" w:afterAutospacing="0" w:line="560" w:lineRule="exact"/>
        <w:ind w:firstLine="627" w:firstLineChars="196"/>
        <w:jc w:val="both"/>
        <w:textAlignment w:val="baseline"/>
        <w:rPr>
          <w:rFonts w:ascii="仿宋_GB2312" w:hAnsi="黑体" w:eastAsia="仿宋_GB2312" w:cs="仿宋_GB2312"/>
          <w:b w:val="0"/>
          <w:i w:val="0"/>
          <w:caps w:val="0"/>
          <w:spacing w:val="0"/>
          <w:w w:val="100"/>
          <w:kern w:val="0"/>
          <w:sz w:val="32"/>
          <w:szCs w:val="32"/>
        </w:rPr>
      </w:pPr>
      <w:r>
        <w:rPr>
          <w:rFonts w:hint="eastAsia" w:ascii="仿宋_GB2312" w:eastAsia="仿宋_GB2312" w:cs="仿宋_GB2312"/>
          <w:b w:val="0"/>
          <w:i w:val="0"/>
          <w:caps w:val="0"/>
          <w:spacing w:val="0"/>
          <w:w w:val="100"/>
          <w:kern w:val="0"/>
          <w:sz w:val="32"/>
          <w:szCs w:val="32"/>
        </w:rPr>
        <w:t>4.住房保障支出16.5万元：主要用于2021年市本级教职工住房公积金缴费。较2020年度决算数减少2.02万元，下降10.91%，主要原因是</w:t>
      </w:r>
      <w:r>
        <w:rPr>
          <w:rFonts w:hint="eastAsia" w:ascii="仿宋_GB2312" w:hAnsi="黑体" w:eastAsia="仿宋_GB2312" w:cs="仿宋_GB2312"/>
          <w:b w:val="0"/>
          <w:i w:val="0"/>
          <w:caps w:val="0"/>
          <w:spacing w:val="0"/>
          <w:w w:val="100"/>
          <w:kern w:val="0"/>
          <w:sz w:val="32"/>
          <w:szCs w:val="32"/>
          <w:lang w:eastAsia="zh-CN"/>
        </w:rPr>
        <w:t>按照相关规定正常缴纳，属于正常开支范围。</w:t>
      </w:r>
    </w:p>
    <w:p>
      <w:pPr>
        <w:snapToGrid/>
        <w:spacing w:before="0" w:beforeAutospacing="0" w:after="0" w:afterAutospacing="0" w:line="560" w:lineRule="exact"/>
        <w:ind w:firstLine="627" w:firstLineChars="196"/>
        <w:jc w:val="both"/>
        <w:textAlignment w:val="baseline"/>
        <w:rPr>
          <w:rFonts w:ascii="仿宋_GB2312" w:eastAsia="仿宋_GB2312" w:cs="仿宋_GB2312"/>
          <w:b w:val="0"/>
          <w:i w:val="0"/>
          <w:caps w:val="0"/>
          <w:spacing w:val="0"/>
          <w:w w:val="100"/>
          <w:kern w:val="0"/>
          <w:sz w:val="32"/>
          <w:szCs w:val="32"/>
        </w:rPr>
      </w:pPr>
      <w:r>
        <w:rPr>
          <w:rFonts w:hint="eastAsia" w:ascii="仿宋_GB2312" w:eastAsia="仿宋_GB2312"/>
          <w:b w:val="0"/>
          <w:bCs/>
          <w:i w:val="0"/>
          <w:caps w:val="0"/>
          <w:spacing w:val="0"/>
          <w:w w:val="100"/>
          <w:kern w:val="0"/>
          <w:sz w:val="32"/>
          <w:szCs w:val="32"/>
        </w:rPr>
        <w:t>5</w:t>
      </w:r>
      <w:r>
        <w:rPr>
          <w:rFonts w:hint="eastAsia" w:ascii="仿宋_GB2312" w:eastAsia="仿宋_GB2312" w:cs="仿宋_GB2312"/>
          <w:b w:val="0"/>
          <w:i w:val="0"/>
          <w:caps w:val="0"/>
          <w:spacing w:val="0"/>
          <w:w w:val="100"/>
          <w:kern w:val="0"/>
          <w:sz w:val="32"/>
          <w:szCs w:val="32"/>
        </w:rPr>
        <w:t>.结余分配</w:t>
      </w:r>
      <w:r>
        <w:rPr>
          <w:rFonts w:hint="eastAsia" w:ascii="仿宋_GB2312" w:eastAsia="仿宋_GB2312"/>
          <w:b w:val="0"/>
          <w:i w:val="0"/>
          <w:caps w:val="0"/>
          <w:spacing w:val="0"/>
          <w:w w:val="100"/>
          <w:kern w:val="0"/>
          <w:sz w:val="32"/>
          <w:szCs w:val="32"/>
        </w:rPr>
        <w:t>0</w:t>
      </w:r>
      <w:r>
        <w:rPr>
          <w:rFonts w:hint="eastAsia" w:ascii="仿宋_GB2312" w:eastAsia="仿宋_GB2312" w:cs="仿宋_GB2312"/>
          <w:b w:val="0"/>
          <w:i w:val="0"/>
          <w:caps w:val="0"/>
          <w:spacing w:val="0"/>
          <w:w w:val="100"/>
          <w:kern w:val="0"/>
          <w:sz w:val="32"/>
          <w:szCs w:val="32"/>
        </w:rPr>
        <w:t>万元，为事业单位按规定提取的职工福利基金、事业基金和缴纳的所得税等。</w:t>
      </w:r>
      <w:r>
        <w:rPr>
          <w:rFonts w:hint="eastAsia" w:ascii="仿宋_GB2312" w:hAnsi="黑体" w:eastAsia="仿宋_GB2312" w:cs="仿宋_GB2312"/>
          <w:b w:val="0"/>
          <w:i w:val="0"/>
          <w:caps w:val="0"/>
          <w:spacing w:val="0"/>
          <w:w w:val="100"/>
          <w:kern w:val="0"/>
          <w:sz w:val="32"/>
          <w:szCs w:val="32"/>
        </w:rPr>
        <w:t>较2020年度决算数增加0万元，增长0%，主要原因是：2020年度与2021年度本单位均无该项结余分配。</w:t>
      </w:r>
    </w:p>
    <w:p>
      <w:pPr>
        <w:snapToGrid/>
        <w:spacing w:before="0" w:beforeAutospacing="0" w:after="0" w:afterAutospacing="0" w:line="560" w:lineRule="exact"/>
        <w:ind w:firstLine="627" w:firstLineChars="196"/>
        <w:jc w:val="both"/>
        <w:textAlignment w:val="baseline"/>
        <w:rPr>
          <w:rFonts w:ascii="仿宋_GB2312" w:eastAsia="仿宋_GB2312" w:cs="仿宋_GB2312"/>
          <w:b w:val="0"/>
          <w:i w:val="0"/>
          <w:caps w:val="0"/>
          <w:spacing w:val="0"/>
          <w:w w:val="100"/>
          <w:kern w:val="0"/>
          <w:sz w:val="32"/>
          <w:szCs w:val="32"/>
        </w:rPr>
      </w:pPr>
      <w:r>
        <w:rPr>
          <w:rFonts w:hint="eastAsia" w:ascii="仿宋_GB2312" w:eastAsia="仿宋_GB2312"/>
          <w:b w:val="0"/>
          <w:bCs/>
          <w:i w:val="0"/>
          <w:caps w:val="0"/>
          <w:spacing w:val="0"/>
          <w:w w:val="100"/>
          <w:kern w:val="0"/>
          <w:sz w:val="32"/>
          <w:szCs w:val="32"/>
        </w:rPr>
        <w:t>6</w:t>
      </w:r>
      <w:r>
        <w:rPr>
          <w:rFonts w:hint="eastAsia" w:ascii="仿宋_GB2312" w:eastAsia="仿宋_GB2312" w:cs="仿宋_GB2312"/>
          <w:b w:val="0"/>
          <w:i w:val="0"/>
          <w:caps w:val="0"/>
          <w:spacing w:val="0"/>
          <w:w w:val="100"/>
          <w:kern w:val="0"/>
          <w:sz w:val="32"/>
          <w:szCs w:val="32"/>
        </w:rPr>
        <w:t>.年末结转和结余</w:t>
      </w:r>
      <w:r>
        <w:rPr>
          <w:rFonts w:hint="eastAsia" w:ascii="仿宋_GB2312" w:eastAsia="仿宋_GB2312"/>
          <w:b w:val="0"/>
          <w:i w:val="0"/>
          <w:caps w:val="0"/>
          <w:spacing w:val="0"/>
          <w:w w:val="100"/>
          <w:kern w:val="0"/>
          <w:sz w:val="32"/>
          <w:szCs w:val="32"/>
        </w:rPr>
        <w:t>2644.51</w:t>
      </w:r>
      <w:r>
        <w:rPr>
          <w:rFonts w:hint="eastAsia" w:ascii="仿宋_GB2312" w:eastAsia="仿宋_GB2312" w:cs="仿宋_GB2312"/>
          <w:b w:val="0"/>
          <w:i w:val="0"/>
          <w:caps w:val="0"/>
          <w:spacing w:val="0"/>
          <w:w w:val="100"/>
          <w:kern w:val="0"/>
          <w:sz w:val="32"/>
          <w:szCs w:val="32"/>
        </w:rPr>
        <w:t>万元，为本年度或以前年度</w:t>
      </w:r>
    </w:p>
    <w:p>
      <w:pPr>
        <w:snapToGrid/>
        <w:spacing w:before="0" w:beforeAutospacing="0" w:after="0" w:afterAutospacing="0" w:line="560" w:lineRule="exact"/>
        <w:jc w:val="both"/>
        <w:textAlignment w:val="baseline"/>
        <w:rPr>
          <w:rFonts w:ascii="仿宋_GB2312" w:hAnsi="黑体" w:eastAsia="仿宋_GB2312" w:cs="仿宋_GB2312"/>
          <w:b w:val="0"/>
          <w:i w:val="0"/>
          <w:caps w:val="0"/>
          <w:spacing w:val="0"/>
          <w:w w:val="100"/>
          <w:kern w:val="0"/>
          <w:sz w:val="32"/>
          <w:szCs w:val="32"/>
        </w:rPr>
      </w:pPr>
      <w:r>
        <w:rPr>
          <w:rFonts w:hint="eastAsia" w:ascii="仿宋_GB2312" w:eastAsia="仿宋_GB2312" w:cs="仿宋_GB2312"/>
          <w:b w:val="0"/>
          <w:i w:val="0"/>
          <w:caps w:val="0"/>
          <w:spacing w:val="0"/>
          <w:w w:val="100"/>
          <w:kern w:val="0"/>
          <w:sz w:val="32"/>
          <w:szCs w:val="32"/>
        </w:rPr>
        <w:t>预算安排、因客观条件发生变化无法按原计划实施，需要延迟到以后年度按有关规定继续使用的资金。</w:t>
      </w:r>
      <w:r>
        <w:rPr>
          <w:rFonts w:hint="eastAsia" w:ascii="仿宋_GB2312" w:hAnsi="黑体" w:eastAsia="仿宋_GB2312" w:cs="仿宋_GB2312"/>
          <w:b w:val="0"/>
          <w:i w:val="0"/>
          <w:caps w:val="0"/>
          <w:spacing w:val="0"/>
          <w:w w:val="100"/>
          <w:kern w:val="0"/>
          <w:sz w:val="32"/>
          <w:szCs w:val="32"/>
        </w:rPr>
        <w:t>较2020年度决算数511.4增加2133.11万元，增长417.11 %，主要原因是：2021年度“教育两费”（非基建类）项目因疫情、采购程序等原因未能及时执行。结转资金留待下年使用。</w:t>
      </w:r>
    </w:p>
    <w:p>
      <w:pPr>
        <w:snapToGrid/>
        <w:spacing w:before="0" w:beforeAutospacing="0" w:after="0" w:afterAutospacing="0" w:line="560" w:lineRule="exact"/>
        <w:ind w:firstLine="640" w:firstLineChars="200"/>
        <w:jc w:val="both"/>
        <w:textAlignment w:val="baseline"/>
        <w:rPr>
          <w:rFonts w:ascii="黑体" w:hAnsi="黑体" w:eastAsia="黑体" w:cs="仿宋_GB2312"/>
          <w:b w:val="0"/>
          <w:i w:val="0"/>
          <w:caps w:val="0"/>
          <w:spacing w:val="0"/>
          <w:w w:val="100"/>
          <w:kern w:val="0"/>
          <w:sz w:val="32"/>
          <w:szCs w:val="32"/>
        </w:rPr>
      </w:pPr>
      <w:r>
        <w:rPr>
          <w:rFonts w:hint="eastAsia" w:ascii="黑体" w:hAnsi="黑体" w:eastAsia="黑体" w:cs="仿宋_GB2312"/>
          <w:b w:val="0"/>
          <w:i w:val="0"/>
          <w:caps w:val="0"/>
          <w:spacing w:val="0"/>
          <w:w w:val="100"/>
          <w:kern w:val="0"/>
          <w:sz w:val="32"/>
          <w:szCs w:val="32"/>
        </w:rPr>
        <w:t>二、</w:t>
      </w:r>
      <w:r>
        <w:rPr>
          <w:rFonts w:hint="eastAsia" w:ascii="黑体" w:hAnsi="黑体" w:eastAsia="黑体"/>
          <w:b w:val="0"/>
          <w:i w:val="0"/>
          <w:caps w:val="0"/>
          <w:spacing w:val="0"/>
          <w:w w:val="100"/>
          <w:kern w:val="0"/>
          <w:sz w:val="32"/>
          <w:szCs w:val="32"/>
        </w:rPr>
        <w:t xml:space="preserve">2021 </w:t>
      </w:r>
      <w:r>
        <w:rPr>
          <w:rFonts w:hint="eastAsia" w:ascii="黑体" w:hAnsi="黑体" w:eastAsia="黑体" w:cs="仿宋_GB2312"/>
          <w:b w:val="0"/>
          <w:i w:val="0"/>
          <w:caps w:val="0"/>
          <w:spacing w:val="0"/>
          <w:w w:val="100"/>
          <w:kern w:val="0"/>
          <w:sz w:val="32"/>
          <w:szCs w:val="32"/>
        </w:rPr>
        <w:t>年度</w:t>
      </w:r>
      <w:r>
        <w:rPr>
          <w:rFonts w:hint="eastAsia" w:ascii="黑体" w:hAnsi="黑体" w:eastAsia="黑体"/>
          <w:b w:val="0"/>
          <w:i w:val="0"/>
          <w:caps w:val="0"/>
          <w:spacing w:val="0"/>
          <w:w w:val="100"/>
          <w:sz w:val="32"/>
          <w:szCs w:val="32"/>
        </w:rPr>
        <w:t>一般</w:t>
      </w:r>
      <w:r>
        <w:rPr>
          <w:rFonts w:hint="eastAsia" w:ascii="黑体" w:hAnsi="黑体" w:eastAsia="黑体" w:cs="仿宋_GB2312"/>
          <w:b w:val="0"/>
          <w:i w:val="0"/>
          <w:caps w:val="0"/>
          <w:spacing w:val="0"/>
          <w:w w:val="100"/>
          <w:kern w:val="0"/>
          <w:sz w:val="32"/>
          <w:szCs w:val="32"/>
        </w:rPr>
        <w:t>公共预算财政拨款支出决算情况</w:t>
      </w:r>
    </w:p>
    <w:p>
      <w:pPr>
        <w:snapToGrid/>
        <w:spacing w:before="0" w:beforeAutospacing="0" w:after="0" w:afterAutospacing="0" w:line="560" w:lineRule="exact"/>
        <w:ind w:firstLine="640" w:firstLineChars="200"/>
        <w:jc w:val="both"/>
        <w:textAlignment w:val="baseline"/>
        <w:rPr>
          <w:rFonts w:ascii="仿宋_GB2312" w:eastAsia="仿宋_GB2312" w:cs="仿宋_GB2312"/>
          <w:b w:val="0"/>
          <w:i w:val="0"/>
          <w:caps w:val="0"/>
          <w:spacing w:val="0"/>
          <w:w w:val="100"/>
          <w:kern w:val="0"/>
          <w:sz w:val="32"/>
          <w:szCs w:val="32"/>
        </w:rPr>
      </w:pPr>
      <w:r>
        <w:rPr>
          <w:rFonts w:hint="eastAsia" w:ascii="仿宋_GB2312" w:eastAsia="仿宋_GB2312" w:cs="仿宋_GB2312"/>
          <w:b w:val="0"/>
          <w:i w:val="0"/>
          <w:caps w:val="0"/>
          <w:spacing w:val="0"/>
          <w:w w:val="100"/>
          <w:kern w:val="0"/>
          <w:sz w:val="32"/>
          <w:szCs w:val="32"/>
        </w:rPr>
        <w:t>本单位</w:t>
      </w:r>
      <w:r>
        <w:rPr>
          <w:rFonts w:hint="eastAsia" w:ascii="仿宋_GB2312" w:eastAsia="仿宋_GB2312"/>
          <w:b w:val="0"/>
          <w:i w:val="0"/>
          <w:caps w:val="0"/>
          <w:spacing w:val="0"/>
          <w:w w:val="100"/>
          <w:kern w:val="0"/>
          <w:sz w:val="32"/>
          <w:szCs w:val="32"/>
        </w:rPr>
        <w:t>2021</w:t>
      </w:r>
      <w:r>
        <w:rPr>
          <w:rFonts w:hint="eastAsia" w:ascii="仿宋_GB2312" w:eastAsia="仿宋_GB2312" w:cs="仿宋_GB2312"/>
          <w:b w:val="0"/>
          <w:i w:val="0"/>
          <w:caps w:val="0"/>
          <w:spacing w:val="0"/>
          <w:w w:val="100"/>
          <w:kern w:val="0"/>
          <w:sz w:val="32"/>
          <w:szCs w:val="32"/>
        </w:rPr>
        <w:t>年度</w:t>
      </w:r>
      <w:r>
        <w:rPr>
          <w:rFonts w:hint="eastAsia" w:ascii="仿宋_GB2312" w:eastAsia="仿宋_GB2312"/>
          <w:b w:val="0"/>
          <w:i w:val="0"/>
          <w:caps w:val="0"/>
          <w:spacing w:val="0"/>
          <w:w w:val="100"/>
          <w:sz w:val="32"/>
          <w:szCs w:val="32"/>
        </w:rPr>
        <w:t>一般</w:t>
      </w:r>
      <w:r>
        <w:rPr>
          <w:rFonts w:hint="eastAsia" w:ascii="仿宋_GB2312" w:eastAsia="仿宋_GB2312" w:cs="仿宋_GB2312"/>
          <w:b w:val="0"/>
          <w:i w:val="0"/>
          <w:caps w:val="0"/>
          <w:spacing w:val="0"/>
          <w:w w:val="100"/>
          <w:kern w:val="0"/>
          <w:sz w:val="32"/>
          <w:szCs w:val="32"/>
        </w:rPr>
        <w:t>公共预算财政拨款支出633.52</w:t>
      </w:r>
      <w:r>
        <w:rPr>
          <w:rFonts w:hint="eastAsia" w:ascii="仿宋_GB2312" w:eastAsia="仿宋_GB2312"/>
          <w:b w:val="0"/>
          <w:i w:val="0"/>
          <w:caps w:val="0"/>
          <w:spacing w:val="0"/>
          <w:w w:val="100"/>
          <w:kern w:val="0"/>
          <w:sz w:val="32"/>
          <w:szCs w:val="32"/>
        </w:rPr>
        <w:t xml:space="preserve">  </w:t>
      </w:r>
      <w:r>
        <w:rPr>
          <w:rFonts w:hint="eastAsia" w:ascii="仿宋_GB2312" w:eastAsia="仿宋_GB2312" w:cs="仿宋_GB2312"/>
          <w:b w:val="0"/>
          <w:i w:val="0"/>
          <w:caps w:val="0"/>
          <w:spacing w:val="0"/>
          <w:w w:val="100"/>
          <w:kern w:val="0"/>
          <w:sz w:val="32"/>
          <w:szCs w:val="32"/>
        </w:rPr>
        <w:t>万元，</w:t>
      </w:r>
      <w:r>
        <w:rPr>
          <w:rFonts w:hint="eastAsia" w:ascii="仿宋_GB2312" w:hAnsi="黑体" w:eastAsia="仿宋_GB2312" w:cs="仿宋_GB2312"/>
          <w:b w:val="0"/>
          <w:i w:val="0"/>
          <w:caps w:val="0"/>
          <w:spacing w:val="0"/>
          <w:w w:val="100"/>
          <w:kern w:val="0"/>
          <w:sz w:val="32"/>
          <w:szCs w:val="32"/>
        </w:rPr>
        <w:t>较2020年度决算数减少7825.44万元，下降92.51%。</w:t>
      </w:r>
      <w:r>
        <w:rPr>
          <w:rFonts w:hint="eastAsia" w:ascii="仿宋_GB2312" w:eastAsia="仿宋_GB2312" w:cs="仿宋_GB2312"/>
          <w:b w:val="0"/>
          <w:i w:val="0"/>
          <w:caps w:val="0"/>
          <w:spacing w:val="0"/>
          <w:w w:val="100"/>
          <w:kern w:val="0"/>
          <w:sz w:val="32"/>
          <w:szCs w:val="32"/>
        </w:rPr>
        <w:t>其中：基本支出</w:t>
      </w:r>
      <w:r>
        <w:rPr>
          <w:rFonts w:hint="eastAsia" w:ascii="仿宋_GB2312" w:eastAsia="仿宋_GB2312"/>
          <w:b w:val="0"/>
          <w:i w:val="0"/>
          <w:caps w:val="0"/>
          <w:spacing w:val="0"/>
          <w:w w:val="100"/>
          <w:kern w:val="0"/>
          <w:sz w:val="32"/>
          <w:szCs w:val="32"/>
        </w:rPr>
        <w:t>269.03</w:t>
      </w:r>
      <w:r>
        <w:rPr>
          <w:rFonts w:hint="eastAsia" w:ascii="仿宋_GB2312" w:eastAsia="仿宋_GB2312" w:cs="仿宋_GB2312"/>
          <w:b w:val="0"/>
          <w:i w:val="0"/>
          <w:caps w:val="0"/>
          <w:spacing w:val="0"/>
          <w:w w:val="100"/>
          <w:kern w:val="0"/>
          <w:sz w:val="32"/>
          <w:szCs w:val="32"/>
        </w:rPr>
        <w:t>万元，项目支出</w:t>
      </w:r>
      <w:r>
        <w:rPr>
          <w:rFonts w:hint="eastAsia" w:ascii="仿宋_GB2312" w:eastAsia="仿宋_GB2312"/>
          <w:b w:val="0"/>
          <w:i w:val="0"/>
          <w:caps w:val="0"/>
          <w:spacing w:val="0"/>
          <w:w w:val="100"/>
          <w:kern w:val="0"/>
          <w:sz w:val="32"/>
          <w:szCs w:val="32"/>
        </w:rPr>
        <w:t>364.49</w:t>
      </w:r>
      <w:r>
        <w:rPr>
          <w:rFonts w:hint="eastAsia" w:ascii="仿宋_GB2312" w:eastAsia="仿宋_GB2312" w:cs="仿宋_GB2312"/>
          <w:b w:val="0"/>
          <w:i w:val="0"/>
          <w:caps w:val="0"/>
          <w:spacing w:val="0"/>
          <w:w w:val="100"/>
          <w:kern w:val="0"/>
          <w:sz w:val="32"/>
          <w:szCs w:val="32"/>
        </w:rPr>
        <w:t>万元。</w:t>
      </w:r>
    </w:p>
    <w:p>
      <w:pPr>
        <w:snapToGrid/>
        <w:spacing w:before="0" w:beforeAutospacing="0" w:after="0" w:afterAutospacing="0" w:line="560" w:lineRule="exact"/>
        <w:ind w:firstLine="640" w:firstLineChars="200"/>
        <w:jc w:val="both"/>
        <w:textAlignment w:val="baseline"/>
        <w:rPr>
          <w:rFonts w:ascii="仿宋_GB2312" w:hAnsi="黑体" w:eastAsia="仿宋_GB2312" w:cs="仿宋_GB2312"/>
          <w:b w:val="0"/>
          <w:i w:val="0"/>
          <w:caps w:val="0"/>
          <w:spacing w:val="0"/>
          <w:w w:val="100"/>
          <w:kern w:val="0"/>
          <w:sz w:val="32"/>
          <w:szCs w:val="32"/>
        </w:rPr>
      </w:pPr>
      <w:r>
        <w:rPr>
          <w:rFonts w:hint="eastAsia" w:ascii="仿宋_GB2312" w:eastAsia="仿宋_GB2312" w:cs="仿宋_GB2312"/>
          <w:b w:val="0"/>
          <w:i w:val="0"/>
          <w:caps w:val="0"/>
          <w:spacing w:val="0"/>
          <w:w w:val="100"/>
          <w:kern w:val="0"/>
          <w:sz w:val="32"/>
          <w:szCs w:val="32"/>
        </w:rPr>
        <w:t>本单位</w:t>
      </w:r>
      <w:r>
        <w:rPr>
          <w:rFonts w:hint="eastAsia" w:ascii="仿宋_GB2312" w:hAnsi="黑体" w:eastAsia="仿宋_GB2312"/>
          <w:b w:val="0"/>
          <w:i w:val="0"/>
          <w:caps w:val="0"/>
          <w:spacing w:val="0"/>
          <w:w w:val="100"/>
          <w:kern w:val="0"/>
          <w:sz w:val="32"/>
          <w:szCs w:val="32"/>
        </w:rPr>
        <w:t>2021</w:t>
      </w:r>
      <w:r>
        <w:rPr>
          <w:rFonts w:hint="eastAsia" w:ascii="仿宋_GB2312" w:hAnsi="黑体" w:eastAsia="仿宋_GB2312" w:cs="仿宋_GB2312"/>
          <w:b w:val="0"/>
          <w:i w:val="0"/>
          <w:caps w:val="0"/>
          <w:spacing w:val="0"/>
          <w:w w:val="100"/>
          <w:kern w:val="0"/>
          <w:sz w:val="32"/>
          <w:szCs w:val="32"/>
        </w:rPr>
        <w:t>年度</w:t>
      </w:r>
      <w:r>
        <w:rPr>
          <w:rFonts w:hint="eastAsia" w:ascii="仿宋_GB2312" w:hAnsi="黑体" w:eastAsia="仿宋_GB2312"/>
          <w:b w:val="0"/>
          <w:i w:val="0"/>
          <w:caps w:val="0"/>
          <w:spacing w:val="0"/>
          <w:w w:val="100"/>
          <w:sz w:val="32"/>
          <w:szCs w:val="32"/>
        </w:rPr>
        <w:t>一般</w:t>
      </w:r>
      <w:r>
        <w:rPr>
          <w:rFonts w:hint="eastAsia" w:ascii="仿宋_GB2312" w:hAnsi="黑体" w:eastAsia="仿宋_GB2312" w:cs="仿宋_GB2312"/>
          <w:b w:val="0"/>
          <w:i w:val="0"/>
          <w:caps w:val="0"/>
          <w:spacing w:val="0"/>
          <w:w w:val="100"/>
          <w:kern w:val="0"/>
          <w:sz w:val="32"/>
          <w:szCs w:val="32"/>
        </w:rPr>
        <w:t>公共预算财政拨款支出年初预算为206.43万元，支出决算为633.52万元，完成年初预算的306.89%。其中：</w:t>
      </w:r>
    </w:p>
    <w:p>
      <w:pPr>
        <w:snapToGrid/>
        <w:spacing w:before="0" w:beforeAutospacing="0" w:after="0" w:afterAutospacing="0" w:line="560" w:lineRule="exact"/>
        <w:ind w:firstLine="627" w:firstLineChars="196"/>
        <w:jc w:val="both"/>
        <w:textAlignment w:val="baseline"/>
        <w:rPr>
          <w:rFonts w:ascii="仿宋_GB2312" w:eastAsia="仿宋_GB2312" w:cs="仿宋_GB2312"/>
          <w:b w:val="0"/>
          <w:i w:val="0"/>
          <w:caps w:val="0"/>
          <w:spacing w:val="0"/>
          <w:w w:val="100"/>
          <w:kern w:val="0"/>
          <w:sz w:val="32"/>
          <w:szCs w:val="32"/>
          <w:highlight w:val="yellow"/>
        </w:rPr>
      </w:pPr>
      <w:r>
        <w:rPr>
          <w:rFonts w:hint="eastAsia" w:ascii="仿宋_GB2312" w:eastAsia="仿宋_GB2312"/>
          <w:b w:val="0"/>
          <w:bCs/>
          <w:i w:val="0"/>
          <w:caps w:val="0"/>
          <w:spacing w:val="0"/>
          <w:w w:val="100"/>
          <w:kern w:val="0"/>
          <w:sz w:val="32"/>
          <w:szCs w:val="32"/>
        </w:rPr>
        <w:t>（一）</w:t>
      </w:r>
      <w:r>
        <w:rPr>
          <w:rFonts w:hint="eastAsia" w:ascii="仿宋_GB2312" w:eastAsia="仿宋_GB2312" w:cs="仿宋_GB2312"/>
          <w:b w:val="0"/>
          <w:bCs/>
          <w:i w:val="0"/>
          <w:caps w:val="0"/>
          <w:spacing w:val="0"/>
          <w:w w:val="100"/>
          <w:kern w:val="0"/>
          <w:sz w:val="32"/>
          <w:szCs w:val="32"/>
        </w:rPr>
        <w:t>205类01款99项其他教育管理事务支出</w:t>
      </w:r>
      <w:r>
        <w:rPr>
          <w:rFonts w:hint="eastAsia" w:ascii="仿宋_GB2312" w:eastAsia="仿宋_GB2312" w:cs="仿宋_GB2312"/>
          <w:b w:val="0"/>
          <w:i w:val="0"/>
          <w:caps w:val="0"/>
          <w:spacing w:val="0"/>
          <w:w w:val="100"/>
          <w:kern w:val="0"/>
          <w:sz w:val="32"/>
          <w:szCs w:val="32"/>
        </w:rPr>
        <w:t>。</w:t>
      </w:r>
      <w:r>
        <w:rPr>
          <w:rFonts w:hint="eastAsia" w:ascii="仿宋_GB2312" w:hAnsi="黑体" w:eastAsia="仿宋_GB2312" w:cs="仿宋_GB2312"/>
          <w:b w:val="0"/>
          <w:i w:val="0"/>
          <w:caps w:val="0"/>
          <w:spacing w:val="0"/>
          <w:w w:val="100"/>
          <w:kern w:val="0"/>
          <w:sz w:val="32"/>
          <w:szCs w:val="32"/>
        </w:rPr>
        <w:t>年初预算为0万元，支出决算为27.45万元，</w:t>
      </w:r>
      <w:r>
        <w:rPr>
          <w:rFonts w:hint="eastAsia" w:ascii="仿宋_GB2312" w:eastAsia="仿宋_GB2312" w:cs="仿宋_GB2312"/>
          <w:b w:val="0"/>
          <w:i w:val="0"/>
          <w:caps w:val="0"/>
          <w:spacing w:val="0"/>
          <w:w w:val="100"/>
          <w:kern w:val="0"/>
          <w:sz w:val="32"/>
          <w:szCs w:val="32"/>
        </w:rPr>
        <w:t>主要原因</w:t>
      </w:r>
      <w:r>
        <w:rPr>
          <w:rFonts w:hint="eastAsia" w:ascii="仿宋_GB2312" w:eastAsia="仿宋_GB2312" w:cs="仿宋_GB2312"/>
          <w:b w:val="0"/>
          <w:i w:val="0"/>
          <w:caps w:val="0"/>
          <w:spacing w:val="0"/>
          <w:w w:val="100"/>
          <w:kern w:val="0"/>
          <w:sz w:val="32"/>
          <w:szCs w:val="32"/>
          <w:lang w:eastAsia="zh-CN"/>
        </w:rPr>
        <w:t>是：该支出无年初预算，于2021年补缴了</w:t>
      </w:r>
      <w:r>
        <w:rPr>
          <w:rFonts w:hint="eastAsia" w:ascii="仿宋_GB2312" w:eastAsia="仿宋_GB2312" w:cs="仿宋_GB2312"/>
          <w:b w:val="0"/>
          <w:i w:val="0"/>
          <w:caps w:val="0"/>
          <w:spacing w:val="0"/>
          <w:w w:val="100"/>
          <w:kern w:val="0"/>
          <w:sz w:val="32"/>
          <w:szCs w:val="32"/>
          <w:lang w:val="en-US" w:eastAsia="zh-CN"/>
        </w:rPr>
        <w:t>2019至2021年度的公务员医疗补助。</w:t>
      </w:r>
    </w:p>
    <w:p>
      <w:pPr>
        <w:snapToGrid/>
        <w:spacing w:before="0" w:beforeAutospacing="0" w:after="0" w:afterAutospacing="0" w:line="560" w:lineRule="exact"/>
        <w:ind w:firstLine="627" w:firstLineChars="196"/>
        <w:jc w:val="both"/>
        <w:textAlignment w:val="baseline"/>
        <w:rPr>
          <w:rFonts w:ascii="仿宋_GB2312" w:eastAsia="仿宋_GB2312" w:cs="仿宋_GB2312"/>
          <w:b w:val="0"/>
          <w:bCs/>
          <w:i w:val="0"/>
          <w:caps w:val="0"/>
          <w:spacing w:val="0"/>
          <w:w w:val="100"/>
          <w:kern w:val="0"/>
          <w:sz w:val="32"/>
          <w:szCs w:val="32"/>
        </w:rPr>
      </w:pPr>
      <w:r>
        <w:rPr>
          <w:rFonts w:hint="eastAsia" w:ascii="仿宋_GB2312" w:eastAsia="仿宋_GB2312" w:cs="仿宋_GB2312"/>
          <w:b w:val="0"/>
          <w:bCs/>
          <w:i w:val="0"/>
          <w:caps w:val="0"/>
          <w:spacing w:val="0"/>
          <w:w w:val="100"/>
          <w:kern w:val="0"/>
          <w:sz w:val="32"/>
          <w:szCs w:val="32"/>
        </w:rPr>
        <w:t>（二）205类02款99项其他普通教育支出。</w:t>
      </w:r>
      <w:r>
        <w:rPr>
          <w:rFonts w:hint="eastAsia" w:ascii="仿宋_GB2312" w:hAnsi="黑体" w:eastAsia="仿宋_GB2312" w:cs="仿宋_GB2312"/>
          <w:b w:val="0"/>
          <w:i w:val="0"/>
          <w:caps w:val="0"/>
          <w:spacing w:val="0"/>
          <w:w w:val="100"/>
          <w:kern w:val="0"/>
          <w:sz w:val="32"/>
          <w:szCs w:val="32"/>
        </w:rPr>
        <w:t>年初预算为0   万元，支出决算为390.3万元，</w:t>
      </w:r>
      <w:r>
        <w:rPr>
          <w:rFonts w:hint="eastAsia" w:ascii="仿宋_GB2312" w:eastAsia="仿宋_GB2312" w:cs="仿宋_GB2312"/>
          <w:b w:val="0"/>
          <w:i w:val="0"/>
          <w:caps w:val="0"/>
          <w:spacing w:val="0"/>
          <w:w w:val="100"/>
          <w:kern w:val="0"/>
          <w:sz w:val="32"/>
          <w:szCs w:val="32"/>
        </w:rPr>
        <w:t>主要原因</w:t>
      </w:r>
      <w:r>
        <w:rPr>
          <w:rFonts w:hint="eastAsia" w:ascii="仿宋_GB2312" w:eastAsia="仿宋_GB2312" w:cs="仿宋_GB2312"/>
          <w:b w:val="0"/>
          <w:i w:val="0"/>
          <w:caps w:val="0"/>
          <w:spacing w:val="0"/>
          <w:w w:val="100"/>
          <w:kern w:val="0"/>
          <w:sz w:val="32"/>
          <w:szCs w:val="32"/>
          <w:lang w:eastAsia="zh-CN"/>
        </w:rPr>
        <w:t>是使用了上年结余、根据年终财政对账数调账等。</w:t>
      </w:r>
    </w:p>
    <w:p>
      <w:pPr>
        <w:snapToGrid/>
        <w:spacing w:before="0" w:beforeAutospacing="0" w:after="0" w:afterAutospacing="0" w:line="560" w:lineRule="exact"/>
        <w:ind w:firstLine="640" w:firstLineChars="200"/>
        <w:jc w:val="both"/>
        <w:textAlignment w:val="baseline"/>
        <w:rPr>
          <w:rFonts w:ascii="仿宋_GB2312" w:eastAsia="仿宋_GB2312" w:cs="仿宋_GB2312"/>
          <w:b w:val="0"/>
          <w:bCs/>
          <w:i w:val="0"/>
          <w:caps w:val="0"/>
          <w:spacing w:val="0"/>
          <w:w w:val="100"/>
          <w:kern w:val="0"/>
          <w:sz w:val="32"/>
          <w:szCs w:val="32"/>
          <w:highlight w:val="yellow"/>
        </w:rPr>
      </w:pPr>
      <w:r>
        <w:rPr>
          <w:rFonts w:hint="eastAsia" w:ascii="仿宋_GB2312" w:eastAsia="仿宋_GB2312" w:cs="仿宋_GB2312"/>
          <w:b w:val="0"/>
          <w:i w:val="0"/>
          <w:caps w:val="0"/>
          <w:spacing w:val="0"/>
          <w:w w:val="100"/>
          <w:kern w:val="0"/>
          <w:sz w:val="32"/>
          <w:szCs w:val="32"/>
        </w:rPr>
        <w:t>（三）</w:t>
      </w:r>
      <w:r>
        <w:rPr>
          <w:rFonts w:hint="eastAsia" w:ascii="仿宋_GB2312" w:eastAsia="仿宋_GB2312" w:cs="仿宋_GB2312"/>
          <w:b w:val="0"/>
          <w:bCs/>
          <w:i w:val="0"/>
          <w:caps w:val="0"/>
          <w:spacing w:val="0"/>
          <w:w w:val="100"/>
          <w:kern w:val="0"/>
          <w:sz w:val="32"/>
          <w:szCs w:val="32"/>
        </w:rPr>
        <w:t>205类99款99项其他教育支出。年初预算为145.72万元，支出决算为175.36万元，完成年初预算的120.34%，主要原因</w:t>
      </w:r>
      <w:r>
        <w:rPr>
          <w:rFonts w:hint="eastAsia" w:ascii="仿宋_GB2312" w:eastAsia="仿宋_GB2312" w:cs="仿宋_GB2312"/>
          <w:b w:val="0"/>
          <w:bCs/>
          <w:i w:val="0"/>
          <w:caps w:val="0"/>
          <w:spacing w:val="0"/>
          <w:w w:val="100"/>
          <w:kern w:val="0"/>
          <w:sz w:val="32"/>
          <w:szCs w:val="32"/>
          <w:lang w:eastAsia="zh-CN"/>
        </w:rPr>
        <w:t>使用了上年结余。</w:t>
      </w:r>
    </w:p>
    <w:p>
      <w:pPr>
        <w:snapToGrid/>
        <w:spacing w:before="0" w:beforeAutospacing="0" w:after="0" w:afterAutospacing="0" w:line="560" w:lineRule="exact"/>
        <w:ind w:firstLine="627" w:firstLineChars="196"/>
        <w:jc w:val="both"/>
        <w:textAlignment w:val="baseline"/>
        <w:rPr>
          <w:rFonts w:ascii="仿宋_GB2312" w:eastAsia="仿宋_GB2312" w:cs="仿宋_GB2312"/>
          <w:b w:val="0"/>
          <w:bCs/>
          <w:i w:val="0"/>
          <w:caps w:val="0"/>
          <w:spacing w:val="0"/>
          <w:w w:val="100"/>
          <w:kern w:val="0"/>
          <w:sz w:val="32"/>
          <w:szCs w:val="32"/>
        </w:rPr>
      </w:pPr>
      <w:r>
        <w:rPr>
          <w:rFonts w:hint="eastAsia" w:ascii="仿宋_GB2312" w:eastAsia="仿宋_GB2312" w:cs="仿宋_GB2312"/>
          <w:b w:val="0"/>
          <w:bCs/>
          <w:i w:val="0"/>
          <w:caps w:val="0"/>
          <w:spacing w:val="0"/>
          <w:w w:val="100"/>
          <w:kern w:val="0"/>
          <w:sz w:val="32"/>
          <w:szCs w:val="32"/>
        </w:rPr>
        <w:t>（四）208类05款02项事业单位离退休。年初预算为11.93万元，支出决算为3.32万元，完成年初预算的27.83%，主要原因</w:t>
      </w:r>
      <w:r>
        <w:rPr>
          <w:rFonts w:hint="eastAsia" w:ascii="仿宋_GB2312" w:eastAsia="仿宋_GB2312" w:cs="仿宋_GB2312"/>
          <w:b w:val="0"/>
          <w:bCs/>
          <w:i w:val="0"/>
          <w:caps w:val="0"/>
          <w:spacing w:val="0"/>
          <w:w w:val="100"/>
          <w:kern w:val="0"/>
          <w:sz w:val="32"/>
          <w:szCs w:val="32"/>
          <w:lang w:eastAsia="zh-CN"/>
        </w:rPr>
        <w:t>是</w:t>
      </w:r>
      <w:r>
        <w:rPr>
          <w:rFonts w:hint="eastAsia" w:ascii="仿宋_GB2312" w:eastAsia="仿宋_GB2312" w:cs="仿宋_GB2312"/>
          <w:b w:val="0"/>
          <w:i w:val="0"/>
          <w:caps w:val="0"/>
          <w:spacing w:val="0"/>
          <w:w w:val="100"/>
          <w:kern w:val="0"/>
          <w:sz w:val="32"/>
          <w:szCs w:val="32"/>
          <w:lang w:eastAsia="zh-CN"/>
        </w:rPr>
        <w:t>根据年终财政对账数调账等。</w:t>
      </w:r>
    </w:p>
    <w:p>
      <w:pPr>
        <w:snapToGrid/>
        <w:spacing w:before="0" w:beforeAutospacing="0" w:after="0" w:afterAutospacing="0" w:line="560" w:lineRule="exact"/>
        <w:ind w:firstLine="627" w:firstLineChars="196"/>
        <w:jc w:val="both"/>
        <w:textAlignment w:val="baseline"/>
        <w:rPr>
          <w:rFonts w:ascii="仿宋_GB2312" w:hAnsi="黑体" w:eastAsia="仿宋_GB2312" w:cs="仿宋_GB2312"/>
          <w:b w:val="0"/>
          <w:i w:val="0"/>
          <w:caps w:val="0"/>
          <w:spacing w:val="0"/>
          <w:w w:val="100"/>
          <w:kern w:val="0"/>
          <w:sz w:val="32"/>
          <w:szCs w:val="32"/>
        </w:rPr>
      </w:pPr>
      <w:r>
        <w:rPr>
          <w:rFonts w:hint="eastAsia" w:ascii="仿宋_GB2312" w:eastAsia="仿宋_GB2312" w:cs="仿宋_GB2312"/>
          <w:b w:val="0"/>
          <w:bCs/>
          <w:i w:val="0"/>
          <w:caps w:val="0"/>
          <w:spacing w:val="0"/>
          <w:w w:val="100"/>
          <w:kern w:val="0"/>
          <w:sz w:val="32"/>
          <w:szCs w:val="32"/>
        </w:rPr>
        <w:t>（五）208类05款05项机关事业单位基本养老保险缴费支出。年初预算为17.79万元，支出决算为7.83万元，完成年初预算的44.01%，主要原因</w:t>
      </w:r>
      <w:r>
        <w:rPr>
          <w:rFonts w:hint="eastAsia" w:ascii="仿宋_GB2312" w:eastAsia="仿宋_GB2312" w:cs="仿宋_GB2312"/>
          <w:b w:val="0"/>
          <w:bCs/>
          <w:i w:val="0"/>
          <w:caps w:val="0"/>
          <w:spacing w:val="0"/>
          <w:w w:val="100"/>
          <w:kern w:val="0"/>
          <w:sz w:val="32"/>
          <w:szCs w:val="32"/>
          <w:lang w:eastAsia="zh-CN"/>
        </w:rPr>
        <w:t>是</w:t>
      </w:r>
      <w:r>
        <w:rPr>
          <w:rFonts w:hint="eastAsia" w:ascii="仿宋_GB2312" w:hAnsi="黑体" w:eastAsia="仿宋_GB2312" w:cs="仿宋_GB2312"/>
          <w:b w:val="0"/>
          <w:i w:val="0"/>
          <w:caps w:val="0"/>
          <w:spacing w:val="0"/>
          <w:w w:val="100"/>
          <w:kern w:val="0"/>
          <w:sz w:val="32"/>
          <w:szCs w:val="32"/>
          <w:lang w:eastAsia="zh-CN"/>
        </w:rPr>
        <w:t>按照相关规定正常缴纳，属于正常开支范围、</w:t>
      </w:r>
      <w:r>
        <w:rPr>
          <w:rFonts w:hint="eastAsia" w:ascii="仿宋_GB2312" w:eastAsia="仿宋_GB2312" w:cs="仿宋_GB2312"/>
          <w:b w:val="0"/>
          <w:i w:val="0"/>
          <w:caps w:val="0"/>
          <w:spacing w:val="0"/>
          <w:w w:val="100"/>
          <w:kern w:val="0"/>
          <w:sz w:val="32"/>
          <w:szCs w:val="32"/>
          <w:lang w:eastAsia="zh-CN"/>
        </w:rPr>
        <w:t>根据年终财政对账数调账等。</w:t>
      </w:r>
    </w:p>
    <w:p>
      <w:pPr>
        <w:snapToGrid/>
        <w:spacing w:before="0" w:beforeAutospacing="0" w:after="0" w:afterAutospacing="0" w:line="560" w:lineRule="exact"/>
        <w:ind w:firstLine="627" w:firstLineChars="196"/>
        <w:jc w:val="both"/>
        <w:textAlignment w:val="baseline"/>
        <w:rPr>
          <w:rFonts w:ascii="仿宋_GB2312" w:eastAsia="仿宋_GB2312" w:cs="仿宋_GB2312"/>
          <w:b w:val="0"/>
          <w:bCs/>
          <w:i w:val="0"/>
          <w:caps w:val="0"/>
          <w:spacing w:val="0"/>
          <w:w w:val="100"/>
          <w:kern w:val="0"/>
          <w:sz w:val="32"/>
          <w:szCs w:val="32"/>
        </w:rPr>
      </w:pPr>
      <w:r>
        <w:rPr>
          <w:rFonts w:hint="eastAsia" w:ascii="仿宋_GB2312" w:eastAsia="仿宋_GB2312" w:cs="仿宋_GB2312"/>
          <w:b w:val="0"/>
          <w:bCs/>
          <w:i w:val="0"/>
          <w:caps w:val="0"/>
          <w:spacing w:val="0"/>
          <w:w w:val="100"/>
          <w:kern w:val="0"/>
          <w:sz w:val="32"/>
          <w:szCs w:val="32"/>
        </w:rPr>
        <w:t>（六）208类05款06项机关事业单位职业年金缴费支出。年初预算为8.90万元，支出决算为3.23万元，完成年初预算的36.29%，主要</w:t>
      </w:r>
      <w:r>
        <w:rPr>
          <w:rFonts w:hint="eastAsia" w:ascii="仿宋_GB2312" w:eastAsia="仿宋_GB2312" w:cs="仿宋_GB2312"/>
          <w:b w:val="0"/>
          <w:bCs/>
          <w:i w:val="0"/>
          <w:caps w:val="0"/>
          <w:spacing w:val="0"/>
          <w:w w:val="100"/>
          <w:kern w:val="0"/>
          <w:sz w:val="32"/>
          <w:szCs w:val="32"/>
          <w:lang w:eastAsia="zh-CN"/>
        </w:rPr>
        <w:t>原因是</w:t>
      </w:r>
      <w:r>
        <w:rPr>
          <w:rFonts w:hint="eastAsia" w:ascii="仿宋_GB2312" w:hAnsi="黑体" w:eastAsia="仿宋_GB2312" w:cs="仿宋_GB2312"/>
          <w:b w:val="0"/>
          <w:i w:val="0"/>
          <w:caps w:val="0"/>
          <w:spacing w:val="0"/>
          <w:w w:val="100"/>
          <w:kern w:val="0"/>
          <w:sz w:val="32"/>
          <w:szCs w:val="32"/>
          <w:lang w:eastAsia="zh-CN"/>
        </w:rPr>
        <w:t>按照相关规定正常缴纳，属于正常开支范围、</w:t>
      </w:r>
      <w:r>
        <w:rPr>
          <w:rFonts w:hint="eastAsia" w:ascii="仿宋_GB2312" w:eastAsia="仿宋_GB2312" w:cs="仿宋_GB2312"/>
          <w:b w:val="0"/>
          <w:i w:val="0"/>
          <w:caps w:val="0"/>
          <w:spacing w:val="0"/>
          <w:w w:val="100"/>
          <w:kern w:val="0"/>
          <w:sz w:val="32"/>
          <w:szCs w:val="32"/>
          <w:lang w:eastAsia="zh-CN"/>
        </w:rPr>
        <w:t>根据年终财政对账数调账等。</w:t>
      </w:r>
    </w:p>
    <w:p>
      <w:pPr>
        <w:snapToGrid/>
        <w:spacing w:before="0" w:beforeAutospacing="0" w:after="0" w:afterAutospacing="0" w:line="560" w:lineRule="exact"/>
        <w:ind w:firstLine="627" w:firstLineChars="196"/>
        <w:jc w:val="both"/>
        <w:textAlignment w:val="baseline"/>
        <w:rPr>
          <w:rFonts w:hint="eastAsia" w:ascii="仿宋_GB2312" w:eastAsia="仿宋_GB2312" w:cs="仿宋_GB2312"/>
          <w:b w:val="0"/>
          <w:bCs/>
          <w:i w:val="0"/>
          <w:caps w:val="0"/>
          <w:spacing w:val="0"/>
          <w:w w:val="100"/>
          <w:kern w:val="0"/>
          <w:sz w:val="32"/>
          <w:szCs w:val="32"/>
          <w:lang w:eastAsia="zh-CN"/>
        </w:rPr>
      </w:pPr>
      <w:r>
        <w:rPr>
          <w:rFonts w:hint="eastAsia" w:ascii="仿宋_GB2312" w:eastAsia="仿宋_GB2312" w:cs="仿宋_GB2312"/>
          <w:b w:val="0"/>
          <w:bCs/>
          <w:i w:val="0"/>
          <w:caps w:val="0"/>
          <w:spacing w:val="0"/>
          <w:w w:val="100"/>
          <w:kern w:val="0"/>
          <w:sz w:val="32"/>
          <w:szCs w:val="32"/>
        </w:rPr>
        <w:t>（七）210类11款02项事业单位医疗。年初预算为8.75万元，支出决算为9.52万元，完成年初预算的108.80%，</w:t>
      </w:r>
      <w:r>
        <w:rPr>
          <w:rFonts w:hint="eastAsia" w:ascii="仿宋_GB2312" w:eastAsia="仿宋_GB2312" w:cs="仿宋_GB2312"/>
          <w:b w:val="0"/>
          <w:bCs/>
          <w:i w:val="0"/>
          <w:caps w:val="0"/>
          <w:spacing w:val="0"/>
          <w:w w:val="100"/>
          <w:kern w:val="0"/>
          <w:sz w:val="32"/>
          <w:szCs w:val="32"/>
          <w:lang w:eastAsia="zh-CN"/>
        </w:rPr>
        <w:t>，使用了上年结余，按照相关规定正常缴纳，属于正常开支范围。。</w:t>
      </w:r>
    </w:p>
    <w:p>
      <w:pPr>
        <w:snapToGrid/>
        <w:spacing w:before="0" w:beforeAutospacing="0" w:after="0" w:afterAutospacing="0" w:line="560" w:lineRule="exact"/>
        <w:ind w:firstLine="627" w:firstLineChars="196"/>
        <w:jc w:val="both"/>
        <w:textAlignment w:val="baseline"/>
        <w:rPr>
          <w:rFonts w:ascii="仿宋_GB2312" w:hAnsi="黑体" w:eastAsia="仿宋_GB2312" w:cs="仿宋_GB2312"/>
          <w:b w:val="0"/>
          <w:i w:val="0"/>
          <w:caps w:val="0"/>
          <w:spacing w:val="0"/>
          <w:w w:val="100"/>
          <w:kern w:val="0"/>
          <w:sz w:val="32"/>
          <w:szCs w:val="32"/>
          <w:highlight w:val="yellow"/>
        </w:rPr>
      </w:pPr>
      <w:r>
        <w:rPr>
          <w:rFonts w:hint="eastAsia" w:ascii="仿宋_GB2312" w:eastAsia="仿宋_GB2312" w:cs="仿宋_GB2312"/>
          <w:b w:val="0"/>
          <w:bCs/>
          <w:i w:val="0"/>
          <w:caps w:val="0"/>
          <w:spacing w:val="0"/>
          <w:w w:val="100"/>
          <w:kern w:val="0"/>
          <w:sz w:val="32"/>
          <w:szCs w:val="32"/>
        </w:rPr>
        <w:t>（八）221类02款01项住房公积金。年初预算为13.34万元，支出决算为16.5万元，完成年初预算的123.69%，主要原因</w:t>
      </w:r>
      <w:r>
        <w:rPr>
          <w:rFonts w:hint="eastAsia" w:ascii="仿宋_GB2312" w:eastAsia="仿宋_GB2312" w:cs="仿宋_GB2312"/>
          <w:b w:val="0"/>
          <w:bCs/>
          <w:i w:val="0"/>
          <w:caps w:val="0"/>
          <w:spacing w:val="0"/>
          <w:w w:val="100"/>
          <w:kern w:val="0"/>
          <w:sz w:val="32"/>
          <w:szCs w:val="32"/>
          <w:lang w:eastAsia="zh-CN"/>
        </w:rPr>
        <w:t>是使用了上年结余，</w:t>
      </w:r>
      <w:r>
        <w:rPr>
          <w:rFonts w:hint="eastAsia" w:ascii="仿宋_GB2312" w:hAnsi="黑体" w:eastAsia="仿宋_GB2312" w:cs="仿宋_GB2312"/>
          <w:b w:val="0"/>
          <w:i w:val="0"/>
          <w:caps w:val="0"/>
          <w:spacing w:val="0"/>
          <w:w w:val="100"/>
          <w:kern w:val="0"/>
          <w:sz w:val="32"/>
          <w:szCs w:val="32"/>
          <w:lang w:eastAsia="zh-CN"/>
        </w:rPr>
        <w:t>按照相关规定正常缴纳，属于正常开支范围。</w:t>
      </w:r>
    </w:p>
    <w:p>
      <w:pPr>
        <w:snapToGrid/>
        <w:spacing w:before="0" w:beforeAutospacing="0" w:after="0" w:afterAutospacing="0" w:line="560" w:lineRule="exact"/>
        <w:ind w:firstLine="640" w:firstLineChars="200"/>
        <w:jc w:val="both"/>
        <w:textAlignment w:val="baseline"/>
        <w:rPr>
          <w:rFonts w:ascii="黑体" w:hAnsi="黑体" w:eastAsia="黑体" w:cs="仿宋_GB2312"/>
          <w:b w:val="0"/>
          <w:i w:val="0"/>
          <w:caps w:val="0"/>
          <w:spacing w:val="0"/>
          <w:w w:val="100"/>
          <w:kern w:val="0"/>
          <w:sz w:val="32"/>
          <w:szCs w:val="32"/>
        </w:rPr>
      </w:pPr>
      <w:r>
        <w:rPr>
          <w:rFonts w:hint="eastAsia" w:ascii="黑体" w:hAnsi="黑体" w:eastAsia="黑体" w:cs="仿宋_GB2312"/>
          <w:b w:val="0"/>
          <w:i w:val="0"/>
          <w:caps w:val="0"/>
          <w:spacing w:val="0"/>
          <w:w w:val="100"/>
          <w:kern w:val="0"/>
          <w:sz w:val="32"/>
          <w:szCs w:val="32"/>
        </w:rPr>
        <w:t>三、2021年度一般公共预算财政拨款基本支出决算情况说明</w:t>
      </w:r>
    </w:p>
    <w:p>
      <w:pPr>
        <w:snapToGrid/>
        <w:spacing w:before="0" w:beforeAutospacing="0" w:after="0" w:afterAutospacing="0" w:line="560" w:lineRule="exact"/>
        <w:ind w:firstLine="640" w:firstLineChars="200"/>
        <w:jc w:val="both"/>
        <w:textAlignment w:val="baseline"/>
        <w:rPr>
          <w:rFonts w:ascii="仿宋_GB2312" w:eastAsia="仿宋_GB2312" w:cs="仿宋_GB2312"/>
          <w:b w:val="0"/>
          <w:i w:val="0"/>
          <w:caps w:val="0"/>
          <w:spacing w:val="0"/>
          <w:w w:val="100"/>
          <w:kern w:val="0"/>
          <w:sz w:val="32"/>
          <w:szCs w:val="32"/>
        </w:rPr>
      </w:pPr>
      <w:r>
        <w:rPr>
          <w:rFonts w:hint="eastAsia" w:ascii="仿宋_GB2312" w:eastAsia="仿宋_GB2312" w:cs="仿宋_GB2312"/>
          <w:b w:val="0"/>
          <w:i w:val="0"/>
          <w:caps w:val="0"/>
          <w:spacing w:val="0"/>
          <w:w w:val="100"/>
          <w:kern w:val="0"/>
          <w:sz w:val="32"/>
          <w:szCs w:val="32"/>
        </w:rPr>
        <w:t>本单位2021年度</w:t>
      </w:r>
      <w:r>
        <w:rPr>
          <w:rFonts w:hint="eastAsia" w:ascii="仿宋_GB2312" w:eastAsia="仿宋_GB2312"/>
          <w:b w:val="0"/>
          <w:i w:val="0"/>
          <w:caps w:val="0"/>
          <w:spacing w:val="0"/>
          <w:w w:val="100"/>
          <w:sz w:val="32"/>
          <w:szCs w:val="32"/>
        </w:rPr>
        <w:t>一般</w:t>
      </w:r>
      <w:r>
        <w:rPr>
          <w:rFonts w:hint="eastAsia" w:ascii="仿宋_GB2312" w:eastAsia="仿宋_GB2312" w:cs="仿宋_GB2312"/>
          <w:b w:val="0"/>
          <w:i w:val="0"/>
          <w:caps w:val="0"/>
          <w:spacing w:val="0"/>
          <w:w w:val="100"/>
          <w:kern w:val="0"/>
          <w:sz w:val="32"/>
          <w:szCs w:val="32"/>
        </w:rPr>
        <w:t>公共预算财政拨款基本支出269.03万元，支出具体情况如下：</w:t>
      </w:r>
    </w:p>
    <w:p>
      <w:pPr>
        <w:snapToGrid/>
        <w:spacing w:before="0" w:beforeAutospacing="0" w:after="0" w:afterAutospacing="0" w:line="560" w:lineRule="exact"/>
        <w:ind w:firstLine="640" w:firstLineChars="200"/>
        <w:jc w:val="both"/>
        <w:textAlignment w:val="baseline"/>
        <w:rPr>
          <w:rFonts w:hint="eastAsia" w:ascii="仿宋_GB2312" w:eastAsia="仿宋_GB2312"/>
          <w:b w:val="0"/>
          <w:bCs/>
          <w:i w:val="0"/>
          <w:caps w:val="0"/>
          <w:spacing w:val="0"/>
          <w:w w:val="100"/>
          <w:kern w:val="0"/>
          <w:sz w:val="32"/>
          <w:szCs w:val="32"/>
        </w:rPr>
      </w:pPr>
      <w:r>
        <w:rPr>
          <w:rFonts w:hint="eastAsia" w:ascii="仿宋_GB2312" w:eastAsia="仿宋_GB2312"/>
          <w:b w:val="0"/>
          <w:bCs/>
          <w:i w:val="0"/>
          <w:caps w:val="0"/>
          <w:spacing w:val="0"/>
          <w:w w:val="100"/>
          <w:kern w:val="0"/>
          <w:sz w:val="32"/>
          <w:szCs w:val="32"/>
          <w:lang w:eastAsia="zh-CN"/>
        </w:rPr>
        <w:t>（一）</w:t>
      </w:r>
      <w:r>
        <w:rPr>
          <w:rFonts w:hint="eastAsia" w:ascii="仿宋_GB2312" w:eastAsia="仿宋_GB2312"/>
          <w:b w:val="0"/>
          <w:bCs/>
          <w:i w:val="0"/>
          <w:caps w:val="0"/>
          <w:spacing w:val="0"/>
          <w:w w:val="100"/>
          <w:kern w:val="0"/>
          <w:sz w:val="32"/>
          <w:szCs w:val="32"/>
        </w:rPr>
        <w:t>工资福利支出240.13万元，完成年初预算的146.33 %。主要原因</w:t>
      </w:r>
      <w:r>
        <w:rPr>
          <w:rFonts w:hint="eastAsia" w:ascii="仿宋_GB2312" w:eastAsia="仿宋_GB2312"/>
          <w:b w:val="0"/>
          <w:bCs/>
          <w:i w:val="0"/>
          <w:caps w:val="0"/>
          <w:spacing w:val="0"/>
          <w:w w:val="100"/>
          <w:kern w:val="0"/>
          <w:sz w:val="32"/>
          <w:szCs w:val="32"/>
          <w:lang w:eastAsia="zh-CN"/>
        </w:rPr>
        <w:t>是财政年中增加预算，属于正常开支范围。</w:t>
      </w:r>
    </w:p>
    <w:p>
      <w:pPr>
        <w:snapToGrid/>
        <w:spacing w:before="0" w:beforeAutospacing="0" w:after="0" w:afterAutospacing="0" w:line="560" w:lineRule="exact"/>
        <w:ind w:firstLine="640" w:firstLineChars="200"/>
        <w:jc w:val="both"/>
        <w:textAlignment w:val="baseline"/>
        <w:rPr>
          <w:rFonts w:ascii="仿宋_GB2312" w:eastAsia="仿宋_GB2312"/>
          <w:b w:val="0"/>
          <w:bCs/>
          <w:i w:val="0"/>
          <w:caps w:val="0"/>
          <w:spacing w:val="0"/>
          <w:w w:val="100"/>
          <w:kern w:val="0"/>
          <w:sz w:val="32"/>
          <w:szCs w:val="32"/>
        </w:rPr>
      </w:pPr>
      <w:r>
        <w:rPr>
          <w:rFonts w:hint="eastAsia" w:ascii="仿宋_GB2312" w:eastAsia="仿宋_GB2312"/>
          <w:b w:val="0"/>
          <w:bCs/>
          <w:i w:val="0"/>
          <w:caps w:val="0"/>
          <w:spacing w:val="0"/>
          <w:w w:val="100"/>
          <w:kern w:val="0"/>
          <w:sz w:val="32"/>
          <w:szCs w:val="32"/>
        </w:rPr>
        <w:t>（二）商品和服务支出12.65万元，完成年初预算的66.09%。主要原因属于</w:t>
      </w:r>
      <w:r>
        <w:rPr>
          <w:rFonts w:hint="eastAsia" w:ascii="仿宋_GB2312" w:eastAsia="仿宋_GB2312"/>
          <w:b w:val="0"/>
          <w:bCs/>
          <w:i w:val="0"/>
          <w:caps w:val="0"/>
          <w:spacing w:val="0"/>
          <w:w w:val="100"/>
          <w:kern w:val="0"/>
          <w:sz w:val="32"/>
          <w:szCs w:val="32"/>
          <w:lang w:eastAsia="zh-CN"/>
        </w:rPr>
        <w:t>正常开始范围，结余留待下年使用。</w:t>
      </w:r>
    </w:p>
    <w:p>
      <w:pPr>
        <w:snapToGrid/>
        <w:spacing w:before="0" w:beforeAutospacing="0" w:after="0" w:afterAutospacing="0" w:line="560" w:lineRule="exact"/>
        <w:ind w:firstLine="640" w:firstLineChars="200"/>
        <w:jc w:val="both"/>
        <w:textAlignment w:val="baseline"/>
        <w:rPr>
          <w:rFonts w:ascii="仿宋_GB2312" w:eastAsia="仿宋_GB2312"/>
          <w:b w:val="0"/>
          <w:bCs/>
          <w:i w:val="0"/>
          <w:caps w:val="0"/>
          <w:spacing w:val="0"/>
          <w:w w:val="100"/>
          <w:kern w:val="0"/>
          <w:sz w:val="32"/>
          <w:szCs w:val="32"/>
        </w:rPr>
      </w:pPr>
      <w:r>
        <w:rPr>
          <w:rFonts w:hint="eastAsia" w:ascii="仿宋_GB2312" w:eastAsia="仿宋_GB2312"/>
          <w:b w:val="0"/>
          <w:bCs/>
          <w:i w:val="0"/>
          <w:caps w:val="0"/>
          <w:spacing w:val="0"/>
          <w:w w:val="100"/>
          <w:kern w:val="0"/>
          <w:sz w:val="32"/>
          <w:szCs w:val="32"/>
        </w:rPr>
        <w:t>（三）对个人和家庭的补助支出16.24万元，完成年初预算的152.78%。主要原因</w:t>
      </w:r>
      <w:r>
        <w:rPr>
          <w:rFonts w:hint="eastAsia" w:ascii="仿宋_GB2312" w:eastAsia="仿宋_GB2312"/>
          <w:b w:val="0"/>
          <w:bCs/>
          <w:i w:val="0"/>
          <w:caps w:val="0"/>
          <w:spacing w:val="0"/>
          <w:w w:val="100"/>
          <w:kern w:val="0"/>
          <w:sz w:val="32"/>
          <w:szCs w:val="32"/>
          <w:lang w:eastAsia="zh-CN"/>
        </w:rPr>
        <w:t>是发放了</w:t>
      </w:r>
      <w:r>
        <w:rPr>
          <w:rFonts w:hint="eastAsia" w:ascii="仿宋_GB2312" w:eastAsia="仿宋_GB2312"/>
          <w:b w:val="0"/>
          <w:bCs/>
          <w:i w:val="0"/>
          <w:caps w:val="0"/>
          <w:spacing w:val="0"/>
          <w:w w:val="100"/>
          <w:kern w:val="0"/>
          <w:sz w:val="32"/>
          <w:szCs w:val="32"/>
          <w:lang w:val="en-US" w:eastAsia="zh-CN"/>
        </w:rPr>
        <w:t>2018至2021年发驻村扶贫人员乡镇工作补贴、艰苦边远地区津贴。该津贴无年初预算，为财政年中下达。</w:t>
      </w:r>
    </w:p>
    <w:p>
      <w:pPr>
        <w:snapToGrid/>
        <w:spacing w:before="0" w:beforeAutospacing="0" w:after="0" w:afterAutospacing="0" w:line="560" w:lineRule="exact"/>
        <w:ind w:firstLine="640" w:firstLineChars="200"/>
        <w:jc w:val="both"/>
        <w:textAlignment w:val="baseline"/>
        <w:rPr>
          <w:rFonts w:ascii="黑体" w:hAnsi="黑体" w:eastAsia="黑体" w:cs="仿宋_GB2312"/>
          <w:b w:val="0"/>
          <w:i w:val="0"/>
          <w:caps w:val="0"/>
          <w:spacing w:val="0"/>
          <w:w w:val="100"/>
          <w:kern w:val="0"/>
          <w:sz w:val="32"/>
          <w:szCs w:val="32"/>
        </w:rPr>
      </w:pPr>
      <w:r>
        <w:rPr>
          <w:rFonts w:hint="eastAsia" w:ascii="黑体" w:hAnsi="黑体" w:eastAsia="黑体" w:cs="仿宋_GB2312"/>
          <w:b w:val="0"/>
          <w:i w:val="0"/>
          <w:caps w:val="0"/>
          <w:spacing w:val="0"/>
          <w:w w:val="100"/>
          <w:kern w:val="0"/>
          <w:sz w:val="32"/>
          <w:szCs w:val="32"/>
        </w:rPr>
        <w:t>四、2021年度政府性基金支出决算情况</w:t>
      </w:r>
    </w:p>
    <w:p>
      <w:pPr>
        <w:snapToGrid/>
        <w:spacing w:before="0" w:beforeAutospacing="0" w:after="0" w:afterAutospacing="0" w:line="560" w:lineRule="exact"/>
        <w:ind w:firstLine="640" w:firstLineChars="200"/>
        <w:jc w:val="both"/>
        <w:textAlignment w:val="baseline"/>
        <w:rPr>
          <w:rFonts w:ascii="仿宋_GB2312" w:eastAsia="仿宋_GB2312" w:cs="仿宋_GB2312"/>
          <w:b w:val="0"/>
          <w:i w:val="0"/>
          <w:caps w:val="0"/>
          <w:spacing w:val="0"/>
          <w:w w:val="100"/>
          <w:kern w:val="0"/>
          <w:sz w:val="32"/>
          <w:szCs w:val="32"/>
        </w:rPr>
      </w:pPr>
      <w:r>
        <w:rPr>
          <w:rFonts w:hint="eastAsia" w:ascii="仿宋_GB2312" w:eastAsia="仿宋_GB2312" w:cs="仿宋_GB2312"/>
          <w:b w:val="0"/>
          <w:i w:val="0"/>
          <w:caps w:val="0"/>
          <w:spacing w:val="0"/>
          <w:w w:val="100"/>
          <w:kern w:val="0"/>
          <w:sz w:val="32"/>
          <w:szCs w:val="32"/>
        </w:rPr>
        <w:t>本单位2021年度无政府性基金收入，亦无政府性基金安排的支出，故无数据情况说明。</w:t>
      </w:r>
    </w:p>
    <w:p>
      <w:pPr>
        <w:snapToGrid/>
        <w:spacing w:before="0" w:beforeAutospacing="0" w:after="0" w:afterAutospacing="0" w:line="560" w:lineRule="exact"/>
        <w:ind w:firstLine="640" w:firstLineChars="200"/>
        <w:jc w:val="both"/>
        <w:textAlignment w:val="baseline"/>
        <w:rPr>
          <w:rFonts w:ascii="黑体" w:hAnsi="黑体" w:eastAsia="黑体" w:cs="仿宋_GB2312"/>
          <w:b w:val="0"/>
          <w:i w:val="0"/>
          <w:caps w:val="0"/>
          <w:spacing w:val="0"/>
          <w:w w:val="100"/>
          <w:kern w:val="0"/>
          <w:sz w:val="32"/>
          <w:szCs w:val="32"/>
        </w:rPr>
      </w:pPr>
      <w:r>
        <w:rPr>
          <w:rFonts w:hint="eastAsia" w:ascii="黑体" w:hAnsi="黑体" w:eastAsia="黑体" w:cs="仿宋_GB2312"/>
          <w:b w:val="0"/>
          <w:i w:val="0"/>
          <w:caps w:val="0"/>
          <w:spacing w:val="0"/>
          <w:w w:val="100"/>
          <w:kern w:val="0"/>
          <w:sz w:val="32"/>
          <w:szCs w:val="32"/>
        </w:rPr>
        <w:t>五、2021年度国有资本经营预算支出决算情况</w:t>
      </w:r>
    </w:p>
    <w:p>
      <w:pPr>
        <w:snapToGrid/>
        <w:spacing w:before="0" w:beforeAutospacing="0" w:after="0" w:afterAutospacing="0" w:line="560" w:lineRule="exact"/>
        <w:ind w:firstLine="640" w:firstLineChars="200"/>
        <w:jc w:val="both"/>
        <w:textAlignment w:val="baseline"/>
        <w:rPr>
          <w:rFonts w:ascii="仿宋_GB2312" w:eastAsia="仿宋_GB2312" w:cs="仿宋_GB2312"/>
          <w:b w:val="0"/>
          <w:i w:val="0"/>
          <w:caps w:val="0"/>
          <w:spacing w:val="0"/>
          <w:w w:val="100"/>
          <w:kern w:val="0"/>
          <w:sz w:val="32"/>
          <w:szCs w:val="32"/>
        </w:rPr>
      </w:pPr>
      <w:r>
        <w:rPr>
          <w:rFonts w:hint="eastAsia" w:ascii="仿宋_GB2312" w:eastAsia="仿宋_GB2312" w:cs="仿宋_GB2312"/>
          <w:b w:val="0"/>
          <w:i w:val="0"/>
          <w:caps w:val="0"/>
          <w:spacing w:val="0"/>
          <w:w w:val="100"/>
          <w:kern w:val="0"/>
          <w:sz w:val="32"/>
          <w:szCs w:val="32"/>
        </w:rPr>
        <w:t>本单位2021年度无国有资本经营预算财政拨款收入，亦无国有资本经营预算财政拨款安排的支出，故无数据情况说明。</w:t>
      </w:r>
    </w:p>
    <w:p>
      <w:pPr>
        <w:snapToGrid/>
        <w:spacing w:before="0" w:beforeAutospacing="0" w:after="0" w:afterAutospacing="0" w:line="560" w:lineRule="exact"/>
        <w:ind w:firstLine="640" w:firstLineChars="200"/>
        <w:jc w:val="both"/>
        <w:textAlignment w:val="baseline"/>
        <w:rPr>
          <w:rFonts w:ascii="黑体" w:hAnsi="黑体" w:eastAsia="黑体" w:cs="仿宋_GB2312"/>
          <w:b w:val="0"/>
          <w:i w:val="0"/>
          <w:caps w:val="0"/>
          <w:spacing w:val="0"/>
          <w:w w:val="100"/>
          <w:kern w:val="0"/>
          <w:sz w:val="32"/>
          <w:szCs w:val="32"/>
        </w:rPr>
      </w:pPr>
      <w:r>
        <w:rPr>
          <w:rFonts w:hint="eastAsia" w:ascii="黑体" w:hAnsi="黑体" w:eastAsia="黑体" w:cs="仿宋_GB2312"/>
          <w:b w:val="0"/>
          <w:i w:val="0"/>
          <w:caps w:val="0"/>
          <w:spacing w:val="0"/>
          <w:w w:val="100"/>
          <w:kern w:val="0"/>
          <w:sz w:val="32"/>
          <w:szCs w:val="32"/>
        </w:rPr>
        <w:t>六、</w:t>
      </w:r>
      <w:r>
        <w:rPr>
          <w:rFonts w:hint="eastAsia" w:ascii="黑体" w:hAnsi="黑体" w:eastAsia="黑体"/>
          <w:b w:val="0"/>
          <w:i w:val="0"/>
          <w:caps w:val="0"/>
          <w:spacing w:val="0"/>
          <w:w w:val="100"/>
          <w:sz w:val="32"/>
          <w:szCs w:val="32"/>
        </w:rPr>
        <w:t>一般</w:t>
      </w:r>
      <w:r>
        <w:rPr>
          <w:rFonts w:hint="eastAsia" w:ascii="黑体" w:hAnsi="黑体" w:eastAsia="黑体" w:cs="仿宋_GB2312"/>
          <w:b w:val="0"/>
          <w:i w:val="0"/>
          <w:caps w:val="0"/>
          <w:spacing w:val="0"/>
          <w:w w:val="100"/>
          <w:kern w:val="0"/>
          <w:sz w:val="32"/>
          <w:szCs w:val="32"/>
        </w:rPr>
        <w:t>公共预算财政拨款安排的“三公”经费支出决算情况说明</w:t>
      </w:r>
    </w:p>
    <w:p>
      <w:pPr>
        <w:snapToGrid/>
        <w:spacing w:before="0" w:beforeAutospacing="0" w:after="0" w:afterAutospacing="0" w:line="560" w:lineRule="exact"/>
        <w:ind w:firstLine="640" w:firstLineChars="200"/>
        <w:jc w:val="both"/>
        <w:textAlignment w:val="baseline"/>
        <w:rPr>
          <w:rFonts w:ascii="仿宋_GB2312" w:eastAsia="仿宋_GB2312" w:cs="仿宋_GB2312"/>
          <w:b w:val="0"/>
          <w:i w:val="0"/>
          <w:caps w:val="0"/>
          <w:spacing w:val="0"/>
          <w:w w:val="100"/>
          <w:kern w:val="0"/>
          <w:sz w:val="32"/>
          <w:szCs w:val="32"/>
        </w:rPr>
      </w:pPr>
      <w:r>
        <w:rPr>
          <w:rFonts w:hint="eastAsia" w:ascii="仿宋_GB2312" w:eastAsia="仿宋_GB2312" w:cs="仿宋_GB2312"/>
          <w:b w:val="0"/>
          <w:i w:val="0"/>
          <w:caps w:val="0"/>
          <w:spacing w:val="0"/>
          <w:w w:val="100"/>
          <w:kern w:val="0"/>
          <w:sz w:val="32"/>
          <w:szCs w:val="32"/>
        </w:rPr>
        <w:t>本单位2021年度</w:t>
      </w:r>
      <w:r>
        <w:rPr>
          <w:rFonts w:hint="eastAsia" w:ascii="仿宋_GB2312" w:eastAsia="仿宋_GB2312"/>
          <w:b w:val="0"/>
          <w:i w:val="0"/>
          <w:caps w:val="0"/>
          <w:spacing w:val="0"/>
          <w:w w:val="100"/>
          <w:sz w:val="32"/>
          <w:szCs w:val="32"/>
        </w:rPr>
        <w:t>一般</w:t>
      </w:r>
      <w:r>
        <w:rPr>
          <w:rFonts w:hint="eastAsia" w:ascii="仿宋_GB2312" w:eastAsia="仿宋_GB2312" w:cs="仿宋_GB2312"/>
          <w:b w:val="0"/>
          <w:i w:val="0"/>
          <w:caps w:val="0"/>
          <w:spacing w:val="0"/>
          <w:w w:val="100"/>
          <w:kern w:val="0"/>
          <w:sz w:val="32"/>
          <w:szCs w:val="32"/>
        </w:rPr>
        <w:t>公共预算财政拨款安排的“三公”经费支出0万元，完成年初预算的0%。主要原因是认真贯彻落实</w:t>
      </w:r>
      <w:r>
        <w:rPr>
          <w:rFonts w:hint="eastAsia" w:ascii="仿宋_GB2312" w:eastAsia="仿宋_GB2312" w:cs="仿宋_GB2312"/>
          <w:b w:val="0"/>
          <w:i w:val="0"/>
          <w:caps w:val="0"/>
          <w:spacing w:val="0"/>
          <w:w w:val="100"/>
          <w:kern w:val="0"/>
          <w:sz w:val="32"/>
          <w:szCs w:val="32"/>
          <w:lang w:eastAsia="zh-CN"/>
        </w:rPr>
        <w:t>中央八项规定精神</w:t>
      </w:r>
      <w:r>
        <w:rPr>
          <w:rFonts w:hint="eastAsia" w:ascii="仿宋_GB2312" w:eastAsia="仿宋_GB2312" w:cs="仿宋_GB2312"/>
          <w:b w:val="0"/>
          <w:i w:val="0"/>
          <w:caps w:val="0"/>
          <w:spacing w:val="0"/>
          <w:w w:val="100"/>
          <w:kern w:val="0"/>
          <w:sz w:val="32"/>
          <w:szCs w:val="32"/>
        </w:rPr>
        <w:t>和厉行节约要求，进一步从严控制“三公”经费开支，全年无支出，节约了预算。其中：因公出国（境）费支出决算0万元，公务用车购置及运行费支出决算0万元，公务接待费支出决算0万元。</w:t>
      </w:r>
    </w:p>
    <w:p>
      <w:pPr>
        <w:snapToGrid/>
        <w:spacing w:before="0" w:beforeAutospacing="0" w:after="0" w:afterAutospacing="0" w:line="560" w:lineRule="exact"/>
        <w:ind w:firstLine="640" w:firstLineChars="200"/>
        <w:jc w:val="both"/>
        <w:textAlignment w:val="baseline"/>
        <w:rPr>
          <w:rFonts w:ascii="仿宋_GB2312" w:eastAsia="仿宋_GB2312" w:cs="仿宋_GB2312"/>
          <w:b w:val="0"/>
          <w:i w:val="0"/>
          <w:caps w:val="0"/>
          <w:spacing w:val="0"/>
          <w:w w:val="100"/>
          <w:kern w:val="0"/>
          <w:sz w:val="32"/>
          <w:szCs w:val="32"/>
        </w:rPr>
      </w:pPr>
      <w:r>
        <w:rPr>
          <w:rFonts w:hint="eastAsia" w:ascii="仿宋_GB2312" w:eastAsia="仿宋_GB2312" w:cs="仿宋_GB2312"/>
          <w:b w:val="0"/>
          <w:i w:val="0"/>
          <w:caps w:val="0"/>
          <w:spacing w:val="0"/>
          <w:w w:val="100"/>
          <w:kern w:val="0"/>
          <w:sz w:val="32"/>
          <w:szCs w:val="32"/>
        </w:rPr>
        <w:t>具体情况如下：</w:t>
      </w:r>
    </w:p>
    <w:p>
      <w:pPr>
        <w:snapToGrid/>
        <w:spacing w:before="0" w:beforeAutospacing="0" w:after="0" w:afterAutospacing="0" w:line="560" w:lineRule="exact"/>
        <w:ind w:firstLine="640" w:firstLineChars="200"/>
        <w:jc w:val="both"/>
        <w:textAlignment w:val="baseline"/>
        <w:rPr>
          <w:rFonts w:ascii="仿宋_GB2312" w:eastAsia="仿宋_GB2312" w:cs="仿宋_GB2312"/>
          <w:b w:val="0"/>
          <w:i w:val="0"/>
          <w:caps w:val="0"/>
          <w:spacing w:val="0"/>
          <w:w w:val="100"/>
          <w:kern w:val="0"/>
          <w:sz w:val="32"/>
          <w:szCs w:val="32"/>
        </w:rPr>
      </w:pPr>
      <w:r>
        <w:rPr>
          <w:rFonts w:hint="eastAsia" w:ascii="仿宋_GB2312" w:eastAsia="仿宋_GB2312" w:cs="仿宋_GB2312"/>
          <w:b w:val="0"/>
          <w:i w:val="0"/>
          <w:caps w:val="0"/>
          <w:spacing w:val="0"/>
          <w:w w:val="100"/>
          <w:kern w:val="0"/>
          <w:sz w:val="32"/>
          <w:szCs w:val="32"/>
        </w:rPr>
        <w:t>（一）因公出国（境）费支出0万元，完成年初预算的0%，与上年持平，原因是本单位2021年度无因公出国（境）安排。全年使用财政拨款安排</w:t>
      </w:r>
      <w:r>
        <w:rPr>
          <w:rFonts w:hint="eastAsia" w:ascii="仿宋_GB2312" w:hAnsi="黑体" w:eastAsia="仿宋_GB2312"/>
          <w:b w:val="0"/>
          <w:bCs/>
          <w:i w:val="0"/>
          <w:caps w:val="0"/>
          <w:color w:val="000000"/>
          <w:spacing w:val="0"/>
          <w:w w:val="100"/>
          <w:sz w:val="32"/>
          <w:szCs w:val="32"/>
        </w:rPr>
        <w:t>出国团组0个，参加其他单位组织的出国团组0个，全年因公出国（境）团组共计0个，累计0人次。</w:t>
      </w:r>
    </w:p>
    <w:p>
      <w:pPr>
        <w:snapToGrid/>
        <w:spacing w:before="0" w:beforeAutospacing="0" w:after="0" w:afterAutospacing="0" w:line="560" w:lineRule="exact"/>
        <w:ind w:firstLine="640" w:firstLineChars="200"/>
        <w:jc w:val="both"/>
        <w:textAlignment w:val="baseline"/>
        <w:rPr>
          <w:rFonts w:ascii="仿宋_GB2312" w:eastAsia="仿宋_GB2312" w:cs="仿宋_GB2312"/>
          <w:b w:val="0"/>
          <w:i w:val="0"/>
          <w:caps w:val="0"/>
          <w:spacing w:val="0"/>
          <w:w w:val="100"/>
          <w:kern w:val="0"/>
          <w:sz w:val="32"/>
          <w:szCs w:val="32"/>
        </w:rPr>
      </w:pPr>
      <w:r>
        <w:rPr>
          <w:rFonts w:hint="eastAsia" w:ascii="仿宋_GB2312" w:eastAsia="仿宋_GB2312" w:cs="仿宋_GB2312"/>
          <w:b w:val="0"/>
          <w:i w:val="0"/>
          <w:caps w:val="0"/>
          <w:spacing w:val="0"/>
          <w:w w:val="100"/>
          <w:kern w:val="0"/>
          <w:sz w:val="32"/>
          <w:szCs w:val="32"/>
        </w:rPr>
        <w:t>（二）公务用车购置及运行费支出0万元。其中：</w:t>
      </w:r>
    </w:p>
    <w:p>
      <w:pPr>
        <w:snapToGrid/>
        <w:spacing w:before="0" w:beforeAutospacing="0" w:after="0" w:afterAutospacing="0" w:line="560" w:lineRule="exact"/>
        <w:ind w:firstLine="960" w:firstLineChars="300"/>
        <w:jc w:val="both"/>
        <w:textAlignment w:val="baseline"/>
        <w:rPr>
          <w:rFonts w:ascii="仿宋_GB2312" w:eastAsia="仿宋_GB2312" w:cs="仿宋_GB2312"/>
          <w:b w:val="0"/>
          <w:i w:val="0"/>
          <w:caps w:val="0"/>
          <w:spacing w:val="0"/>
          <w:w w:val="100"/>
          <w:kern w:val="0"/>
          <w:sz w:val="32"/>
          <w:szCs w:val="32"/>
        </w:rPr>
      </w:pPr>
      <w:r>
        <w:rPr>
          <w:rFonts w:hint="eastAsia" w:ascii="仿宋_GB2312" w:eastAsia="仿宋_GB2312" w:cs="仿宋_GB2312"/>
          <w:b w:val="0"/>
          <w:i w:val="0"/>
          <w:caps w:val="0"/>
          <w:spacing w:val="0"/>
          <w:w w:val="100"/>
          <w:kern w:val="0"/>
          <w:sz w:val="32"/>
          <w:szCs w:val="32"/>
        </w:rPr>
        <w:t>公务用车购置支出0万元，完成年初预算的0%，</w:t>
      </w:r>
      <w:r>
        <w:rPr>
          <w:rFonts w:hint="eastAsia" w:ascii="仿宋_GB2312" w:eastAsia="仿宋_GB2312" w:cs="仿宋_GB2312"/>
          <w:b w:val="0"/>
          <w:i w:val="0"/>
          <w:caps w:val="0"/>
          <w:spacing w:val="0"/>
          <w:w w:val="100"/>
          <w:kern w:val="0"/>
          <w:sz w:val="32"/>
          <w:szCs w:val="32"/>
          <w:lang w:eastAsia="zh-CN"/>
        </w:rPr>
        <w:t>与上年持平</w:t>
      </w:r>
      <w:r>
        <w:rPr>
          <w:rFonts w:hint="eastAsia" w:ascii="仿宋_GB2312" w:eastAsia="仿宋_GB2312" w:cs="仿宋_GB2312"/>
          <w:b w:val="0"/>
          <w:i w:val="0"/>
          <w:caps w:val="0"/>
          <w:spacing w:val="0"/>
          <w:w w:val="100"/>
          <w:kern w:val="0"/>
          <w:sz w:val="32"/>
          <w:szCs w:val="32"/>
        </w:rPr>
        <w:t>，原因是购置了0辆公务用车。</w:t>
      </w:r>
    </w:p>
    <w:p>
      <w:pPr>
        <w:snapToGrid/>
        <w:spacing w:before="0" w:beforeAutospacing="0" w:after="0" w:afterAutospacing="0" w:line="560" w:lineRule="exact"/>
        <w:ind w:firstLine="640" w:firstLineChars="200"/>
        <w:jc w:val="both"/>
        <w:textAlignment w:val="baseline"/>
        <w:rPr>
          <w:rFonts w:ascii="仿宋_GB2312" w:eastAsia="仿宋_GB2312" w:cs="仿宋_GB2312"/>
          <w:b w:val="0"/>
          <w:i w:val="0"/>
          <w:caps w:val="0"/>
          <w:spacing w:val="0"/>
          <w:w w:val="100"/>
          <w:kern w:val="0"/>
          <w:sz w:val="32"/>
          <w:szCs w:val="32"/>
        </w:rPr>
      </w:pPr>
      <w:r>
        <w:rPr>
          <w:rFonts w:hint="eastAsia" w:ascii="仿宋_GB2312" w:eastAsia="仿宋_GB2312" w:cs="仿宋_GB2312"/>
          <w:b w:val="0"/>
          <w:i w:val="0"/>
          <w:caps w:val="0"/>
          <w:spacing w:val="0"/>
          <w:w w:val="100"/>
          <w:kern w:val="0"/>
          <w:sz w:val="32"/>
          <w:szCs w:val="32"/>
        </w:rPr>
        <w:t>公务用车运行支出0万元，完成年初预算的0%，</w:t>
      </w:r>
      <w:r>
        <w:rPr>
          <w:rFonts w:hint="eastAsia" w:ascii="仿宋_GB2312" w:eastAsia="仿宋_GB2312" w:cs="仿宋_GB2312"/>
          <w:b w:val="0"/>
          <w:i w:val="0"/>
          <w:caps w:val="0"/>
          <w:spacing w:val="0"/>
          <w:w w:val="100"/>
          <w:kern w:val="0"/>
          <w:sz w:val="32"/>
          <w:szCs w:val="32"/>
          <w:lang w:eastAsia="zh-CN"/>
        </w:rPr>
        <w:t>与上年持平</w:t>
      </w:r>
      <w:r>
        <w:rPr>
          <w:rFonts w:hint="eastAsia" w:ascii="仿宋_GB2312" w:eastAsia="仿宋_GB2312" w:cs="仿宋_GB2312"/>
          <w:b w:val="0"/>
          <w:i w:val="0"/>
          <w:caps w:val="0"/>
          <w:spacing w:val="0"/>
          <w:w w:val="100"/>
          <w:kern w:val="0"/>
          <w:sz w:val="32"/>
          <w:szCs w:val="32"/>
        </w:rPr>
        <w:t>，原因是本单位无公务车辆，无相关预算。2021年，本单位</w:t>
      </w:r>
      <w:r>
        <w:rPr>
          <w:rFonts w:hint="eastAsia" w:ascii="仿宋_GB2312" w:hAnsi="黑体" w:eastAsia="仿宋_GB2312"/>
          <w:b w:val="0"/>
          <w:bCs/>
          <w:i w:val="0"/>
          <w:caps w:val="0"/>
          <w:color w:val="000000"/>
          <w:spacing w:val="0"/>
          <w:w w:val="100"/>
          <w:sz w:val="32"/>
          <w:szCs w:val="32"/>
        </w:rPr>
        <w:t>开支财政拨款的公务用车保有量为0辆</w:t>
      </w:r>
      <w:r>
        <w:rPr>
          <w:rFonts w:hint="eastAsia" w:ascii="仿宋_GB2312" w:hAnsi="黑体" w:eastAsia="仿宋_GB2312"/>
          <w:b/>
          <w:i w:val="0"/>
          <w:caps w:val="0"/>
          <w:color w:val="000000"/>
          <w:spacing w:val="0"/>
          <w:w w:val="100"/>
          <w:sz w:val="32"/>
          <w:szCs w:val="32"/>
        </w:rPr>
        <w:t>，</w:t>
      </w:r>
      <w:r>
        <w:rPr>
          <w:rFonts w:hint="eastAsia" w:ascii="仿宋_GB2312" w:hAnsi="黑体" w:eastAsia="仿宋_GB2312"/>
          <w:b w:val="0"/>
          <w:bCs/>
          <w:i w:val="0"/>
          <w:caps w:val="0"/>
          <w:color w:val="000000"/>
          <w:spacing w:val="0"/>
          <w:w w:val="100"/>
          <w:sz w:val="32"/>
          <w:szCs w:val="32"/>
        </w:rPr>
        <w:t>全年运行费支出0万元，平均每辆0万元。</w:t>
      </w:r>
    </w:p>
    <w:p>
      <w:pPr>
        <w:snapToGrid/>
        <w:spacing w:before="0" w:beforeAutospacing="0" w:after="0" w:afterAutospacing="0" w:line="560" w:lineRule="exact"/>
        <w:ind w:firstLine="640" w:firstLineChars="200"/>
        <w:jc w:val="both"/>
        <w:textAlignment w:val="baseline"/>
        <w:rPr>
          <w:rFonts w:ascii="仿宋_GB2312" w:eastAsia="仿宋_GB2312" w:cs="仿宋_GB2312"/>
          <w:b w:val="0"/>
          <w:i w:val="0"/>
          <w:caps w:val="0"/>
          <w:spacing w:val="0"/>
          <w:w w:val="100"/>
          <w:kern w:val="0"/>
          <w:sz w:val="32"/>
          <w:szCs w:val="32"/>
        </w:rPr>
      </w:pPr>
      <w:r>
        <w:rPr>
          <w:rFonts w:hint="eastAsia" w:ascii="仿宋_GB2312" w:eastAsia="仿宋_GB2312" w:cs="仿宋_GB2312"/>
          <w:b w:val="0"/>
          <w:i w:val="0"/>
          <w:caps w:val="0"/>
          <w:spacing w:val="0"/>
          <w:w w:val="100"/>
          <w:kern w:val="0"/>
          <w:sz w:val="32"/>
          <w:szCs w:val="32"/>
        </w:rPr>
        <w:t>（三）公务接待费支出0万元，完成年初预算的0%，</w:t>
      </w:r>
      <w:r>
        <w:rPr>
          <w:rFonts w:hint="eastAsia" w:ascii="仿宋_GB2312" w:eastAsia="仿宋_GB2312" w:cs="仿宋_GB2312"/>
          <w:b w:val="0"/>
          <w:i w:val="0"/>
          <w:caps w:val="0"/>
          <w:spacing w:val="0"/>
          <w:w w:val="100"/>
          <w:kern w:val="0"/>
          <w:sz w:val="32"/>
          <w:szCs w:val="32"/>
          <w:lang w:eastAsia="zh-CN"/>
        </w:rPr>
        <w:t>与上年持平</w:t>
      </w:r>
      <w:r>
        <w:rPr>
          <w:rFonts w:hint="eastAsia" w:ascii="仿宋_GB2312" w:eastAsia="仿宋_GB2312" w:cs="仿宋_GB2312"/>
          <w:b w:val="0"/>
          <w:i w:val="0"/>
          <w:caps w:val="0"/>
          <w:spacing w:val="0"/>
          <w:w w:val="100"/>
          <w:kern w:val="0"/>
          <w:sz w:val="32"/>
          <w:szCs w:val="32"/>
        </w:rPr>
        <w:t>，原因是2021年度本单位无公务接待工作。国内公务接待批次0次，人次0次，国（境）外公务接待批次0次，人次0次。</w:t>
      </w:r>
    </w:p>
    <w:p>
      <w:pPr>
        <w:snapToGrid/>
        <w:spacing w:before="0" w:beforeAutospacing="0" w:after="0" w:afterAutospacing="0" w:line="560" w:lineRule="exact"/>
        <w:ind w:firstLine="627" w:firstLineChars="196"/>
        <w:jc w:val="both"/>
        <w:textAlignment w:val="baseline"/>
        <w:rPr>
          <w:rFonts w:ascii="黑体" w:hAnsi="黑体" w:eastAsia="黑体" w:cs="仿宋_GB2312"/>
          <w:b w:val="0"/>
          <w:i w:val="0"/>
          <w:caps w:val="0"/>
          <w:spacing w:val="0"/>
          <w:w w:val="100"/>
          <w:kern w:val="0"/>
          <w:sz w:val="32"/>
          <w:szCs w:val="32"/>
        </w:rPr>
      </w:pPr>
      <w:r>
        <w:rPr>
          <w:rFonts w:hint="eastAsia" w:ascii="黑体" w:hAnsi="黑体" w:eastAsia="黑体" w:cs="仿宋_GB2312"/>
          <w:b w:val="0"/>
          <w:i w:val="0"/>
          <w:caps w:val="0"/>
          <w:spacing w:val="0"/>
          <w:w w:val="100"/>
          <w:kern w:val="0"/>
          <w:sz w:val="32"/>
          <w:szCs w:val="32"/>
        </w:rPr>
        <w:t>七、其他重要事项情况说明</w:t>
      </w:r>
    </w:p>
    <w:p>
      <w:pPr>
        <w:snapToGrid/>
        <w:spacing w:before="0" w:beforeAutospacing="0" w:after="0" w:afterAutospacing="0" w:line="560" w:lineRule="exact"/>
        <w:ind w:firstLine="640" w:firstLineChars="200"/>
        <w:jc w:val="both"/>
        <w:textAlignment w:val="baseline"/>
        <w:rPr>
          <w:rFonts w:ascii="楷体_GB2312" w:eastAsia="楷体_GB2312" w:cs="仿宋_GB2312"/>
          <w:b w:val="0"/>
          <w:i w:val="0"/>
          <w:caps w:val="0"/>
          <w:spacing w:val="0"/>
          <w:w w:val="100"/>
          <w:kern w:val="0"/>
          <w:sz w:val="32"/>
          <w:szCs w:val="32"/>
        </w:rPr>
      </w:pPr>
      <w:r>
        <w:rPr>
          <w:rFonts w:hint="eastAsia" w:ascii="楷体_GB2312" w:eastAsia="楷体_GB2312" w:cs="仿宋_GB2312"/>
          <w:b w:val="0"/>
          <w:i w:val="0"/>
          <w:caps w:val="0"/>
          <w:spacing w:val="0"/>
          <w:w w:val="100"/>
          <w:kern w:val="0"/>
          <w:sz w:val="32"/>
          <w:szCs w:val="32"/>
        </w:rPr>
        <w:t>（一）</w:t>
      </w:r>
      <w:r>
        <w:rPr>
          <w:rFonts w:hint="eastAsia" w:ascii="楷体_GB2312" w:eastAsia="楷体_GB2312"/>
          <w:b w:val="0"/>
          <w:i w:val="0"/>
          <w:caps w:val="0"/>
          <w:spacing w:val="0"/>
          <w:w w:val="100"/>
          <w:sz w:val="32"/>
          <w:szCs w:val="32"/>
        </w:rPr>
        <w:t xml:space="preserve"> </w:t>
      </w:r>
      <w:r>
        <w:rPr>
          <w:rFonts w:hint="eastAsia" w:ascii="楷体_GB2312" w:eastAsia="楷体_GB2312" w:cs="仿宋_GB2312"/>
          <w:b w:val="0"/>
          <w:i w:val="0"/>
          <w:caps w:val="0"/>
          <w:spacing w:val="0"/>
          <w:w w:val="100"/>
          <w:kern w:val="0"/>
          <w:sz w:val="32"/>
          <w:szCs w:val="32"/>
        </w:rPr>
        <w:t>机关运行经费支出情况说明。</w:t>
      </w:r>
    </w:p>
    <w:p>
      <w:pPr>
        <w:snapToGrid/>
        <w:spacing w:before="0" w:beforeAutospacing="0" w:after="0" w:afterAutospacing="0" w:line="560" w:lineRule="exact"/>
        <w:ind w:firstLine="640" w:firstLineChars="200"/>
        <w:jc w:val="both"/>
        <w:textAlignment w:val="baseline"/>
        <w:rPr>
          <w:rFonts w:ascii="仿宋_GB2312" w:eastAsia="仿宋_GB2312" w:cs="仿宋_GB2312"/>
          <w:b/>
          <w:i w:val="0"/>
          <w:caps w:val="0"/>
          <w:spacing w:val="0"/>
          <w:w w:val="100"/>
          <w:kern w:val="0"/>
          <w:sz w:val="32"/>
          <w:szCs w:val="32"/>
        </w:rPr>
      </w:pPr>
      <w:r>
        <w:rPr>
          <w:rFonts w:hint="eastAsia" w:ascii="仿宋_GB2312" w:eastAsia="仿宋_GB2312" w:cs="仿宋_GB2312"/>
          <w:b w:val="0"/>
          <w:i w:val="0"/>
          <w:caps w:val="0"/>
          <w:spacing w:val="0"/>
          <w:w w:val="100"/>
          <w:kern w:val="0"/>
          <w:sz w:val="32"/>
          <w:szCs w:val="32"/>
        </w:rPr>
        <w:t>本单位无机关运行经费支出</w:t>
      </w:r>
      <w:r>
        <w:rPr>
          <w:rFonts w:hint="eastAsia" w:ascii="仿宋_GB2312" w:eastAsia="仿宋_GB2312" w:cs="仿宋_GB2312"/>
          <w:b/>
          <w:i w:val="0"/>
          <w:caps w:val="0"/>
          <w:spacing w:val="0"/>
          <w:w w:val="100"/>
          <w:kern w:val="0"/>
          <w:sz w:val="32"/>
          <w:szCs w:val="32"/>
        </w:rPr>
        <w:t>。</w:t>
      </w:r>
    </w:p>
    <w:p>
      <w:pPr>
        <w:snapToGrid/>
        <w:spacing w:before="0" w:beforeAutospacing="0" w:after="0" w:afterAutospacing="0" w:line="560" w:lineRule="exact"/>
        <w:ind w:firstLine="640" w:firstLineChars="200"/>
        <w:jc w:val="both"/>
        <w:textAlignment w:val="baseline"/>
        <w:rPr>
          <w:rFonts w:ascii="楷体_GB2312" w:eastAsia="楷体_GB2312" w:cs="仿宋_GB2312"/>
          <w:b w:val="0"/>
          <w:i w:val="0"/>
          <w:caps w:val="0"/>
          <w:spacing w:val="0"/>
          <w:w w:val="100"/>
          <w:kern w:val="0"/>
          <w:sz w:val="32"/>
          <w:szCs w:val="32"/>
        </w:rPr>
      </w:pPr>
      <w:r>
        <w:rPr>
          <w:rFonts w:hint="eastAsia" w:ascii="楷体_GB2312" w:eastAsia="楷体_GB2312" w:cs="仿宋_GB2312"/>
          <w:b w:val="0"/>
          <w:i w:val="0"/>
          <w:caps w:val="0"/>
          <w:spacing w:val="0"/>
          <w:w w:val="100"/>
          <w:kern w:val="0"/>
          <w:sz w:val="32"/>
          <w:szCs w:val="32"/>
        </w:rPr>
        <w:t>（二）政府采购支出情况说明。</w:t>
      </w:r>
    </w:p>
    <w:p>
      <w:pPr>
        <w:snapToGrid/>
        <w:spacing w:before="0" w:beforeAutospacing="0" w:after="0" w:afterAutospacing="0" w:line="560" w:lineRule="exact"/>
        <w:ind w:firstLine="640" w:firstLineChars="200"/>
        <w:jc w:val="both"/>
        <w:textAlignment w:val="baseline"/>
        <w:rPr>
          <w:rFonts w:ascii="仿宋_GB2312" w:eastAsia="仿宋_GB2312" w:cs="仿宋_GB2312"/>
          <w:b w:val="0"/>
          <w:i w:val="0"/>
          <w:caps w:val="0"/>
          <w:spacing w:val="0"/>
          <w:w w:val="100"/>
          <w:kern w:val="0"/>
          <w:sz w:val="32"/>
          <w:szCs w:val="32"/>
        </w:rPr>
      </w:pPr>
      <w:r>
        <w:rPr>
          <w:rFonts w:hint="eastAsia" w:ascii="仿宋_GB2312" w:eastAsia="仿宋_GB2312" w:cs="仿宋_GB2312"/>
          <w:b w:val="0"/>
          <w:i w:val="0"/>
          <w:caps w:val="0"/>
          <w:spacing w:val="0"/>
          <w:w w:val="100"/>
          <w:kern w:val="0"/>
          <w:sz w:val="32"/>
          <w:szCs w:val="32"/>
        </w:rPr>
        <w:t>本单位2021年度政府采购支出总额3975.54万元，其中：政府采购货物支出3975.54万元、政府采购工程支出0万元、政府采购服务支出0万元，授予中小企业合同金额0万元，占政府采购支出总额的0%，其中：授予小微企业合同金额0万元，占政府采购支出总额的0%。</w:t>
      </w:r>
    </w:p>
    <w:p>
      <w:pPr>
        <w:snapToGrid/>
        <w:spacing w:before="0" w:beforeAutospacing="0" w:after="0" w:afterAutospacing="0" w:line="560" w:lineRule="exact"/>
        <w:ind w:firstLine="640" w:firstLineChars="200"/>
        <w:jc w:val="both"/>
        <w:textAlignment w:val="baseline"/>
        <w:rPr>
          <w:rFonts w:ascii="楷体_GB2312" w:eastAsia="楷体_GB2312" w:cs="仿宋_GB2312"/>
          <w:b w:val="0"/>
          <w:i w:val="0"/>
          <w:caps w:val="0"/>
          <w:spacing w:val="0"/>
          <w:w w:val="100"/>
          <w:kern w:val="0"/>
          <w:sz w:val="32"/>
          <w:szCs w:val="32"/>
        </w:rPr>
      </w:pPr>
      <w:r>
        <w:rPr>
          <w:rFonts w:hint="eastAsia" w:ascii="楷体_GB2312" w:eastAsia="楷体_GB2312" w:cs="仿宋_GB2312"/>
          <w:b w:val="0"/>
          <w:i w:val="0"/>
          <w:caps w:val="0"/>
          <w:spacing w:val="0"/>
          <w:w w:val="100"/>
          <w:kern w:val="0"/>
          <w:sz w:val="32"/>
          <w:szCs w:val="32"/>
        </w:rPr>
        <w:t>（三）国有资产占用情况说明。</w:t>
      </w:r>
    </w:p>
    <w:p>
      <w:pPr>
        <w:snapToGrid/>
        <w:spacing w:before="0" w:beforeAutospacing="0" w:after="0" w:afterAutospacing="0" w:line="580" w:lineRule="exact"/>
        <w:ind w:firstLine="627" w:firstLineChars="196"/>
        <w:jc w:val="both"/>
        <w:textAlignment w:val="baseline"/>
        <w:rPr>
          <w:rFonts w:ascii="仿宋_GB2312" w:eastAsia="仿宋_GB2312" w:cs="仿宋_GB2312"/>
          <w:b w:val="0"/>
          <w:i w:val="0"/>
          <w:caps w:val="0"/>
          <w:spacing w:val="0"/>
          <w:w w:val="100"/>
          <w:kern w:val="0"/>
          <w:sz w:val="32"/>
          <w:szCs w:val="32"/>
        </w:rPr>
      </w:pPr>
      <w:r>
        <w:rPr>
          <w:rFonts w:hint="eastAsia" w:ascii="仿宋_GB2312" w:eastAsia="仿宋_GB2312" w:cs="仿宋_GB2312"/>
          <w:b w:val="0"/>
          <w:i w:val="0"/>
          <w:caps w:val="0"/>
          <w:spacing w:val="0"/>
          <w:w w:val="100"/>
          <w:kern w:val="0"/>
          <w:sz w:val="32"/>
          <w:szCs w:val="32"/>
        </w:rPr>
        <w:t xml:space="preserve">截至2021年12月31日，本单位共有车辆0辆，其中：公务用车0辆；执法执勤用车0 辆；专业技术用车0辆；其他用车0辆；单价50万元 以上通用设备0台（套），单价100 万元以上专用设备0台（套）。 </w:t>
      </w:r>
    </w:p>
    <w:p>
      <w:pPr>
        <w:snapToGrid/>
        <w:spacing w:before="0" w:beforeAutospacing="0" w:after="0" w:afterAutospacing="0" w:line="560" w:lineRule="exact"/>
        <w:ind w:firstLine="640" w:firstLineChars="200"/>
        <w:jc w:val="both"/>
        <w:textAlignment w:val="baseline"/>
        <w:rPr>
          <w:rFonts w:ascii="楷体_GB2312" w:eastAsia="楷体_GB2312" w:cs="仿宋_GB2312"/>
          <w:b w:val="0"/>
          <w:i w:val="0"/>
          <w:caps w:val="0"/>
          <w:spacing w:val="0"/>
          <w:w w:val="100"/>
          <w:kern w:val="0"/>
          <w:sz w:val="32"/>
          <w:szCs w:val="32"/>
        </w:rPr>
      </w:pPr>
      <w:r>
        <w:rPr>
          <w:rFonts w:hint="eastAsia" w:ascii="楷体_GB2312" w:eastAsia="楷体_GB2312" w:cs="仿宋_GB2312"/>
          <w:b w:val="0"/>
          <w:i w:val="0"/>
          <w:caps w:val="0"/>
          <w:spacing w:val="0"/>
          <w:w w:val="100"/>
          <w:kern w:val="0"/>
          <w:sz w:val="32"/>
          <w:szCs w:val="32"/>
        </w:rPr>
        <w:t>（四）预算绩效管理工作开展情况。</w:t>
      </w:r>
    </w:p>
    <w:p>
      <w:pPr>
        <w:snapToGrid/>
        <w:spacing w:before="0" w:beforeAutospacing="0" w:after="0" w:afterAutospacing="0" w:line="560" w:lineRule="exact"/>
        <w:ind w:firstLine="640" w:firstLineChars="200"/>
        <w:jc w:val="both"/>
        <w:textAlignment w:val="baseline"/>
        <w:rPr>
          <w:rFonts w:hint="eastAsia" w:ascii="仿宋_GB2312" w:eastAsia="仿宋_GB2312" w:cs="仿宋_GB2312"/>
          <w:b w:val="0"/>
          <w:i w:val="0"/>
          <w:caps w:val="0"/>
          <w:spacing w:val="0"/>
          <w:w w:val="100"/>
          <w:kern w:val="0"/>
          <w:sz w:val="32"/>
          <w:szCs w:val="32"/>
        </w:rPr>
      </w:pPr>
      <w:r>
        <w:rPr>
          <w:rFonts w:hint="eastAsia" w:ascii="仿宋_GB2312" w:eastAsia="仿宋_GB2312" w:cs="仿宋_GB2312"/>
          <w:b w:val="0"/>
          <w:i w:val="0"/>
          <w:caps w:val="0"/>
          <w:spacing w:val="0"/>
          <w:w w:val="100"/>
          <w:kern w:val="0"/>
          <w:sz w:val="32"/>
          <w:szCs w:val="32"/>
        </w:rPr>
        <w:t>根据财政预算管理要求，本单位对2021年度一般公共预算单位整体支出全面开展了绩效自评，共涉及预算资金251.59万元，包括各项人员经费及公用经费等，自评覆盖率达到100%。</w:t>
      </w:r>
    </w:p>
    <w:p>
      <w:pPr>
        <w:snapToGrid/>
        <w:spacing w:before="0" w:beforeAutospacing="0" w:after="0" w:afterAutospacing="0" w:line="560" w:lineRule="exact"/>
        <w:ind w:firstLine="640" w:firstLineChars="200"/>
        <w:jc w:val="both"/>
        <w:textAlignment w:val="baseline"/>
        <w:rPr>
          <w:rFonts w:hint="eastAsia" w:ascii="仿宋_GB2312" w:eastAsia="仿宋_GB2312" w:cs="仿宋_GB2312"/>
          <w:b w:val="0"/>
          <w:i w:val="0"/>
          <w:caps w:val="0"/>
          <w:spacing w:val="0"/>
          <w:w w:val="100"/>
          <w:kern w:val="0"/>
          <w:sz w:val="32"/>
          <w:szCs w:val="32"/>
        </w:rPr>
      </w:pPr>
      <w:r>
        <w:rPr>
          <w:rFonts w:hint="eastAsia" w:ascii="仿宋_GB2312" w:eastAsia="仿宋_GB2312" w:cs="仿宋_GB2312"/>
          <w:b w:val="0"/>
          <w:i w:val="0"/>
          <w:caps w:val="0"/>
          <w:spacing w:val="0"/>
          <w:w w:val="100"/>
          <w:kern w:val="0"/>
          <w:sz w:val="32"/>
          <w:szCs w:val="32"/>
        </w:rPr>
        <w:t>因我单位2021年度无需要开展项目预算绩效管理工作的项目支出，所以本单位未开展项目预算绩效管理工作。</w:t>
      </w:r>
    </w:p>
    <w:p>
      <w:pPr>
        <w:snapToGrid/>
        <w:spacing w:before="0" w:beforeAutospacing="0" w:after="0" w:afterAutospacing="0" w:line="580" w:lineRule="exact"/>
        <w:ind w:firstLine="645"/>
        <w:jc w:val="both"/>
        <w:textAlignment w:val="baseline"/>
        <w:rPr>
          <w:rFonts w:ascii="仿宋_GB2312" w:eastAsia="仿宋_GB2312"/>
          <w:b/>
          <w:i w:val="0"/>
          <w:caps w:val="0"/>
          <w:spacing w:val="0"/>
          <w:w w:val="100"/>
          <w:sz w:val="32"/>
          <w:szCs w:val="32"/>
        </w:rPr>
      </w:pPr>
      <w:r>
        <w:rPr>
          <w:rFonts w:hint="eastAsia" w:ascii="仿宋_GB2312" w:eastAsia="仿宋_GB2312"/>
          <w:b/>
          <w:i w:val="0"/>
          <w:caps w:val="0"/>
          <w:spacing w:val="0"/>
          <w:w w:val="100"/>
          <w:sz w:val="32"/>
          <w:szCs w:val="32"/>
        </w:rPr>
        <w:t>第四部分：名词解释</w:t>
      </w:r>
    </w:p>
    <w:p>
      <w:pPr>
        <w:snapToGrid/>
        <w:spacing w:before="0" w:beforeAutospacing="0" w:after="0" w:afterAutospacing="0" w:line="240" w:lineRule="auto"/>
        <w:ind w:firstLine="64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 xml:space="preserve">一、财政拨款收入：指柳州市财政部门当年拨付的资金。 </w:t>
      </w:r>
    </w:p>
    <w:p>
      <w:pPr>
        <w:snapToGrid/>
        <w:spacing w:before="0" w:beforeAutospacing="0" w:after="0" w:afterAutospacing="0" w:line="240" w:lineRule="auto"/>
        <w:ind w:firstLine="640" w:firstLineChars="20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二、事业收入：指事业单位开展专业业务活动及辅助活动所取得的收入。</w:t>
      </w:r>
    </w:p>
    <w:p>
      <w:pPr>
        <w:snapToGrid/>
        <w:spacing w:before="0" w:beforeAutospacing="0" w:after="0" w:afterAutospacing="0" w:line="240" w:lineRule="auto"/>
        <w:ind w:firstLine="640" w:firstLineChars="20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三、经营收入：指事业单位在专业业务活动及其辅助活动之外开展非独立核算经营活动取得的收入。</w:t>
      </w:r>
    </w:p>
    <w:p>
      <w:pPr>
        <w:snapToGrid/>
        <w:spacing w:before="0" w:beforeAutospacing="0" w:after="0" w:afterAutospacing="0" w:line="240" w:lineRule="auto"/>
        <w:ind w:firstLine="64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四、其他收入：指除上述“财政拨款收入”“事业收入”“经营收入”等以外的收入。</w:t>
      </w:r>
    </w:p>
    <w:p>
      <w:pPr>
        <w:snapToGrid/>
        <w:spacing w:before="0" w:beforeAutospacing="0" w:after="0" w:afterAutospacing="0" w:line="240" w:lineRule="auto"/>
        <w:ind w:firstLine="640" w:firstLineChars="20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snapToGrid/>
        <w:spacing w:before="0" w:beforeAutospacing="0" w:after="0" w:afterAutospacing="0" w:line="240" w:lineRule="auto"/>
        <w:ind w:firstLine="640" w:firstLineChars="20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 xml:space="preserve">六、年初结转和结余：指以前年度尚未完成、结转到本年 按有关规定继续使用的资金。 </w:t>
      </w:r>
    </w:p>
    <w:p>
      <w:pPr>
        <w:snapToGrid/>
        <w:spacing w:before="0" w:beforeAutospacing="0" w:after="0" w:afterAutospacing="0" w:line="240" w:lineRule="auto"/>
        <w:ind w:firstLine="640" w:firstLineChars="20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 xml:space="preserve">七、结余分配：指事业单位按规定提取的职工福利基金、事业基金和缴纳的所得税，以及建设单位按规定应交回的基本建设竣工项目结余资金。 </w:t>
      </w:r>
    </w:p>
    <w:p>
      <w:pPr>
        <w:snapToGrid/>
        <w:spacing w:before="0" w:beforeAutospacing="0" w:after="0" w:afterAutospacing="0" w:line="240" w:lineRule="auto"/>
        <w:ind w:firstLine="640" w:firstLineChars="20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 xml:space="preserve">八、年末结转和结余：指本年度或以前年度预算安排、因客观条件发生变化无法按原计划实施，需要延迟到以后年度按有关规定继续使用的资金。 </w:t>
      </w:r>
    </w:p>
    <w:p>
      <w:pPr>
        <w:snapToGrid/>
        <w:spacing w:before="0" w:beforeAutospacing="0" w:after="0" w:afterAutospacing="0" w:line="240" w:lineRule="auto"/>
        <w:ind w:firstLine="640" w:firstLineChars="20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 xml:space="preserve">九、基本支出：指为保障机构正常运转、完成日常工作任务而发生的人员支出和公用支出。 </w:t>
      </w:r>
    </w:p>
    <w:p>
      <w:pPr>
        <w:snapToGrid/>
        <w:spacing w:before="0" w:beforeAutospacing="0" w:after="0" w:afterAutospacing="0" w:line="240" w:lineRule="auto"/>
        <w:ind w:firstLine="640" w:firstLineChars="20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 xml:space="preserve">十、项目支出：指在基本支出之外为完成特定行政任务和事业发展目标所发生的支出。 </w:t>
      </w:r>
    </w:p>
    <w:p>
      <w:pPr>
        <w:snapToGrid/>
        <w:spacing w:before="0" w:beforeAutospacing="0" w:after="0" w:afterAutospacing="0" w:line="240" w:lineRule="auto"/>
        <w:ind w:firstLine="64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十一、经营支出：指事业单位在专业业务活动及其辅助活动之外开展非独立核算经营活动发生的支出。</w:t>
      </w:r>
    </w:p>
    <w:p>
      <w:pPr>
        <w:snapToGrid/>
        <w:spacing w:before="0" w:beforeAutospacing="0" w:after="0" w:afterAutospacing="0" w:line="240" w:lineRule="auto"/>
        <w:ind w:firstLine="640" w:firstLineChars="20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 xml:space="preserve">十二、“三公”经费：纳入柳州市财政预决算管理的“三公”经费，是指柳州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snapToGrid/>
        <w:spacing w:before="0" w:beforeAutospacing="0" w:after="0" w:afterAutospacing="0" w:line="240" w:lineRule="auto"/>
        <w:ind w:firstLine="640" w:firstLineChars="200"/>
        <w:jc w:val="both"/>
        <w:textAlignment w:val="baseline"/>
        <w:rPr>
          <w:rFonts w:ascii="仿宋_GB2312" w:eastAsia="仿宋_GB2312" w:cs="仿宋_GB2312"/>
          <w:b w:val="0"/>
          <w:i w:val="0"/>
          <w:caps w:val="0"/>
          <w:spacing w:val="0"/>
          <w:w w:val="100"/>
          <w:kern w:val="0"/>
          <w:sz w:val="32"/>
          <w:szCs w:val="32"/>
        </w:rPr>
      </w:pPr>
      <w:r>
        <w:rPr>
          <w:rFonts w:hint="eastAsia" w:ascii="仿宋_GB2312" w:eastAsia="仿宋_GB2312"/>
          <w:b w:val="0"/>
          <w:i w:val="0"/>
          <w:caps w:val="0"/>
          <w:spacing w:val="0"/>
          <w:w w:val="100"/>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kZGQwMzA1MGM1ODJjMzdiZjBmNTJkNTQyMDNkZDUifQ=="/>
  </w:docVars>
  <w:rsids>
    <w:rsidRoot w:val="4C256E3D"/>
    <w:rsid w:val="00066CA3"/>
    <w:rsid w:val="006966AC"/>
    <w:rsid w:val="006C1367"/>
    <w:rsid w:val="00715385"/>
    <w:rsid w:val="007F22DD"/>
    <w:rsid w:val="00D7145F"/>
    <w:rsid w:val="00E75870"/>
    <w:rsid w:val="00F66C5B"/>
    <w:rsid w:val="05352423"/>
    <w:rsid w:val="07FB4E2D"/>
    <w:rsid w:val="094B45FA"/>
    <w:rsid w:val="0A0C33E4"/>
    <w:rsid w:val="0AC01E5A"/>
    <w:rsid w:val="0B424B1D"/>
    <w:rsid w:val="0DA86951"/>
    <w:rsid w:val="0E074DDF"/>
    <w:rsid w:val="0F0F5ED6"/>
    <w:rsid w:val="124204B5"/>
    <w:rsid w:val="14F016D4"/>
    <w:rsid w:val="15823E15"/>
    <w:rsid w:val="1612602D"/>
    <w:rsid w:val="16B90A0F"/>
    <w:rsid w:val="182962AB"/>
    <w:rsid w:val="19D073EB"/>
    <w:rsid w:val="1A650904"/>
    <w:rsid w:val="1CC31F67"/>
    <w:rsid w:val="1FD4382F"/>
    <w:rsid w:val="2108304D"/>
    <w:rsid w:val="2249565E"/>
    <w:rsid w:val="2322184D"/>
    <w:rsid w:val="24D337DC"/>
    <w:rsid w:val="262D2231"/>
    <w:rsid w:val="26460DBA"/>
    <w:rsid w:val="269612E1"/>
    <w:rsid w:val="28854CE7"/>
    <w:rsid w:val="2A8F076C"/>
    <w:rsid w:val="2B6F74EB"/>
    <w:rsid w:val="2B9762ED"/>
    <w:rsid w:val="2C1F0B15"/>
    <w:rsid w:val="2C4219FE"/>
    <w:rsid w:val="335718FE"/>
    <w:rsid w:val="34020F86"/>
    <w:rsid w:val="341361ED"/>
    <w:rsid w:val="374415A9"/>
    <w:rsid w:val="39A63F06"/>
    <w:rsid w:val="3C017E2C"/>
    <w:rsid w:val="3E6F4772"/>
    <w:rsid w:val="3EA872B2"/>
    <w:rsid w:val="3ED1439F"/>
    <w:rsid w:val="42235D58"/>
    <w:rsid w:val="43B40BEC"/>
    <w:rsid w:val="44500BF5"/>
    <w:rsid w:val="44560C84"/>
    <w:rsid w:val="477E7473"/>
    <w:rsid w:val="47F43786"/>
    <w:rsid w:val="48374EDC"/>
    <w:rsid w:val="4C256E3D"/>
    <w:rsid w:val="4CB52F0F"/>
    <w:rsid w:val="4E2875DF"/>
    <w:rsid w:val="50C04C3A"/>
    <w:rsid w:val="532F1F9A"/>
    <w:rsid w:val="559117FB"/>
    <w:rsid w:val="57931D57"/>
    <w:rsid w:val="59261578"/>
    <w:rsid w:val="5DBB25AC"/>
    <w:rsid w:val="5E995A3E"/>
    <w:rsid w:val="5F661E37"/>
    <w:rsid w:val="5F933EA7"/>
    <w:rsid w:val="5F95061E"/>
    <w:rsid w:val="5FC1266C"/>
    <w:rsid w:val="617E254E"/>
    <w:rsid w:val="62163194"/>
    <w:rsid w:val="624D024D"/>
    <w:rsid w:val="650E086A"/>
    <w:rsid w:val="6A5E17FE"/>
    <w:rsid w:val="6BAA0708"/>
    <w:rsid w:val="70046E9D"/>
    <w:rsid w:val="72231A60"/>
    <w:rsid w:val="743631A3"/>
    <w:rsid w:val="75AF6C8B"/>
    <w:rsid w:val="77474C4B"/>
    <w:rsid w:val="7CF608AF"/>
    <w:rsid w:val="7D7302D1"/>
    <w:rsid w:val="7E3D3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character" w:customStyle="1" w:styleId="11">
    <w:name w:val="font2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A10F642-DB0B-4CED-8ECC-E7BD4E28BC5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5567</Words>
  <Characters>6216</Characters>
  <Lines>41</Lines>
  <Paragraphs>11</Paragraphs>
  <TotalTime>39</TotalTime>
  <ScaleCrop>false</ScaleCrop>
  <LinksUpToDate>false</LinksUpToDate>
  <CharactersWithSpaces>6253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Administrator</cp:lastModifiedBy>
  <cp:lastPrinted>2022-08-03T01:54:00Z</cp:lastPrinted>
  <dcterms:modified xsi:type="dcterms:W3CDTF">2023-06-17T04:17:08Z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8C582C82C1C244F198EE2BA74EED60C5</vt:lpwstr>
  </property>
</Properties>
</file>