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kern w:val="0"/>
          <w:sz w:val="32"/>
          <w:szCs w:val="32"/>
        </w:rPr>
      </w:pPr>
    </w:p>
    <w:p>
      <w:pPr>
        <w:rPr>
          <w:rFonts w:ascii="黑体" w:eastAsia="黑体" w:cs="ArialUnicodeMS"/>
          <w:kern w:val="0"/>
          <w:sz w:val="72"/>
          <w:szCs w:val="72"/>
        </w:rPr>
      </w:pPr>
    </w:p>
    <w:p>
      <w:pPr>
        <w:rPr>
          <w:rFonts w:ascii="黑体" w:eastAsia="黑体" w:cs="ArialUnicodeMS"/>
          <w:kern w:val="0"/>
          <w:sz w:val="72"/>
          <w:szCs w:val="72"/>
        </w:rPr>
      </w:pPr>
    </w:p>
    <w:p>
      <w:pPr>
        <w:jc w:val="center"/>
        <w:rPr>
          <w:rFonts w:ascii="黑体" w:hAnsi="黑体" w:eastAsia="黑体"/>
          <w:bCs/>
          <w:color w:val="000000"/>
          <w:sz w:val="52"/>
          <w:szCs w:val="52"/>
        </w:rPr>
      </w:pPr>
      <w:r>
        <w:rPr>
          <w:rFonts w:hint="eastAsia" w:ascii="黑体" w:eastAsia="黑体" w:cs="ArialUnicodeMS"/>
          <w:kern w:val="0"/>
          <w:sz w:val="52"/>
          <w:szCs w:val="52"/>
        </w:rPr>
        <w:t>柳州市土地征收和出让服务中心</w:t>
      </w:r>
    </w:p>
    <w:p>
      <w:pPr>
        <w:jc w:val="center"/>
        <w:rPr>
          <w:rFonts w:ascii="黑体" w:eastAsia="黑体" w:cs="ArialUnicodeMS"/>
          <w:kern w:val="0"/>
          <w:sz w:val="52"/>
          <w:szCs w:val="52"/>
        </w:rPr>
      </w:pPr>
      <w:r>
        <w:rPr>
          <w:rFonts w:hint="eastAsia" w:ascii="黑体" w:eastAsia="黑体"/>
          <w:kern w:val="0"/>
          <w:sz w:val="52"/>
          <w:szCs w:val="52"/>
        </w:rPr>
        <w:t>2021年</w:t>
      </w:r>
      <w:r>
        <w:rPr>
          <w:rFonts w:hint="eastAsia" w:ascii="黑体" w:eastAsia="黑体" w:cs="ArialUnicodeMS"/>
          <w:kern w:val="0"/>
          <w:sz w:val="52"/>
          <w:szCs w:val="52"/>
        </w:rPr>
        <w:t>度决算公开说明</w:t>
      </w:r>
    </w:p>
    <w:p>
      <w:pPr>
        <w:rPr>
          <w:rFonts w:ascii="ArialUnicodeMS" w:eastAsia="ArialUnicodeMS" w:cs="ArialUnicodeMS"/>
          <w:kern w:val="0"/>
          <w:sz w:val="84"/>
          <w:szCs w:val="84"/>
        </w:rPr>
      </w:pPr>
      <w:bookmarkStart w:id="0" w:name="_GoBack"/>
      <w:bookmarkEnd w:id="0"/>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hAnsi="黑体" w:eastAsia="仿宋_GB2312"/>
          <w:b/>
          <w:bCs/>
          <w:color w:val="000000"/>
          <w:sz w:val="32"/>
          <w:szCs w:val="32"/>
        </w:rPr>
        <w:t>柳州市土地征收和出让服务中心</w:t>
      </w:r>
      <w:r>
        <w:rPr>
          <w:rFonts w:hint="eastAsia" w:ascii="仿宋_GB2312" w:eastAsia="仿宋_GB2312"/>
          <w:b/>
          <w:sz w:val="32"/>
          <w:szCs w:val="32"/>
        </w:rPr>
        <w:t>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ascii="仿宋_GB2312" w:eastAsia="仿宋_GB2312"/>
          <w:sz w:val="32"/>
          <w:szCs w:val="32"/>
        </w:rPr>
      </w:pPr>
      <w:r>
        <w:rPr>
          <w:rFonts w:hint="eastAsia" w:ascii="仿宋_GB2312" w:eastAsia="仿宋_GB2312"/>
          <w:sz w:val="32"/>
          <w:szCs w:val="32"/>
        </w:rPr>
        <w:t>二、决算单位构成</w:t>
      </w:r>
    </w:p>
    <w:p>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rPr>
        <w:t>柳州市土地征收和出让服务中心</w:t>
      </w:r>
      <w:r>
        <w:rPr>
          <w:rFonts w:hint="eastAsia" w:ascii="仿宋_GB2312" w:eastAsia="仿宋_GB2312"/>
          <w:b/>
          <w:sz w:val="32"/>
          <w:szCs w:val="32"/>
        </w:rPr>
        <w:t>2021年度决算报表</w:t>
      </w:r>
    </w:p>
    <w:p>
      <w:pPr>
        <w:ind w:left="645"/>
        <w:rPr>
          <w:rFonts w:ascii="仿宋_GB2312" w:eastAsia="仿宋_GB2312"/>
          <w:sz w:val="32"/>
          <w:szCs w:val="32"/>
        </w:rPr>
      </w:pPr>
      <w:r>
        <w:rPr>
          <w:rFonts w:hint="eastAsia" w:ascii="仿宋_GB2312" w:eastAsia="仿宋_GB2312"/>
          <w:sz w:val="32"/>
          <w:szCs w:val="32"/>
        </w:rPr>
        <w:t>表一：收入支出决算总表</w:t>
      </w:r>
    </w:p>
    <w:p>
      <w:pPr>
        <w:ind w:left="645"/>
        <w:rPr>
          <w:rFonts w:ascii="仿宋_GB2312" w:eastAsia="仿宋_GB2312"/>
          <w:sz w:val="32"/>
          <w:szCs w:val="32"/>
        </w:rPr>
      </w:pPr>
      <w:r>
        <w:rPr>
          <w:rFonts w:hint="eastAsia" w:ascii="仿宋_GB2312" w:eastAsia="仿宋_GB2312"/>
          <w:sz w:val="32"/>
          <w:szCs w:val="32"/>
        </w:rPr>
        <w:t>表二：收入决算表</w:t>
      </w:r>
    </w:p>
    <w:p>
      <w:pPr>
        <w:ind w:left="645"/>
        <w:rPr>
          <w:rFonts w:ascii="仿宋_GB2312" w:eastAsia="仿宋_GB2312"/>
          <w:sz w:val="32"/>
          <w:szCs w:val="32"/>
        </w:rPr>
      </w:pPr>
      <w:r>
        <w:rPr>
          <w:rFonts w:hint="eastAsia" w:ascii="仿宋_GB2312" w:eastAsia="仿宋_GB2312"/>
          <w:sz w:val="32"/>
          <w:szCs w:val="32"/>
        </w:rPr>
        <w:t>表三：支出决算表</w:t>
      </w:r>
    </w:p>
    <w:p>
      <w:pPr>
        <w:ind w:left="645"/>
        <w:rPr>
          <w:rFonts w:ascii="仿宋_GB2312" w:eastAsia="仿宋_GB2312"/>
          <w:sz w:val="32"/>
          <w:szCs w:val="32"/>
        </w:rPr>
      </w:pPr>
      <w:r>
        <w:rPr>
          <w:rFonts w:hint="eastAsia" w:ascii="仿宋_GB2312" w:eastAsia="仿宋_GB2312"/>
          <w:sz w:val="32"/>
          <w:szCs w:val="32"/>
        </w:rPr>
        <w:t>表四：财政拨款收入支出决算总表</w:t>
      </w:r>
    </w:p>
    <w:p>
      <w:pPr>
        <w:ind w:left="645"/>
        <w:rPr>
          <w:rFonts w:ascii="仿宋_GB2312" w:eastAsia="仿宋_GB2312"/>
          <w:sz w:val="32"/>
          <w:szCs w:val="32"/>
        </w:rPr>
      </w:pPr>
      <w:r>
        <w:rPr>
          <w:rFonts w:hint="eastAsia" w:ascii="仿宋_GB2312" w:eastAsia="仿宋_GB2312"/>
          <w:sz w:val="32"/>
          <w:szCs w:val="32"/>
        </w:rPr>
        <w:t>表五：一般公共预算财政拨款收入支出决算表</w:t>
      </w:r>
    </w:p>
    <w:p>
      <w:pPr>
        <w:ind w:left="645"/>
        <w:rPr>
          <w:rFonts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ascii="仿宋_GB2312" w:eastAsia="仿宋_GB2312"/>
          <w:sz w:val="32"/>
          <w:szCs w:val="32"/>
        </w:rPr>
      </w:pPr>
      <w:r>
        <w:rPr>
          <w:rFonts w:hint="eastAsia" w:ascii="仿宋_GB2312" w:eastAsia="仿宋_GB2312"/>
          <w:sz w:val="32"/>
          <w:szCs w:val="32"/>
        </w:rPr>
        <w:t>表七：一般公共预算财政拨款安排的“</w:t>
      </w:r>
      <w:r>
        <w:rPr>
          <w:rFonts w:ascii="仿宋_GB2312" w:eastAsia="仿宋_GB2312"/>
          <w:sz w:val="32"/>
          <w:szCs w:val="32"/>
        </w:rPr>
        <w:t>三公</w:t>
      </w:r>
      <w:r>
        <w:rPr>
          <w:rFonts w:hint="eastAsia" w:ascii="仿宋_GB2312" w:eastAsia="仿宋_GB2312"/>
          <w:sz w:val="32"/>
          <w:szCs w:val="32"/>
        </w:rPr>
        <w:t>”</w:t>
      </w:r>
      <w:r>
        <w:rPr>
          <w:rFonts w:ascii="仿宋_GB2312" w:eastAsia="仿宋_GB2312"/>
          <w:sz w:val="32"/>
          <w:szCs w:val="32"/>
        </w:rPr>
        <w:t>经费</w:t>
      </w:r>
      <w:r>
        <w:rPr>
          <w:rFonts w:hint="eastAsia" w:ascii="仿宋_GB2312" w:eastAsia="仿宋_GB2312"/>
          <w:sz w:val="32"/>
          <w:szCs w:val="32"/>
        </w:rPr>
        <w:t>支出决算表</w:t>
      </w:r>
    </w:p>
    <w:p>
      <w:pPr>
        <w:ind w:left="645"/>
        <w:rPr>
          <w:rFonts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left="645"/>
        <w:rPr>
          <w:rFonts w:ascii="仿宋_GB2312" w:eastAsia="仿宋_GB2312"/>
          <w:sz w:val="32"/>
          <w:szCs w:val="32"/>
        </w:rPr>
      </w:pPr>
      <w:r>
        <w:rPr>
          <w:rFonts w:hint="eastAsia" w:ascii="仿宋_GB2312" w:eastAsia="仿宋_GB2312"/>
          <w:sz w:val="32"/>
          <w:szCs w:val="32"/>
        </w:rPr>
        <w:t>表九：国有资本经营预算财政拨款支出决算表</w:t>
      </w:r>
    </w:p>
    <w:p>
      <w:pPr>
        <w:ind w:firstLine="645"/>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rPr>
        <w:t>柳州市土地征收和出让服务中心</w:t>
      </w:r>
      <w:r>
        <w:rPr>
          <w:rFonts w:hint="eastAsia" w:ascii="仿宋_GB2312" w:eastAsia="仿宋_GB2312"/>
          <w:b/>
          <w:sz w:val="32"/>
          <w:szCs w:val="32"/>
        </w:rPr>
        <w:t>2021年度决算情况说明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eastAsia="仿宋_GB2312"/>
          <w:kern w:val="0"/>
          <w:sz w:val="32"/>
          <w:szCs w:val="32"/>
        </w:rPr>
        <w:t>2021年</w:t>
      </w:r>
      <w:r>
        <w:rPr>
          <w:rFonts w:hint="eastAsia" w:ascii="仿宋_GB2312" w:eastAsia="仿宋_GB2312" w:cs="仿宋_GB2312"/>
          <w:kern w:val="0"/>
          <w:sz w:val="32"/>
          <w:szCs w:val="32"/>
        </w:rPr>
        <w:t>度收入支出决算总体情况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eastAsia="仿宋_GB2312"/>
          <w:kern w:val="0"/>
          <w:sz w:val="32"/>
          <w:szCs w:val="32"/>
        </w:rPr>
        <w:t>2021年</w:t>
      </w:r>
      <w:r>
        <w:rPr>
          <w:rFonts w:hint="eastAsia" w:ascii="仿宋_GB2312" w:eastAsia="仿宋_GB2312" w:cs="仿宋_GB2312"/>
          <w:kern w:val="0"/>
          <w:sz w:val="32"/>
          <w:szCs w:val="32"/>
        </w:rPr>
        <w:t>度收入决算情况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eastAsia="仿宋_GB2312"/>
          <w:kern w:val="0"/>
          <w:sz w:val="32"/>
          <w:szCs w:val="32"/>
        </w:rPr>
        <w:t>2021年</w:t>
      </w:r>
      <w:r>
        <w:rPr>
          <w:rFonts w:hint="eastAsia" w:ascii="仿宋_GB2312" w:eastAsia="仿宋_GB2312" w:cs="仿宋_GB2312"/>
          <w:kern w:val="0"/>
          <w:sz w:val="32"/>
          <w:szCs w:val="32"/>
        </w:rPr>
        <w:t>度支出决算情况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eastAsia="仿宋_GB2312"/>
          <w:kern w:val="0"/>
          <w:sz w:val="32"/>
          <w:szCs w:val="32"/>
        </w:rPr>
        <w:t>2021年</w:t>
      </w:r>
      <w:r>
        <w:rPr>
          <w:rFonts w:hint="eastAsia" w:ascii="仿宋_GB2312" w:eastAsia="仿宋_GB2312" w:cs="仿宋_GB2312"/>
          <w:kern w:val="0"/>
          <w:sz w:val="32"/>
          <w:szCs w:val="32"/>
        </w:rPr>
        <w:t>度财政拨款收入支出决算情况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eastAsia="仿宋_GB2312"/>
          <w:kern w:val="0"/>
          <w:sz w:val="32"/>
          <w:szCs w:val="32"/>
        </w:rPr>
        <w:t>2021年</w:t>
      </w:r>
      <w:r>
        <w:rPr>
          <w:rFonts w:hint="eastAsia" w:ascii="仿宋_GB2312" w:eastAsia="仿宋_GB2312" w:cs="仿宋_GB2312"/>
          <w:kern w:val="0"/>
          <w:sz w:val="32"/>
          <w:szCs w:val="32"/>
        </w:rPr>
        <w:t>度一般公共预算财政拨款支出决算情况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eastAsia="仿宋_GB2312"/>
          <w:kern w:val="0"/>
          <w:sz w:val="32"/>
          <w:szCs w:val="32"/>
        </w:rPr>
        <w:t>2021年</w:t>
      </w:r>
      <w:r>
        <w:rPr>
          <w:rFonts w:hint="eastAsia" w:ascii="仿宋_GB2312" w:eastAsia="仿宋_GB2312" w:cs="仿宋_GB2312"/>
          <w:kern w:val="0"/>
          <w:sz w:val="32"/>
          <w:szCs w:val="32"/>
        </w:rPr>
        <w:t>度一般公共预算财政拨款基本支出决算情况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七、</w:t>
      </w:r>
      <w:r>
        <w:rPr>
          <w:rFonts w:hint="eastAsia" w:eastAsia="仿宋_GB2312"/>
          <w:kern w:val="0"/>
          <w:sz w:val="32"/>
          <w:szCs w:val="32"/>
        </w:rPr>
        <w:t>2021年</w:t>
      </w:r>
      <w:r>
        <w:rPr>
          <w:rFonts w:hint="eastAsia" w:ascii="仿宋_GB2312" w:eastAsia="仿宋_GB2312" w:cs="仿宋_GB2312"/>
          <w:kern w:val="0"/>
          <w:sz w:val="32"/>
          <w:szCs w:val="32"/>
        </w:rPr>
        <w:t>度一般公共预算财政拨款“三公”经费支出决算情况</w:t>
      </w:r>
    </w:p>
    <w:p>
      <w:pPr>
        <w:autoSpaceDE w:val="0"/>
        <w:autoSpaceDN w:val="0"/>
        <w:adjustRightInd w:val="0"/>
        <w:ind w:firstLine="640" w:firstLineChars="200"/>
        <w:jc w:val="left"/>
        <w:rPr>
          <w:rFonts w:ascii="仿宋_GB2312" w:eastAsia="仿宋_GB2312" w:cs="仿宋_GB2312"/>
          <w:bCs/>
          <w:kern w:val="0"/>
          <w:sz w:val="32"/>
          <w:szCs w:val="32"/>
        </w:rPr>
      </w:pPr>
      <w:r>
        <w:rPr>
          <w:rFonts w:hint="eastAsia" w:ascii="仿宋_GB2312" w:eastAsia="仿宋_GB2312" w:cs="仿宋_GB2312"/>
          <w:kern w:val="0"/>
          <w:sz w:val="32"/>
          <w:szCs w:val="32"/>
        </w:rPr>
        <w:t>八、</w:t>
      </w:r>
      <w:r>
        <w:rPr>
          <w:rFonts w:hint="eastAsia" w:eastAsia="仿宋_GB2312"/>
          <w:kern w:val="0"/>
          <w:sz w:val="32"/>
          <w:szCs w:val="32"/>
        </w:rPr>
        <w:t>2021</w:t>
      </w:r>
      <w:r>
        <w:rPr>
          <w:rFonts w:hint="eastAsia" w:ascii="仿宋_GB2312" w:eastAsia="仿宋_GB2312" w:cs="仿宋_GB2312"/>
          <w:bCs/>
          <w:kern w:val="0"/>
          <w:sz w:val="32"/>
          <w:szCs w:val="32"/>
        </w:rPr>
        <w:t>年度政府性基金预算财政拨款收入支出决算情况</w:t>
      </w:r>
    </w:p>
    <w:p>
      <w:pPr>
        <w:ind w:left="645"/>
        <w:rPr>
          <w:rFonts w:ascii="仿宋_GB2312" w:eastAsia="仿宋_GB2312" w:cs="仿宋_GB2312"/>
          <w:bCs/>
          <w:kern w:val="0"/>
          <w:sz w:val="32"/>
          <w:szCs w:val="32"/>
        </w:rPr>
      </w:pPr>
      <w:r>
        <w:rPr>
          <w:rFonts w:hint="eastAsia" w:ascii="仿宋_GB2312" w:eastAsia="仿宋_GB2312" w:cs="仿宋_GB2312"/>
          <w:bCs/>
          <w:kern w:val="0"/>
          <w:sz w:val="32"/>
          <w:szCs w:val="32"/>
        </w:rPr>
        <w:t>九、</w:t>
      </w:r>
      <w:r>
        <w:rPr>
          <w:rFonts w:hint="eastAsia" w:ascii="仿宋_GB2312" w:eastAsia="仿宋_GB2312"/>
          <w:sz w:val="32"/>
          <w:szCs w:val="32"/>
        </w:rPr>
        <w:t>国有资本经营预算财政拨款支出决算情况</w:t>
      </w:r>
    </w:p>
    <w:p>
      <w:pPr>
        <w:autoSpaceDE w:val="0"/>
        <w:autoSpaceDN w:val="0"/>
        <w:adjustRightInd w:val="0"/>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十、</w:t>
      </w:r>
      <w:r>
        <w:rPr>
          <w:rFonts w:hint="eastAsia" w:eastAsia="仿宋_GB2312"/>
          <w:kern w:val="0"/>
          <w:sz w:val="32"/>
          <w:szCs w:val="32"/>
        </w:rPr>
        <w:t>2021</w:t>
      </w:r>
      <w:r>
        <w:rPr>
          <w:rFonts w:hint="eastAsia" w:ascii="仿宋_GB2312" w:eastAsia="仿宋_GB2312" w:cs="仿宋_GB2312"/>
          <w:bCs/>
          <w:kern w:val="0"/>
          <w:sz w:val="32"/>
          <w:szCs w:val="32"/>
        </w:rPr>
        <w:t>年度预算绩效情况说明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bCs/>
          <w:kern w:val="0"/>
          <w:sz w:val="32"/>
          <w:szCs w:val="32"/>
        </w:rPr>
        <w:t>十一、其他重要事项的情况说明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ind w:firstLine="646"/>
        <w:jc w:val="center"/>
        <w:rPr>
          <w:rFonts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w:t>
      </w:r>
      <w:r>
        <w:rPr>
          <w:rFonts w:hint="eastAsia" w:ascii="仿宋_GB2312" w:hAnsi="黑体" w:eastAsia="仿宋_GB2312"/>
          <w:b/>
          <w:bCs/>
          <w:color w:val="000000"/>
          <w:sz w:val="32"/>
          <w:szCs w:val="32"/>
        </w:rPr>
        <w:t>柳州市土地征收和出让服务中心</w:t>
      </w:r>
      <w:r>
        <w:rPr>
          <w:rFonts w:hint="eastAsia" w:ascii="仿宋_GB2312" w:eastAsia="仿宋_GB2312"/>
          <w:b/>
          <w:sz w:val="32"/>
          <w:szCs w:val="32"/>
        </w:rPr>
        <w:t>概况</w:t>
      </w:r>
    </w:p>
    <w:p>
      <w:pPr>
        <w:ind w:firstLine="646"/>
        <w:rPr>
          <w:rFonts w:ascii="仿宋_GB2312" w:eastAsia="仿宋_GB2312"/>
          <w:sz w:val="32"/>
          <w:szCs w:val="32"/>
        </w:rPr>
      </w:pPr>
      <w:r>
        <w:rPr>
          <w:rFonts w:hint="eastAsia" w:ascii="仿宋_GB2312" w:eastAsia="仿宋_GB2312"/>
          <w:sz w:val="32"/>
          <w:szCs w:val="32"/>
        </w:rPr>
        <w:t>一、主要职能</w:t>
      </w:r>
    </w:p>
    <w:p>
      <w:pPr>
        <w:spacing w:line="560" w:lineRule="exact"/>
        <w:ind w:firstLine="640" w:firstLineChars="200"/>
        <w:rPr>
          <w:rFonts w:ascii="楷体_GB2312" w:hAnsi="华文仿宋" w:eastAsia="楷体_GB2312" w:cs="宋体"/>
          <w:color w:val="000000"/>
          <w:kern w:val="0"/>
          <w:sz w:val="32"/>
          <w:szCs w:val="32"/>
        </w:rPr>
      </w:pPr>
      <w:r>
        <w:rPr>
          <w:rFonts w:hint="eastAsia" w:ascii="楷体_GB2312" w:hAnsi="华文仿宋" w:eastAsia="楷体_GB2312" w:cs="宋体"/>
          <w:color w:val="000000"/>
          <w:kern w:val="0"/>
          <w:sz w:val="32"/>
          <w:szCs w:val="32"/>
        </w:rPr>
        <w:t>（一）负责全市土地交易信息的收集、汇总、分析、上报及系统录入、结果公示等土地市场动态监测；</w:t>
      </w:r>
    </w:p>
    <w:p>
      <w:pPr>
        <w:spacing w:line="560" w:lineRule="exact"/>
        <w:ind w:firstLine="640" w:firstLineChars="200"/>
        <w:rPr>
          <w:rFonts w:ascii="楷体_GB2312" w:hAnsi="华文仿宋" w:eastAsia="楷体_GB2312" w:cs="宋体"/>
          <w:color w:val="000000"/>
          <w:kern w:val="0"/>
          <w:sz w:val="32"/>
          <w:szCs w:val="32"/>
        </w:rPr>
      </w:pPr>
      <w:r>
        <w:rPr>
          <w:rFonts w:hint="eastAsia" w:ascii="楷体_GB2312" w:hAnsi="华文仿宋" w:eastAsia="楷体_GB2312" w:cs="宋体"/>
          <w:color w:val="000000"/>
          <w:kern w:val="0"/>
          <w:sz w:val="32"/>
          <w:szCs w:val="32"/>
        </w:rPr>
        <w:t>（二）负责收集、监测、分析、汇总、上报全市集体土地征收和拆迁安置信息，开展数字化管理作业；</w:t>
      </w:r>
    </w:p>
    <w:p>
      <w:pPr>
        <w:spacing w:line="560" w:lineRule="exact"/>
        <w:ind w:firstLine="640" w:firstLineChars="200"/>
        <w:rPr>
          <w:rFonts w:ascii="楷体_GB2312" w:hAnsi="华文仿宋" w:eastAsia="楷体_GB2312" w:cs="宋体"/>
          <w:color w:val="000000"/>
          <w:kern w:val="0"/>
          <w:sz w:val="32"/>
          <w:szCs w:val="32"/>
        </w:rPr>
      </w:pPr>
      <w:r>
        <w:rPr>
          <w:rFonts w:hint="eastAsia" w:ascii="楷体_GB2312" w:hAnsi="华文仿宋" w:eastAsia="楷体_GB2312" w:cs="宋体"/>
          <w:color w:val="000000"/>
          <w:kern w:val="0"/>
          <w:sz w:val="32"/>
          <w:szCs w:val="32"/>
        </w:rPr>
        <w:t>（三）协助编制市本级年度土地供应计划；</w:t>
      </w:r>
    </w:p>
    <w:p>
      <w:pPr>
        <w:spacing w:line="560" w:lineRule="exact"/>
        <w:ind w:firstLine="640" w:firstLineChars="200"/>
        <w:rPr>
          <w:rFonts w:ascii="楷体_GB2312" w:hAnsi="华文仿宋" w:eastAsia="楷体_GB2312" w:cs="宋体"/>
          <w:color w:val="000000"/>
          <w:kern w:val="0"/>
          <w:sz w:val="32"/>
          <w:szCs w:val="32"/>
        </w:rPr>
      </w:pPr>
      <w:r>
        <w:rPr>
          <w:rFonts w:hint="eastAsia" w:ascii="楷体_GB2312" w:hAnsi="华文仿宋" w:eastAsia="楷体_GB2312" w:cs="宋体"/>
          <w:color w:val="000000"/>
          <w:kern w:val="0"/>
          <w:sz w:val="32"/>
          <w:szCs w:val="32"/>
        </w:rPr>
        <w:t>（四）协助编制市本级出让地块供地方案；</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二、决算单位构成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柳州市土地征收和出让服务中心</w:t>
      </w:r>
    </w:p>
    <w:p>
      <w:pPr>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rPr>
        <w:t>柳州市土地征收和出让服务中心</w:t>
      </w:r>
      <w:r>
        <w:rPr>
          <w:rFonts w:hint="eastAsia" w:ascii="仿宋_GB2312" w:eastAsia="仿宋_GB2312"/>
          <w:b/>
          <w:sz w:val="32"/>
          <w:szCs w:val="32"/>
        </w:rPr>
        <w:t xml:space="preserve"> 2021年度决算报表</w:t>
      </w:r>
    </w:p>
    <w:p>
      <w:pPr>
        <w:ind w:firstLine="640" w:firstLineChars="200"/>
        <w:rPr>
          <w:rFonts w:ascii="仿宋_GB2312" w:hAnsi="黑体" w:eastAsia="仿宋_GB2312"/>
          <w:sz w:val="32"/>
          <w:szCs w:val="32"/>
        </w:rPr>
      </w:pPr>
      <w:r>
        <w:rPr>
          <w:rFonts w:hint="eastAsia" w:ascii="仿宋_GB2312" w:hAnsi="黑体" w:eastAsia="仿宋_GB2312"/>
          <w:sz w:val="32"/>
          <w:szCs w:val="32"/>
        </w:rPr>
        <w:t>详见附件1</w:t>
      </w:r>
    </w:p>
    <w:p>
      <w:pPr>
        <w:spacing w:line="580" w:lineRule="exact"/>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rPr>
        <w:t>柳州市土地征收和出让服务中心</w:t>
      </w:r>
      <w:r>
        <w:rPr>
          <w:rFonts w:hint="eastAsia" w:ascii="仿宋_GB2312" w:eastAsia="仿宋_GB2312"/>
          <w:b/>
          <w:sz w:val="32"/>
          <w:szCs w:val="32"/>
        </w:rPr>
        <w:t xml:space="preserve"> 2021年度决算情况说明</w:t>
      </w:r>
    </w:p>
    <w:p>
      <w:pPr>
        <w:autoSpaceDE w:val="0"/>
        <w:autoSpaceDN w:val="0"/>
        <w:adjustRightInd w:val="0"/>
        <w:spacing w:line="58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一、</w:t>
      </w:r>
      <w:r>
        <w:rPr>
          <w:rFonts w:hint="eastAsia" w:eastAsia="仿宋_GB2312"/>
          <w:b/>
          <w:kern w:val="0"/>
          <w:sz w:val="32"/>
          <w:szCs w:val="32"/>
        </w:rPr>
        <w:t>2021年</w:t>
      </w:r>
      <w:r>
        <w:rPr>
          <w:rFonts w:hint="eastAsia" w:ascii="仿宋_GB2312" w:eastAsia="仿宋_GB2312" w:cs="仿宋_GB2312"/>
          <w:b/>
          <w:kern w:val="0"/>
          <w:sz w:val="32"/>
          <w:szCs w:val="32"/>
        </w:rPr>
        <w:t>度收入支出决算总体情况</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2021年度收入总计215.09万元，支出总计215.09万元，与2020年相比，收入增加45.81万元、增长27.06%；支出增加53.78万元、增长33.34%。按功能科目分类；</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1、机关事业单位基本养老保险缴费14.24万元，与上年相比减少3.68万元，降低20.54%，降低原因是人员变动造成经费收入变动；</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2、机关事业单位职业年金缴费4.08</w:t>
      </w:r>
      <w:r>
        <w:rPr>
          <w:rFonts w:hint="eastAsia" w:ascii="仿宋_GB2312" w:eastAsia="仿宋_GB2312" w:cs="仿宋_GB2312"/>
          <w:bCs/>
          <w:kern w:val="0"/>
          <w:sz w:val="32"/>
          <w:szCs w:val="32"/>
          <w:lang w:eastAsia="zh-CN"/>
        </w:rPr>
        <w:t>万元</w:t>
      </w:r>
      <w:r>
        <w:rPr>
          <w:rFonts w:hint="eastAsia" w:ascii="仿宋_GB2312" w:eastAsia="仿宋_GB2312" w:cs="仿宋_GB2312"/>
          <w:bCs/>
          <w:kern w:val="0"/>
          <w:sz w:val="32"/>
          <w:szCs w:val="32"/>
        </w:rPr>
        <w:t>，与上年相比减少1.87万元，降低31.43%，降低原因是人员变动造成经费收入变动；</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3、事业单位医疗6.99万元，与上年相比增加1.06万元，增长26.97%，增加原因是人员变动造成经费收入变动；</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4、城乡社区规划与管理166.04万元，与上年相比增加30.04万元，增长22.09%，增加原因是人员变动造成经费收入变动；</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5、住房公积金18.37万元，与上年相比增加3.37万元，增长22.47%，增加原因是人员变动造成经费收入变动；</w:t>
      </w:r>
    </w:p>
    <w:p>
      <w:pPr>
        <w:autoSpaceDE w:val="0"/>
        <w:autoSpaceDN w:val="0"/>
        <w:adjustRightInd w:val="0"/>
        <w:spacing w:line="58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二、</w:t>
      </w:r>
      <w:r>
        <w:rPr>
          <w:rFonts w:hint="eastAsia" w:eastAsia="仿宋_GB2312"/>
          <w:b/>
          <w:kern w:val="0"/>
          <w:sz w:val="32"/>
          <w:szCs w:val="32"/>
        </w:rPr>
        <w:t>2021年</w:t>
      </w:r>
      <w:r>
        <w:rPr>
          <w:rFonts w:hint="eastAsia" w:ascii="仿宋_GB2312" w:eastAsia="仿宋_GB2312" w:cs="仿宋_GB2312"/>
          <w:b/>
          <w:kern w:val="0"/>
          <w:sz w:val="32"/>
          <w:szCs w:val="32"/>
        </w:rPr>
        <w:t>度收入决算情况</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本年收入总计215.09万元 ，其中：一般公共预算财政拨款收入215.09万元；占比100%。</w:t>
      </w:r>
    </w:p>
    <w:p>
      <w:pPr>
        <w:autoSpaceDE w:val="0"/>
        <w:autoSpaceDN w:val="0"/>
        <w:adjustRightInd w:val="0"/>
        <w:spacing w:line="560" w:lineRule="exact"/>
        <w:ind w:firstLine="627" w:firstLineChars="196"/>
        <w:jc w:val="left"/>
        <w:rPr>
          <w:rFonts w:ascii="仿宋_GB2312" w:eastAsia="仿宋_GB2312" w:cs="仿宋_GB2312"/>
          <w:color w:val="000000" w:themeColor="text1"/>
          <w:kern w:val="0"/>
          <w:sz w:val="32"/>
          <w:szCs w:val="32"/>
        </w:rPr>
      </w:pPr>
      <w:r>
        <w:rPr>
          <w:rFonts w:hint="eastAsia" w:ascii="仿宋_GB2312" w:eastAsia="仿宋_GB2312" w:cs="仿宋_GB2312"/>
          <w:bCs/>
          <w:kern w:val="0"/>
          <w:sz w:val="32"/>
          <w:szCs w:val="32"/>
        </w:rPr>
        <w:t>1、一般公共预算财政拨款收入215.09万元；占比100%。</w:t>
      </w:r>
      <w:r>
        <w:rPr>
          <w:rFonts w:hint="eastAsia" w:ascii="仿宋_GB2312" w:eastAsia="仿宋_GB2312" w:cs="仿宋_GB2312"/>
          <w:color w:val="000000" w:themeColor="text1"/>
          <w:kern w:val="0"/>
          <w:sz w:val="32"/>
          <w:szCs w:val="32"/>
        </w:rPr>
        <w:t>其中：政府性基金预算财政拨款收入</w:t>
      </w:r>
      <w:r>
        <w:rPr>
          <w:rFonts w:hint="eastAsia" w:ascii="仿宋_GB2312" w:eastAsia="仿宋_GB2312"/>
          <w:color w:val="000000" w:themeColor="text1"/>
          <w:kern w:val="0"/>
          <w:sz w:val="32"/>
          <w:szCs w:val="32"/>
        </w:rPr>
        <w:t>0</w:t>
      </w:r>
      <w:r>
        <w:rPr>
          <w:rFonts w:hint="eastAsia" w:ascii="仿宋_GB2312" w:eastAsia="仿宋_GB2312" w:cs="仿宋_GB2312"/>
          <w:color w:val="000000" w:themeColor="text1"/>
          <w:kern w:val="0"/>
          <w:sz w:val="32"/>
          <w:szCs w:val="32"/>
        </w:rPr>
        <w:t>万元，为财政当年拨付的资金。</w:t>
      </w:r>
      <w:r>
        <w:rPr>
          <w:rFonts w:hint="eastAsia" w:ascii="仿宋_GB2312" w:hAnsi="黑体" w:eastAsia="仿宋_GB2312" w:cs="仿宋_GB2312"/>
          <w:color w:val="000000" w:themeColor="text1"/>
          <w:kern w:val="0"/>
          <w:sz w:val="32"/>
          <w:szCs w:val="32"/>
        </w:rPr>
        <w:t>较2020年度决算数增加0 元，增长0%。</w:t>
      </w:r>
    </w:p>
    <w:p>
      <w:pPr>
        <w:autoSpaceDE w:val="0"/>
        <w:autoSpaceDN w:val="0"/>
        <w:adjustRightInd w:val="0"/>
        <w:spacing w:line="560" w:lineRule="exact"/>
        <w:ind w:firstLine="627" w:firstLineChars="196"/>
        <w:jc w:val="left"/>
        <w:rPr>
          <w:rFonts w:ascii="仿宋_GB2312" w:hAnsi="黑体"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2、国有资本经营预算财政拨款收入</w:t>
      </w:r>
      <w:r>
        <w:rPr>
          <w:rFonts w:hint="eastAsia" w:ascii="仿宋_GB2312" w:eastAsia="仿宋_GB2312"/>
          <w:color w:val="000000" w:themeColor="text1"/>
          <w:kern w:val="0"/>
          <w:sz w:val="32"/>
          <w:szCs w:val="32"/>
        </w:rPr>
        <w:t>0</w:t>
      </w:r>
      <w:r>
        <w:rPr>
          <w:rFonts w:hint="eastAsia" w:ascii="仿宋_GB2312" w:eastAsia="仿宋_GB2312" w:cs="仿宋_GB2312"/>
          <w:color w:val="000000" w:themeColor="text1"/>
          <w:kern w:val="0"/>
          <w:sz w:val="32"/>
          <w:szCs w:val="32"/>
        </w:rPr>
        <w:t>万元，为财政当年拨付的资金。</w:t>
      </w:r>
      <w:r>
        <w:rPr>
          <w:rFonts w:hint="eastAsia" w:ascii="仿宋_GB2312" w:hAnsi="黑体" w:eastAsia="仿宋_GB2312" w:cs="仿宋_GB2312"/>
          <w:color w:val="000000" w:themeColor="text1"/>
          <w:kern w:val="0"/>
          <w:sz w:val="32"/>
          <w:szCs w:val="32"/>
        </w:rPr>
        <w:t>较2020年度决算数增加0万元，增长0 %。</w:t>
      </w:r>
    </w:p>
    <w:p>
      <w:pPr>
        <w:autoSpaceDE w:val="0"/>
        <w:autoSpaceDN w:val="0"/>
        <w:adjustRightInd w:val="0"/>
        <w:spacing w:line="560" w:lineRule="exact"/>
        <w:ind w:firstLine="627" w:firstLineChars="196"/>
        <w:jc w:val="left"/>
        <w:rPr>
          <w:rFonts w:ascii="仿宋_GB2312"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3、事业收入</w:t>
      </w:r>
      <w:r>
        <w:rPr>
          <w:rFonts w:hint="eastAsia" w:ascii="仿宋_GB2312" w:eastAsia="仿宋_GB2312"/>
          <w:color w:val="000000" w:themeColor="text1"/>
          <w:kern w:val="0"/>
          <w:sz w:val="32"/>
          <w:szCs w:val="32"/>
        </w:rPr>
        <w:t>0</w:t>
      </w:r>
      <w:r>
        <w:rPr>
          <w:rFonts w:hint="eastAsia" w:ascii="仿宋_GB2312" w:eastAsia="仿宋_GB2312" w:cs="仿宋_GB2312"/>
          <w:color w:val="000000" w:themeColor="text1"/>
          <w:kern w:val="0"/>
          <w:sz w:val="32"/>
          <w:szCs w:val="32"/>
        </w:rPr>
        <w:t>万元，为事业单位开展业务活动取得的收入。</w:t>
      </w:r>
      <w:r>
        <w:rPr>
          <w:rFonts w:hint="eastAsia" w:ascii="仿宋_GB2312" w:hAnsi="黑体" w:eastAsia="仿宋_GB2312" w:cs="仿宋_GB2312"/>
          <w:color w:val="000000" w:themeColor="text1"/>
          <w:kern w:val="0"/>
          <w:sz w:val="32"/>
          <w:szCs w:val="32"/>
        </w:rPr>
        <w:t>较2020年度决算数增加0万元，增长0 %。</w:t>
      </w:r>
    </w:p>
    <w:p>
      <w:pPr>
        <w:autoSpaceDE w:val="0"/>
        <w:autoSpaceDN w:val="0"/>
        <w:adjustRightInd w:val="0"/>
        <w:spacing w:line="560" w:lineRule="exact"/>
        <w:ind w:firstLine="627" w:firstLineChars="196"/>
        <w:jc w:val="left"/>
        <w:rPr>
          <w:rFonts w:ascii="仿宋_GB2312"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4、经营收入</w:t>
      </w:r>
      <w:r>
        <w:rPr>
          <w:rFonts w:hint="eastAsia" w:ascii="仿宋_GB2312" w:eastAsia="仿宋_GB2312"/>
          <w:color w:val="000000" w:themeColor="text1"/>
          <w:kern w:val="0"/>
          <w:sz w:val="32"/>
          <w:szCs w:val="32"/>
        </w:rPr>
        <w:t>0</w:t>
      </w:r>
      <w:r>
        <w:rPr>
          <w:rFonts w:hint="eastAsia" w:ascii="仿宋_GB2312" w:eastAsia="仿宋_GB2312" w:cs="仿宋_GB2312"/>
          <w:color w:val="000000" w:themeColor="text1"/>
          <w:kern w:val="0"/>
          <w:sz w:val="32"/>
          <w:szCs w:val="32"/>
        </w:rPr>
        <w:t>万元，为事业单位在业务活动之外开展非独立核算经营活动取得的收入。</w:t>
      </w:r>
      <w:r>
        <w:rPr>
          <w:rFonts w:hint="eastAsia" w:ascii="仿宋_GB2312" w:hAnsi="黑体" w:eastAsia="仿宋_GB2312" w:cs="仿宋_GB2312"/>
          <w:color w:val="000000" w:themeColor="text1"/>
          <w:kern w:val="0"/>
          <w:sz w:val="32"/>
          <w:szCs w:val="32"/>
        </w:rPr>
        <w:t>较2020年度决算数增加0万元，增长0 %。</w:t>
      </w:r>
    </w:p>
    <w:p>
      <w:pPr>
        <w:autoSpaceDE w:val="0"/>
        <w:autoSpaceDN w:val="0"/>
        <w:adjustRightInd w:val="0"/>
        <w:spacing w:line="560" w:lineRule="exact"/>
        <w:ind w:firstLine="627" w:firstLineChars="196"/>
        <w:jc w:val="left"/>
        <w:rPr>
          <w:rFonts w:ascii="仿宋_GB2312"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5、其他收入</w:t>
      </w:r>
      <w:r>
        <w:rPr>
          <w:rFonts w:hint="eastAsia" w:ascii="仿宋_GB2312" w:eastAsia="仿宋_GB2312"/>
          <w:color w:val="000000" w:themeColor="text1"/>
          <w:kern w:val="0"/>
          <w:sz w:val="32"/>
          <w:szCs w:val="32"/>
        </w:rPr>
        <w:t>0</w:t>
      </w:r>
      <w:r>
        <w:rPr>
          <w:rFonts w:hint="eastAsia" w:ascii="仿宋_GB2312" w:eastAsia="仿宋_GB2312" w:cs="仿宋_GB2312"/>
          <w:color w:val="000000" w:themeColor="text1"/>
          <w:kern w:val="0"/>
          <w:sz w:val="32"/>
          <w:szCs w:val="32"/>
        </w:rPr>
        <w:t>万元，为部门单位在</w:t>
      </w:r>
      <w:r>
        <w:rPr>
          <w:rFonts w:hint="eastAsia" w:ascii="仿宋_GB2312" w:eastAsia="仿宋_GB2312"/>
          <w:color w:val="000000" w:themeColor="text1"/>
          <w:kern w:val="0"/>
          <w:sz w:val="32"/>
          <w:szCs w:val="32"/>
        </w:rPr>
        <w:t>“</w:t>
      </w:r>
      <w:r>
        <w:rPr>
          <w:rFonts w:hint="eastAsia" w:ascii="仿宋_GB2312" w:eastAsia="仿宋_GB2312" w:cs="仿宋_GB2312"/>
          <w:color w:val="000000" w:themeColor="text1"/>
          <w:kern w:val="0"/>
          <w:sz w:val="32"/>
          <w:szCs w:val="32"/>
        </w:rPr>
        <w:t>财政拨款收入</w:t>
      </w:r>
      <w:r>
        <w:rPr>
          <w:rFonts w:hint="eastAsia" w:ascii="仿宋_GB2312" w:eastAsia="仿宋_GB2312"/>
          <w:color w:val="000000" w:themeColor="text1"/>
          <w:kern w:val="0"/>
          <w:sz w:val="32"/>
          <w:szCs w:val="32"/>
        </w:rPr>
        <w:t>”“</w:t>
      </w:r>
      <w:r>
        <w:rPr>
          <w:rFonts w:hint="eastAsia" w:ascii="仿宋_GB2312" w:eastAsia="仿宋_GB2312" w:cs="仿宋_GB2312"/>
          <w:color w:val="000000" w:themeColor="text1"/>
          <w:kern w:val="0"/>
          <w:sz w:val="32"/>
          <w:szCs w:val="32"/>
        </w:rPr>
        <w:t>事业收入</w:t>
      </w:r>
      <w:r>
        <w:rPr>
          <w:rFonts w:hint="eastAsia" w:ascii="仿宋_GB2312" w:eastAsia="仿宋_GB2312"/>
          <w:color w:val="000000" w:themeColor="text1"/>
          <w:kern w:val="0"/>
          <w:sz w:val="32"/>
          <w:szCs w:val="32"/>
        </w:rPr>
        <w:t>”“</w:t>
      </w:r>
      <w:r>
        <w:rPr>
          <w:rFonts w:hint="eastAsia" w:ascii="仿宋_GB2312" w:eastAsia="仿宋_GB2312" w:cs="仿宋_GB2312"/>
          <w:color w:val="000000" w:themeColor="text1"/>
          <w:kern w:val="0"/>
          <w:sz w:val="32"/>
          <w:szCs w:val="32"/>
        </w:rPr>
        <w:t>经营收入</w:t>
      </w:r>
      <w:r>
        <w:rPr>
          <w:rFonts w:hint="eastAsia" w:ascii="仿宋_GB2312" w:eastAsia="仿宋_GB2312"/>
          <w:color w:val="000000" w:themeColor="text1"/>
          <w:kern w:val="0"/>
          <w:sz w:val="32"/>
          <w:szCs w:val="32"/>
        </w:rPr>
        <w:t>”</w:t>
      </w:r>
      <w:r>
        <w:rPr>
          <w:rFonts w:hint="eastAsia" w:ascii="仿宋_GB2312" w:eastAsia="仿宋_GB2312" w:cs="仿宋_GB2312"/>
          <w:color w:val="000000" w:themeColor="text1"/>
          <w:kern w:val="0"/>
          <w:sz w:val="32"/>
          <w:szCs w:val="32"/>
        </w:rPr>
        <w:t>之外取得的收入。</w:t>
      </w:r>
      <w:r>
        <w:rPr>
          <w:rFonts w:hint="eastAsia" w:ascii="仿宋_GB2312" w:hAnsi="黑体" w:eastAsia="仿宋_GB2312" w:cs="仿宋_GB2312"/>
          <w:color w:val="000000" w:themeColor="text1"/>
          <w:kern w:val="0"/>
          <w:sz w:val="32"/>
          <w:szCs w:val="32"/>
        </w:rPr>
        <w:t>较2020年度决决算数增加0万元，增长0 %。</w:t>
      </w:r>
    </w:p>
    <w:p>
      <w:pPr>
        <w:autoSpaceDE w:val="0"/>
        <w:autoSpaceDN w:val="0"/>
        <w:adjustRightInd w:val="0"/>
        <w:spacing w:line="560" w:lineRule="exact"/>
        <w:ind w:firstLine="627" w:firstLineChars="196"/>
        <w:jc w:val="left"/>
        <w:rPr>
          <w:rFonts w:ascii="仿宋_GB2312"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6、使用非财政拨款结余</w:t>
      </w:r>
      <w:r>
        <w:rPr>
          <w:rFonts w:hint="eastAsia" w:ascii="仿宋_GB2312" w:eastAsia="仿宋_GB2312"/>
          <w:color w:val="000000" w:themeColor="text1"/>
          <w:kern w:val="0"/>
          <w:sz w:val="32"/>
          <w:szCs w:val="32"/>
        </w:rPr>
        <w:t>0</w:t>
      </w:r>
      <w:r>
        <w:rPr>
          <w:rFonts w:hint="eastAsia" w:ascii="仿宋_GB2312" w:eastAsia="仿宋_GB2312" w:cs="仿宋_GB2312"/>
          <w:color w:val="000000" w:themeColor="text1"/>
          <w:kern w:val="0"/>
          <w:sz w:val="32"/>
          <w:szCs w:val="32"/>
        </w:rPr>
        <w:t>万元，主要是所属事业单位在当年的</w:t>
      </w:r>
      <w:r>
        <w:rPr>
          <w:rFonts w:hint="eastAsia" w:ascii="仿宋_GB2312" w:eastAsia="仿宋_GB2312"/>
          <w:color w:val="000000" w:themeColor="text1"/>
          <w:kern w:val="0"/>
          <w:sz w:val="32"/>
          <w:szCs w:val="32"/>
        </w:rPr>
        <w:t>“</w:t>
      </w:r>
      <w:r>
        <w:rPr>
          <w:rFonts w:hint="eastAsia" w:ascii="仿宋_GB2312" w:eastAsia="仿宋_GB2312" w:cs="仿宋_GB2312"/>
          <w:color w:val="000000" w:themeColor="text1"/>
          <w:kern w:val="0"/>
          <w:sz w:val="32"/>
          <w:szCs w:val="32"/>
        </w:rPr>
        <w:t>财政拨款收入</w:t>
      </w:r>
      <w:r>
        <w:rPr>
          <w:rFonts w:hint="eastAsia" w:ascii="仿宋_GB2312" w:eastAsia="仿宋_GB2312"/>
          <w:color w:val="000000" w:themeColor="text1"/>
          <w:kern w:val="0"/>
          <w:sz w:val="32"/>
          <w:szCs w:val="32"/>
        </w:rPr>
        <w:t>”“</w:t>
      </w:r>
      <w:r>
        <w:rPr>
          <w:rFonts w:hint="eastAsia" w:ascii="仿宋_GB2312" w:eastAsia="仿宋_GB2312" w:cs="仿宋_GB2312"/>
          <w:color w:val="000000" w:themeColor="text1"/>
          <w:kern w:val="0"/>
          <w:sz w:val="32"/>
          <w:szCs w:val="32"/>
        </w:rPr>
        <w:t>事业收入</w:t>
      </w:r>
      <w:r>
        <w:rPr>
          <w:rFonts w:hint="eastAsia" w:ascii="仿宋_GB2312" w:eastAsia="仿宋_GB2312"/>
          <w:color w:val="000000" w:themeColor="text1"/>
          <w:kern w:val="0"/>
          <w:sz w:val="32"/>
          <w:szCs w:val="32"/>
        </w:rPr>
        <w:t>”“</w:t>
      </w:r>
      <w:r>
        <w:rPr>
          <w:rFonts w:hint="eastAsia" w:ascii="仿宋_GB2312" w:eastAsia="仿宋_GB2312" w:cs="仿宋_GB2312"/>
          <w:color w:val="000000" w:themeColor="text1"/>
          <w:kern w:val="0"/>
          <w:sz w:val="32"/>
          <w:szCs w:val="32"/>
        </w:rPr>
        <w:t>经营收入</w:t>
      </w:r>
      <w:r>
        <w:rPr>
          <w:rFonts w:hint="eastAsia" w:ascii="仿宋_GB2312" w:eastAsia="仿宋_GB2312"/>
          <w:color w:val="000000" w:themeColor="text1"/>
          <w:kern w:val="0"/>
          <w:sz w:val="32"/>
          <w:szCs w:val="32"/>
        </w:rPr>
        <w:t>”</w:t>
      </w:r>
      <w:r>
        <w:rPr>
          <w:rFonts w:hint="eastAsia" w:ascii="仿宋_GB2312" w:eastAsia="仿宋_GB2312" w:cs="仿宋_GB2312"/>
          <w:color w:val="000000" w:themeColor="text1"/>
          <w:kern w:val="0"/>
          <w:sz w:val="32"/>
          <w:szCs w:val="32"/>
        </w:rPr>
        <w:t>及</w:t>
      </w:r>
      <w:r>
        <w:rPr>
          <w:rFonts w:hint="eastAsia" w:ascii="仿宋_GB2312" w:eastAsia="仿宋_GB2312"/>
          <w:color w:val="000000" w:themeColor="text1"/>
          <w:kern w:val="0"/>
          <w:sz w:val="32"/>
          <w:szCs w:val="32"/>
        </w:rPr>
        <w:t>“</w:t>
      </w:r>
      <w:r>
        <w:rPr>
          <w:rFonts w:hint="eastAsia" w:ascii="仿宋_GB2312" w:eastAsia="仿宋_GB2312" w:cs="仿宋_GB2312"/>
          <w:color w:val="000000" w:themeColor="text1"/>
          <w:kern w:val="0"/>
          <w:sz w:val="32"/>
          <w:szCs w:val="32"/>
        </w:rPr>
        <w:t>其他收入</w:t>
      </w:r>
      <w:r>
        <w:rPr>
          <w:rFonts w:hint="eastAsia" w:ascii="仿宋_GB2312" w:eastAsia="仿宋_GB2312"/>
          <w:color w:val="000000" w:themeColor="text1"/>
          <w:kern w:val="0"/>
          <w:sz w:val="32"/>
          <w:szCs w:val="32"/>
        </w:rPr>
        <w:t>”</w:t>
      </w:r>
      <w:r>
        <w:rPr>
          <w:rFonts w:hint="eastAsia" w:ascii="仿宋_GB2312" w:eastAsia="仿宋_GB2312" w:cs="仿宋_GB2312"/>
          <w:color w:val="000000" w:themeColor="text1"/>
          <w:kern w:val="0"/>
          <w:sz w:val="32"/>
          <w:szCs w:val="32"/>
        </w:rPr>
        <w:t>不能保证其支出的情况下，使用以前年度积累的非财政拨款结余弥补本年度收支缺口的资金。</w:t>
      </w:r>
      <w:r>
        <w:rPr>
          <w:rFonts w:hint="eastAsia" w:ascii="仿宋_GB2312" w:hAnsi="黑体" w:eastAsia="仿宋_GB2312" w:cs="仿宋_GB2312"/>
          <w:color w:val="000000" w:themeColor="text1"/>
          <w:kern w:val="0"/>
          <w:sz w:val="32"/>
          <w:szCs w:val="32"/>
        </w:rPr>
        <w:t>较2020年度决算数增加0万元，增长0 %。</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color w:val="000000" w:themeColor="text1"/>
          <w:kern w:val="0"/>
          <w:sz w:val="32"/>
          <w:szCs w:val="32"/>
        </w:rPr>
        <w:t>7、上年结转和结余</w:t>
      </w:r>
      <w:r>
        <w:rPr>
          <w:rFonts w:hint="eastAsia" w:ascii="仿宋_GB2312" w:eastAsia="仿宋_GB2312"/>
          <w:color w:val="000000" w:themeColor="text1"/>
          <w:kern w:val="0"/>
          <w:sz w:val="32"/>
          <w:szCs w:val="32"/>
        </w:rPr>
        <w:t>0</w:t>
      </w:r>
      <w:r>
        <w:rPr>
          <w:rFonts w:hint="eastAsia" w:ascii="仿宋_GB2312" w:eastAsia="仿宋_GB2312" w:cs="仿宋_GB2312"/>
          <w:color w:val="000000" w:themeColor="text1"/>
          <w:kern w:val="0"/>
          <w:sz w:val="32"/>
          <w:szCs w:val="32"/>
        </w:rPr>
        <w:t>万元，为以前年度支出预算因客观条件变化未执行完毕、结转到本年度按有关规定继续使用的资金。</w:t>
      </w:r>
      <w:r>
        <w:rPr>
          <w:rFonts w:hint="eastAsia" w:ascii="仿宋_GB2312" w:hAnsi="黑体" w:eastAsia="仿宋_GB2312" w:cs="仿宋_GB2312"/>
          <w:color w:val="000000" w:themeColor="text1"/>
          <w:kern w:val="0"/>
          <w:sz w:val="32"/>
          <w:szCs w:val="32"/>
        </w:rPr>
        <w:t>较2020年度决算数增加0万元，增长0 %。</w:t>
      </w:r>
    </w:p>
    <w:p>
      <w:pPr>
        <w:autoSpaceDE w:val="0"/>
        <w:autoSpaceDN w:val="0"/>
        <w:adjustRightInd w:val="0"/>
        <w:spacing w:line="58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三、</w:t>
      </w:r>
      <w:r>
        <w:rPr>
          <w:rFonts w:hint="eastAsia" w:eastAsia="仿宋_GB2312"/>
          <w:b/>
          <w:kern w:val="0"/>
          <w:sz w:val="32"/>
          <w:szCs w:val="32"/>
        </w:rPr>
        <w:t>2021年</w:t>
      </w:r>
      <w:r>
        <w:rPr>
          <w:rFonts w:hint="eastAsia" w:ascii="仿宋_GB2312" w:eastAsia="仿宋_GB2312" w:cs="仿宋_GB2312"/>
          <w:b/>
          <w:kern w:val="0"/>
          <w:sz w:val="32"/>
          <w:szCs w:val="32"/>
        </w:rPr>
        <w:t>度支出决算情况</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本年支出合计215.09 万元，其中：基本支出169.07万元，占78.60%；项目支出46.02万元， 占21.40%。按功能科目分类：</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1、机关事业单位基本养老保险缴费14.24万元，与上年相比增加2.77万元，增长29.25%，增加原因是人员变动造成经费收入变动；</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2、机关事业单位职业年金缴费4.08元，与上年相比增加1.06万元，增长35.33%，增加原因是人员变动造成经费收入变动；</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3、事业单位医疗6.99元，与上年相比增加2.06万元，增长29.47%，增加原因是人员变动造成经费收入变动；</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4、城乡社区规划与管理166.04元，与上年相比增加30.12万元，增长22.16%，增加原因是人员变动造成经费收入变动；</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5、事业运行5.37元，与上年相比增加0.98万元，增长22.32%，增加原因是人员变动造成经费收入变动；</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6、住房公积金18.37元，与上年相比增加4.39万元，增长31.40%，增加原因是人员变动造成经费收入变动；</w:t>
      </w:r>
    </w:p>
    <w:p>
      <w:pPr>
        <w:autoSpaceDE w:val="0"/>
        <w:autoSpaceDN w:val="0"/>
        <w:adjustRightInd w:val="0"/>
        <w:spacing w:line="58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四、</w:t>
      </w:r>
      <w:r>
        <w:rPr>
          <w:rFonts w:hint="eastAsia" w:eastAsia="仿宋_GB2312"/>
          <w:b/>
          <w:kern w:val="0"/>
          <w:sz w:val="32"/>
          <w:szCs w:val="32"/>
        </w:rPr>
        <w:t>2021年</w:t>
      </w:r>
      <w:r>
        <w:rPr>
          <w:rFonts w:hint="eastAsia" w:ascii="仿宋_GB2312" w:eastAsia="仿宋_GB2312" w:cs="仿宋_GB2312"/>
          <w:b/>
          <w:kern w:val="0"/>
          <w:sz w:val="32"/>
          <w:szCs w:val="32"/>
        </w:rPr>
        <w:t>度财政拨款收入支出决算情况</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 xml:space="preserve"> 本单位2021年度财政拨款收、支总决算215.09万元、215.09万元。与 2020年相比，财政拨款收入增加45.81万元、增长27.06%；</w:t>
      </w:r>
    </w:p>
    <w:p>
      <w:pPr>
        <w:autoSpaceDE w:val="0"/>
        <w:autoSpaceDN w:val="0"/>
        <w:adjustRightInd w:val="0"/>
        <w:spacing w:line="560" w:lineRule="exact"/>
        <w:ind w:firstLine="627" w:firstLineChars="196"/>
        <w:jc w:val="left"/>
        <w:rPr>
          <w:rFonts w:ascii="仿宋_GB2312" w:eastAsia="仿宋_GB2312" w:cs="仿宋_GB2312"/>
          <w:color w:val="000000" w:themeColor="text1"/>
          <w:kern w:val="0"/>
          <w:sz w:val="32"/>
          <w:szCs w:val="32"/>
        </w:rPr>
      </w:pPr>
      <w:r>
        <w:rPr>
          <w:rFonts w:hint="eastAsia" w:ascii="仿宋_GB2312" w:eastAsia="仿宋_GB2312" w:cs="仿宋_GB2312"/>
          <w:bCs/>
          <w:kern w:val="0"/>
          <w:sz w:val="32"/>
          <w:szCs w:val="32"/>
        </w:rPr>
        <w:t>1、一般公共预算财政拨款收入215.09万元；占比100%。</w:t>
      </w:r>
      <w:r>
        <w:rPr>
          <w:rFonts w:hint="eastAsia" w:ascii="仿宋_GB2312" w:eastAsia="仿宋_GB2312" w:cs="仿宋_GB2312"/>
          <w:color w:val="000000" w:themeColor="text1"/>
          <w:kern w:val="0"/>
          <w:sz w:val="32"/>
          <w:szCs w:val="32"/>
        </w:rPr>
        <w:t>其中：政府性基金预算财政拨款收入</w:t>
      </w:r>
      <w:r>
        <w:rPr>
          <w:rFonts w:hint="eastAsia" w:ascii="仿宋_GB2312" w:eastAsia="仿宋_GB2312"/>
          <w:color w:val="000000" w:themeColor="text1"/>
          <w:kern w:val="0"/>
          <w:sz w:val="32"/>
          <w:szCs w:val="32"/>
        </w:rPr>
        <w:t>0</w:t>
      </w:r>
      <w:r>
        <w:rPr>
          <w:rFonts w:hint="eastAsia" w:ascii="仿宋_GB2312" w:eastAsia="仿宋_GB2312" w:cs="仿宋_GB2312"/>
          <w:color w:val="000000" w:themeColor="text1"/>
          <w:kern w:val="0"/>
          <w:sz w:val="32"/>
          <w:szCs w:val="32"/>
        </w:rPr>
        <w:t>万元，为财政当年拨付的资金。</w:t>
      </w:r>
      <w:r>
        <w:rPr>
          <w:rFonts w:hint="eastAsia" w:ascii="仿宋_GB2312" w:hAnsi="黑体" w:eastAsia="仿宋_GB2312" w:cs="仿宋_GB2312"/>
          <w:color w:val="000000" w:themeColor="text1"/>
          <w:kern w:val="0"/>
          <w:sz w:val="32"/>
          <w:szCs w:val="32"/>
        </w:rPr>
        <w:t>较2020年度决算数增加0 元，增长0%。</w:t>
      </w:r>
    </w:p>
    <w:p>
      <w:pPr>
        <w:autoSpaceDE w:val="0"/>
        <w:autoSpaceDN w:val="0"/>
        <w:adjustRightInd w:val="0"/>
        <w:spacing w:line="560" w:lineRule="exact"/>
        <w:ind w:firstLine="627" w:firstLineChars="196"/>
        <w:jc w:val="left"/>
        <w:rPr>
          <w:rFonts w:ascii="仿宋_GB2312" w:hAnsi="黑体"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2、国有资本经营预算财政拨款收入</w:t>
      </w:r>
      <w:r>
        <w:rPr>
          <w:rFonts w:hint="eastAsia" w:ascii="仿宋_GB2312" w:eastAsia="仿宋_GB2312"/>
          <w:color w:val="000000" w:themeColor="text1"/>
          <w:kern w:val="0"/>
          <w:sz w:val="32"/>
          <w:szCs w:val="32"/>
        </w:rPr>
        <w:t>0</w:t>
      </w:r>
      <w:r>
        <w:rPr>
          <w:rFonts w:hint="eastAsia" w:ascii="仿宋_GB2312" w:eastAsia="仿宋_GB2312" w:cs="仿宋_GB2312"/>
          <w:color w:val="000000" w:themeColor="text1"/>
          <w:kern w:val="0"/>
          <w:sz w:val="32"/>
          <w:szCs w:val="32"/>
        </w:rPr>
        <w:t>万元，为财政当年拨付的资金。</w:t>
      </w:r>
      <w:r>
        <w:rPr>
          <w:rFonts w:hint="eastAsia" w:ascii="仿宋_GB2312" w:hAnsi="黑体" w:eastAsia="仿宋_GB2312" w:cs="仿宋_GB2312"/>
          <w:color w:val="000000" w:themeColor="text1"/>
          <w:kern w:val="0"/>
          <w:sz w:val="32"/>
          <w:szCs w:val="32"/>
        </w:rPr>
        <w:t>较2020年度决算数增加0万元，增长0 %。</w:t>
      </w:r>
    </w:p>
    <w:p>
      <w:pPr>
        <w:autoSpaceDE w:val="0"/>
        <w:autoSpaceDN w:val="0"/>
        <w:adjustRightInd w:val="0"/>
        <w:spacing w:line="560" w:lineRule="exact"/>
        <w:ind w:firstLine="627" w:firstLineChars="196"/>
        <w:jc w:val="left"/>
        <w:rPr>
          <w:rFonts w:ascii="仿宋_GB2312"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3、事业收入</w:t>
      </w:r>
      <w:r>
        <w:rPr>
          <w:rFonts w:hint="eastAsia" w:ascii="仿宋_GB2312" w:eastAsia="仿宋_GB2312"/>
          <w:color w:val="000000" w:themeColor="text1"/>
          <w:kern w:val="0"/>
          <w:sz w:val="32"/>
          <w:szCs w:val="32"/>
        </w:rPr>
        <w:t>0</w:t>
      </w:r>
      <w:r>
        <w:rPr>
          <w:rFonts w:hint="eastAsia" w:ascii="仿宋_GB2312" w:eastAsia="仿宋_GB2312" w:cs="仿宋_GB2312"/>
          <w:color w:val="000000" w:themeColor="text1"/>
          <w:kern w:val="0"/>
          <w:sz w:val="32"/>
          <w:szCs w:val="32"/>
        </w:rPr>
        <w:t>万元，为事业单位开展业务活动取得的收入。</w:t>
      </w:r>
      <w:r>
        <w:rPr>
          <w:rFonts w:hint="eastAsia" w:ascii="仿宋_GB2312" w:hAnsi="黑体" w:eastAsia="仿宋_GB2312" w:cs="仿宋_GB2312"/>
          <w:color w:val="000000" w:themeColor="text1"/>
          <w:kern w:val="0"/>
          <w:sz w:val="32"/>
          <w:szCs w:val="32"/>
        </w:rPr>
        <w:t>较2020年度决算数增加0万元，增长0 %。</w:t>
      </w:r>
    </w:p>
    <w:p>
      <w:pPr>
        <w:autoSpaceDE w:val="0"/>
        <w:autoSpaceDN w:val="0"/>
        <w:adjustRightInd w:val="0"/>
        <w:spacing w:line="560" w:lineRule="exact"/>
        <w:ind w:firstLine="627" w:firstLineChars="196"/>
        <w:jc w:val="left"/>
        <w:rPr>
          <w:rFonts w:ascii="仿宋_GB2312"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4、经营收入</w:t>
      </w:r>
      <w:r>
        <w:rPr>
          <w:rFonts w:hint="eastAsia" w:ascii="仿宋_GB2312" w:eastAsia="仿宋_GB2312"/>
          <w:color w:val="000000" w:themeColor="text1"/>
          <w:kern w:val="0"/>
          <w:sz w:val="32"/>
          <w:szCs w:val="32"/>
        </w:rPr>
        <w:t>0</w:t>
      </w:r>
      <w:r>
        <w:rPr>
          <w:rFonts w:hint="eastAsia" w:ascii="仿宋_GB2312" w:eastAsia="仿宋_GB2312" w:cs="仿宋_GB2312"/>
          <w:color w:val="000000" w:themeColor="text1"/>
          <w:kern w:val="0"/>
          <w:sz w:val="32"/>
          <w:szCs w:val="32"/>
        </w:rPr>
        <w:t>万元，为事业单位在业务活动之外开展非独立核算经营活动取得的收入。</w:t>
      </w:r>
      <w:r>
        <w:rPr>
          <w:rFonts w:hint="eastAsia" w:ascii="仿宋_GB2312" w:hAnsi="黑体" w:eastAsia="仿宋_GB2312" w:cs="仿宋_GB2312"/>
          <w:color w:val="000000" w:themeColor="text1"/>
          <w:kern w:val="0"/>
          <w:sz w:val="32"/>
          <w:szCs w:val="32"/>
        </w:rPr>
        <w:t>较2020年度决算数增加0万元，增长0 %。</w:t>
      </w:r>
    </w:p>
    <w:p>
      <w:pPr>
        <w:autoSpaceDE w:val="0"/>
        <w:autoSpaceDN w:val="0"/>
        <w:adjustRightInd w:val="0"/>
        <w:spacing w:line="560" w:lineRule="exact"/>
        <w:ind w:firstLine="627" w:firstLineChars="196"/>
        <w:jc w:val="left"/>
        <w:rPr>
          <w:rFonts w:ascii="仿宋_GB2312"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5、其他收入</w:t>
      </w:r>
      <w:r>
        <w:rPr>
          <w:rFonts w:hint="eastAsia" w:ascii="仿宋_GB2312" w:eastAsia="仿宋_GB2312"/>
          <w:color w:val="000000" w:themeColor="text1"/>
          <w:kern w:val="0"/>
          <w:sz w:val="32"/>
          <w:szCs w:val="32"/>
        </w:rPr>
        <w:t>0</w:t>
      </w:r>
      <w:r>
        <w:rPr>
          <w:rFonts w:hint="eastAsia" w:ascii="仿宋_GB2312" w:eastAsia="仿宋_GB2312" w:cs="仿宋_GB2312"/>
          <w:color w:val="000000" w:themeColor="text1"/>
          <w:kern w:val="0"/>
          <w:sz w:val="32"/>
          <w:szCs w:val="32"/>
        </w:rPr>
        <w:t>万元，为部门单位在</w:t>
      </w:r>
      <w:r>
        <w:rPr>
          <w:rFonts w:hint="eastAsia" w:ascii="仿宋_GB2312" w:eastAsia="仿宋_GB2312"/>
          <w:color w:val="000000" w:themeColor="text1"/>
          <w:kern w:val="0"/>
          <w:sz w:val="32"/>
          <w:szCs w:val="32"/>
        </w:rPr>
        <w:t>“</w:t>
      </w:r>
      <w:r>
        <w:rPr>
          <w:rFonts w:hint="eastAsia" w:ascii="仿宋_GB2312" w:eastAsia="仿宋_GB2312" w:cs="仿宋_GB2312"/>
          <w:color w:val="000000" w:themeColor="text1"/>
          <w:kern w:val="0"/>
          <w:sz w:val="32"/>
          <w:szCs w:val="32"/>
        </w:rPr>
        <w:t>财政拨款收入</w:t>
      </w:r>
      <w:r>
        <w:rPr>
          <w:rFonts w:hint="eastAsia" w:ascii="仿宋_GB2312" w:eastAsia="仿宋_GB2312"/>
          <w:color w:val="000000" w:themeColor="text1"/>
          <w:kern w:val="0"/>
          <w:sz w:val="32"/>
          <w:szCs w:val="32"/>
        </w:rPr>
        <w:t>”“</w:t>
      </w:r>
      <w:r>
        <w:rPr>
          <w:rFonts w:hint="eastAsia" w:ascii="仿宋_GB2312" w:eastAsia="仿宋_GB2312" w:cs="仿宋_GB2312"/>
          <w:color w:val="000000" w:themeColor="text1"/>
          <w:kern w:val="0"/>
          <w:sz w:val="32"/>
          <w:szCs w:val="32"/>
        </w:rPr>
        <w:t>事业收入</w:t>
      </w:r>
      <w:r>
        <w:rPr>
          <w:rFonts w:hint="eastAsia" w:ascii="仿宋_GB2312" w:eastAsia="仿宋_GB2312"/>
          <w:color w:val="000000" w:themeColor="text1"/>
          <w:kern w:val="0"/>
          <w:sz w:val="32"/>
          <w:szCs w:val="32"/>
        </w:rPr>
        <w:t>”“</w:t>
      </w:r>
      <w:r>
        <w:rPr>
          <w:rFonts w:hint="eastAsia" w:ascii="仿宋_GB2312" w:eastAsia="仿宋_GB2312" w:cs="仿宋_GB2312"/>
          <w:color w:val="000000" w:themeColor="text1"/>
          <w:kern w:val="0"/>
          <w:sz w:val="32"/>
          <w:szCs w:val="32"/>
        </w:rPr>
        <w:t>经营收入</w:t>
      </w:r>
      <w:r>
        <w:rPr>
          <w:rFonts w:hint="eastAsia" w:ascii="仿宋_GB2312" w:eastAsia="仿宋_GB2312"/>
          <w:color w:val="000000" w:themeColor="text1"/>
          <w:kern w:val="0"/>
          <w:sz w:val="32"/>
          <w:szCs w:val="32"/>
        </w:rPr>
        <w:t>”</w:t>
      </w:r>
      <w:r>
        <w:rPr>
          <w:rFonts w:hint="eastAsia" w:ascii="仿宋_GB2312" w:eastAsia="仿宋_GB2312" w:cs="仿宋_GB2312"/>
          <w:color w:val="000000" w:themeColor="text1"/>
          <w:kern w:val="0"/>
          <w:sz w:val="32"/>
          <w:szCs w:val="32"/>
        </w:rPr>
        <w:t>之外取得的收入。</w:t>
      </w:r>
      <w:r>
        <w:rPr>
          <w:rFonts w:hint="eastAsia" w:ascii="仿宋_GB2312" w:hAnsi="黑体" w:eastAsia="仿宋_GB2312" w:cs="仿宋_GB2312"/>
          <w:color w:val="000000" w:themeColor="text1"/>
          <w:kern w:val="0"/>
          <w:sz w:val="32"/>
          <w:szCs w:val="32"/>
        </w:rPr>
        <w:t>较2020年度决决算数增加0万元，增长0 %。</w:t>
      </w:r>
    </w:p>
    <w:p>
      <w:pPr>
        <w:autoSpaceDE w:val="0"/>
        <w:autoSpaceDN w:val="0"/>
        <w:adjustRightInd w:val="0"/>
        <w:spacing w:line="560" w:lineRule="exact"/>
        <w:ind w:firstLine="627" w:firstLineChars="196"/>
        <w:jc w:val="left"/>
        <w:rPr>
          <w:rFonts w:ascii="仿宋_GB2312"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6、使用非财政拨款结余</w:t>
      </w:r>
      <w:r>
        <w:rPr>
          <w:rFonts w:hint="eastAsia" w:ascii="仿宋_GB2312" w:eastAsia="仿宋_GB2312"/>
          <w:color w:val="000000" w:themeColor="text1"/>
          <w:kern w:val="0"/>
          <w:sz w:val="32"/>
          <w:szCs w:val="32"/>
        </w:rPr>
        <w:t>0</w:t>
      </w:r>
      <w:r>
        <w:rPr>
          <w:rFonts w:hint="eastAsia" w:ascii="仿宋_GB2312" w:eastAsia="仿宋_GB2312" w:cs="仿宋_GB2312"/>
          <w:color w:val="000000" w:themeColor="text1"/>
          <w:kern w:val="0"/>
          <w:sz w:val="32"/>
          <w:szCs w:val="32"/>
        </w:rPr>
        <w:t>万元，主要是所属事业单位在当年的</w:t>
      </w:r>
      <w:r>
        <w:rPr>
          <w:rFonts w:hint="eastAsia" w:ascii="仿宋_GB2312" w:eastAsia="仿宋_GB2312"/>
          <w:color w:val="000000" w:themeColor="text1"/>
          <w:kern w:val="0"/>
          <w:sz w:val="32"/>
          <w:szCs w:val="32"/>
        </w:rPr>
        <w:t>“</w:t>
      </w:r>
      <w:r>
        <w:rPr>
          <w:rFonts w:hint="eastAsia" w:ascii="仿宋_GB2312" w:eastAsia="仿宋_GB2312" w:cs="仿宋_GB2312"/>
          <w:color w:val="000000" w:themeColor="text1"/>
          <w:kern w:val="0"/>
          <w:sz w:val="32"/>
          <w:szCs w:val="32"/>
        </w:rPr>
        <w:t>财政拨款收入</w:t>
      </w:r>
      <w:r>
        <w:rPr>
          <w:rFonts w:hint="eastAsia" w:ascii="仿宋_GB2312" w:eastAsia="仿宋_GB2312"/>
          <w:color w:val="000000" w:themeColor="text1"/>
          <w:kern w:val="0"/>
          <w:sz w:val="32"/>
          <w:szCs w:val="32"/>
        </w:rPr>
        <w:t>”“</w:t>
      </w:r>
      <w:r>
        <w:rPr>
          <w:rFonts w:hint="eastAsia" w:ascii="仿宋_GB2312" w:eastAsia="仿宋_GB2312" w:cs="仿宋_GB2312"/>
          <w:color w:val="000000" w:themeColor="text1"/>
          <w:kern w:val="0"/>
          <w:sz w:val="32"/>
          <w:szCs w:val="32"/>
        </w:rPr>
        <w:t>事业收入</w:t>
      </w:r>
      <w:r>
        <w:rPr>
          <w:rFonts w:hint="eastAsia" w:ascii="仿宋_GB2312" w:eastAsia="仿宋_GB2312"/>
          <w:color w:val="000000" w:themeColor="text1"/>
          <w:kern w:val="0"/>
          <w:sz w:val="32"/>
          <w:szCs w:val="32"/>
        </w:rPr>
        <w:t>”“</w:t>
      </w:r>
      <w:r>
        <w:rPr>
          <w:rFonts w:hint="eastAsia" w:ascii="仿宋_GB2312" w:eastAsia="仿宋_GB2312" w:cs="仿宋_GB2312"/>
          <w:color w:val="000000" w:themeColor="text1"/>
          <w:kern w:val="0"/>
          <w:sz w:val="32"/>
          <w:szCs w:val="32"/>
        </w:rPr>
        <w:t>经营收入</w:t>
      </w:r>
      <w:r>
        <w:rPr>
          <w:rFonts w:hint="eastAsia" w:ascii="仿宋_GB2312" w:eastAsia="仿宋_GB2312"/>
          <w:color w:val="000000" w:themeColor="text1"/>
          <w:kern w:val="0"/>
          <w:sz w:val="32"/>
          <w:szCs w:val="32"/>
        </w:rPr>
        <w:t>”</w:t>
      </w:r>
      <w:r>
        <w:rPr>
          <w:rFonts w:hint="eastAsia" w:ascii="仿宋_GB2312" w:eastAsia="仿宋_GB2312" w:cs="仿宋_GB2312"/>
          <w:color w:val="000000" w:themeColor="text1"/>
          <w:kern w:val="0"/>
          <w:sz w:val="32"/>
          <w:szCs w:val="32"/>
        </w:rPr>
        <w:t>及</w:t>
      </w:r>
      <w:r>
        <w:rPr>
          <w:rFonts w:hint="eastAsia" w:ascii="仿宋_GB2312" w:eastAsia="仿宋_GB2312"/>
          <w:color w:val="000000" w:themeColor="text1"/>
          <w:kern w:val="0"/>
          <w:sz w:val="32"/>
          <w:szCs w:val="32"/>
        </w:rPr>
        <w:t>“</w:t>
      </w:r>
      <w:r>
        <w:rPr>
          <w:rFonts w:hint="eastAsia" w:ascii="仿宋_GB2312" w:eastAsia="仿宋_GB2312" w:cs="仿宋_GB2312"/>
          <w:color w:val="000000" w:themeColor="text1"/>
          <w:kern w:val="0"/>
          <w:sz w:val="32"/>
          <w:szCs w:val="32"/>
        </w:rPr>
        <w:t>其他收入</w:t>
      </w:r>
      <w:r>
        <w:rPr>
          <w:rFonts w:hint="eastAsia" w:ascii="仿宋_GB2312" w:eastAsia="仿宋_GB2312"/>
          <w:color w:val="000000" w:themeColor="text1"/>
          <w:kern w:val="0"/>
          <w:sz w:val="32"/>
          <w:szCs w:val="32"/>
        </w:rPr>
        <w:t>”</w:t>
      </w:r>
      <w:r>
        <w:rPr>
          <w:rFonts w:hint="eastAsia" w:ascii="仿宋_GB2312" w:eastAsia="仿宋_GB2312" w:cs="仿宋_GB2312"/>
          <w:color w:val="000000" w:themeColor="text1"/>
          <w:kern w:val="0"/>
          <w:sz w:val="32"/>
          <w:szCs w:val="32"/>
        </w:rPr>
        <w:t>不能保证其支出的情况下，使用以前年度积累的非财政拨款结余弥补本年度收支缺口的资金。</w:t>
      </w:r>
      <w:r>
        <w:rPr>
          <w:rFonts w:hint="eastAsia" w:ascii="仿宋_GB2312" w:hAnsi="黑体" w:eastAsia="仿宋_GB2312" w:cs="仿宋_GB2312"/>
          <w:color w:val="000000" w:themeColor="text1"/>
          <w:kern w:val="0"/>
          <w:sz w:val="32"/>
          <w:szCs w:val="32"/>
        </w:rPr>
        <w:t>较2020年度决算数增加0万元，增长0 %。</w:t>
      </w:r>
    </w:p>
    <w:p>
      <w:pPr>
        <w:autoSpaceDE w:val="0"/>
        <w:autoSpaceDN w:val="0"/>
        <w:adjustRightInd w:val="0"/>
        <w:spacing w:line="580" w:lineRule="exact"/>
        <w:ind w:firstLine="640" w:firstLineChars="200"/>
        <w:jc w:val="left"/>
        <w:rPr>
          <w:rFonts w:hint="eastAsia" w:ascii="仿宋_GB2312" w:hAnsi="黑体"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7、上年结转和结余</w:t>
      </w:r>
      <w:r>
        <w:rPr>
          <w:rFonts w:hint="eastAsia" w:ascii="仿宋_GB2312" w:eastAsia="仿宋_GB2312"/>
          <w:color w:val="000000" w:themeColor="text1"/>
          <w:kern w:val="0"/>
          <w:sz w:val="32"/>
          <w:szCs w:val="32"/>
        </w:rPr>
        <w:t>0</w:t>
      </w:r>
      <w:r>
        <w:rPr>
          <w:rFonts w:hint="eastAsia" w:ascii="仿宋_GB2312" w:eastAsia="仿宋_GB2312" w:cs="仿宋_GB2312"/>
          <w:color w:val="000000" w:themeColor="text1"/>
          <w:kern w:val="0"/>
          <w:sz w:val="32"/>
          <w:szCs w:val="32"/>
        </w:rPr>
        <w:t>万元，为以前年度支出预算因客观条件变化未执行完毕、结转到本年度按有关规定继续使用的资金。</w:t>
      </w:r>
      <w:r>
        <w:rPr>
          <w:rFonts w:hint="eastAsia" w:ascii="仿宋_GB2312" w:hAnsi="黑体" w:eastAsia="仿宋_GB2312" w:cs="仿宋_GB2312"/>
          <w:color w:val="000000" w:themeColor="text1"/>
          <w:kern w:val="0"/>
          <w:sz w:val="32"/>
          <w:szCs w:val="32"/>
        </w:rPr>
        <w:t>较2020年度决算数增加0万元，增长0 %。</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与 2020年相比，财政拨款支出增加4.73万元、增长29.32%，其中：</w:t>
      </w:r>
    </w:p>
    <w:p>
      <w:pPr>
        <w:spacing w:line="520" w:lineRule="exact"/>
        <w:ind w:firstLine="614" w:firstLineChars="192"/>
        <w:rPr>
          <w:rFonts w:hint="eastAsia" w:ascii="仿宋_GB2312" w:eastAsia="仿宋_GB2312" w:cs="仿宋_GB2312"/>
          <w:bCs/>
          <w:kern w:val="0"/>
          <w:sz w:val="32"/>
          <w:szCs w:val="32"/>
        </w:rPr>
      </w:pPr>
      <w:r>
        <w:rPr>
          <w:rFonts w:hint="eastAsia" w:ascii="仿宋_GB2312" w:eastAsia="仿宋_GB2312" w:cs="仿宋_GB2312"/>
          <w:bCs/>
          <w:kern w:val="0"/>
          <w:sz w:val="32"/>
          <w:szCs w:val="32"/>
        </w:rPr>
        <w:t>1、基本支出169.07万元，与上年相比增加26.78万元，增长23.84%，增加原因是人员变动造成经费收入变动；</w:t>
      </w:r>
    </w:p>
    <w:p>
      <w:pPr>
        <w:spacing w:line="520" w:lineRule="exact"/>
        <w:ind w:firstLine="614" w:firstLineChars="192"/>
        <w:rPr>
          <w:rFonts w:hint="eastAsia" w:ascii="仿宋_GB2312" w:eastAsia="仿宋_GB2312" w:cs="仿宋_GB2312"/>
          <w:bCs/>
          <w:kern w:val="0"/>
          <w:sz w:val="32"/>
          <w:szCs w:val="32"/>
        </w:rPr>
      </w:pPr>
      <w:r>
        <w:rPr>
          <w:rFonts w:hint="eastAsia" w:ascii="仿宋_GB2312" w:eastAsia="仿宋_GB2312" w:cs="仿宋_GB2312"/>
          <w:bCs/>
          <w:kern w:val="0"/>
          <w:sz w:val="32"/>
          <w:szCs w:val="32"/>
        </w:rPr>
        <w:t>项目支出46.02万元与上年相比减少3万元，下降6.12%，增加原因是项目工作经费减少；</w:t>
      </w:r>
    </w:p>
    <w:p>
      <w:pPr>
        <w:spacing w:line="520" w:lineRule="exact"/>
        <w:ind w:firstLine="617" w:firstLineChars="192"/>
        <w:rPr>
          <w:rFonts w:eastAsia="仿宋_GB2312"/>
          <w:b/>
          <w:kern w:val="0"/>
          <w:sz w:val="32"/>
          <w:szCs w:val="32"/>
        </w:rPr>
      </w:pPr>
      <w:r>
        <w:rPr>
          <w:rFonts w:hint="eastAsia" w:ascii="仿宋_GB2312" w:eastAsia="仿宋_GB2312" w:cs="仿宋_GB2312"/>
          <w:b/>
          <w:kern w:val="0"/>
          <w:sz w:val="32"/>
          <w:szCs w:val="32"/>
        </w:rPr>
        <w:t>五、</w:t>
      </w:r>
      <w:r>
        <w:rPr>
          <w:rFonts w:hint="eastAsia" w:eastAsia="仿宋_GB2312"/>
          <w:b/>
          <w:kern w:val="0"/>
          <w:sz w:val="32"/>
          <w:szCs w:val="32"/>
        </w:rPr>
        <w:t>2021年度一般公共预算财政拨款支出决算情况</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（一）财政拨款支出决算情况。 </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本单位2021年度财政拨款支出215.09万元，占本年支出合计的100%。与 2020年相比，财政拨款支出增加53.78万元，增长33.34%。</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1、机关事业单位基本养老保险缴费14.24万元，与上年相比增加2.77万元，增长29.25%，增加原因是人员变动造成经费收入变动；</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2、机关事业单位职业年金缴费4.08元，与上年相比增加1.06万元，增长35.33%，增加原因是人员变动造成经费收入变动；</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3、事业单位医疗6.99元，与上年相比增加2.06万元，增长29.47%，增加原因是人员变动造成经费收入变动；</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4、城乡社区规划与管理166.04元，与上年相比增加30.12万元，增长22.16%，增加原因是人员变动造成经费收入变动；</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5、事业运行5.37元，与上年相比增加0.98万元，增长22.32%，增加原因是人员变动造成经费收入变动；</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6、住房公积金18.37元，与上年相比增加4.39万元，增长31.40%，增加原因是人员变动造成经费收入变动；</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（二）财政拨款支出决算结构情况</w:t>
      </w:r>
    </w:p>
    <w:p>
      <w:pPr>
        <w:autoSpaceDE w:val="0"/>
        <w:autoSpaceDN w:val="0"/>
        <w:adjustRightInd w:val="0"/>
        <w:spacing w:line="580" w:lineRule="exact"/>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 xml:space="preserve">     2021年度财政拨款支出215.09万元，主要用于以下方面：</w:t>
      </w:r>
    </w:p>
    <w:p>
      <w:pPr>
        <w:autoSpaceDE w:val="0"/>
        <w:autoSpaceDN w:val="0"/>
        <w:adjustRightInd w:val="0"/>
        <w:spacing w:line="580" w:lineRule="exact"/>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1、社会保障和就业支出18.32万元，占8.52%；</w:t>
      </w:r>
    </w:p>
    <w:p>
      <w:pPr>
        <w:autoSpaceDE w:val="0"/>
        <w:autoSpaceDN w:val="0"/>
        <w:adjustRightInd w:val="0"/>
        <w:spacing w:line="580" w:lineRule="exact"/>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2、卫生健康支出7.00万元，占3.25%；</w:t>
      </w:r>
    </w:p>
    <w:p>
      <w:pPr>
        <w:autoSpaceDE w:val="0"/>
        <w:autoSpaceDN w:val="0"/>
        <w:adjustRightInd w:val="0"/>
        <w:spacing w:line="580" w:lineRule="exact"/>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3、城乡社区支出166.04万元，占77.20%；</w:t>
      </w:r>
    </w:p>
    <w:p>
      <w:pPr>
        <w:autoSpaceDE w:val="0"/>
        <w:autoSpaceDN w:val="0"/>
        <w:adjustRightInd w:val="0"/>
        <w:spacing w:line="580" w:lineRule="exact"/>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4、自然资源海洋气象等支出5.37万元，占2.50%；</w:t>
      </w:r>
    </w:p>
    <w:p>
      <w:pPr>
        <w:autoSpaceDE w:val="0"/>
        <w:autoSpaceDN w:val="0"/>
        <w:adjustRightInd w:val="0"/>
        <w:spacing w:line="580" w:lineRule="exact"/>
        <w:jc w:val="left"/>
        <w:rPr>
          <w:rFonts w:ascii="仿宋_GB2312" w:eastAsia="仿宋_GB2312" w:cs="仿宋_GB2312"/>
          <w:bCs/>
          <w:color w:val="FF0000"/>
          <w:kern w:val="0"/>
          <w:sz w:val="32"/>
          <w:szCs w:val="32"/>
        </w:rPr>
      </w:pPr>
      <w:r>
        <w:rPr>
          <w:rFonts w:hint="eastAsia" w:ascii="仿宋_GB2312" w:eastAsia="仿宋_GB2312" w:cs="仿宋_GB2312"/>
          <w:bCs/>
          <w:kern w:val="0"/>
          <w:sz w:val="32"/>
          <w:szCs w:val="32"/>
        </w:rPr>
        <w:t>5、住房保障支出18.37万元，占8.54%。</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（三）财政拨款支出决算具体情况</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2021年度财政拨款支出年初预算为182.13万元，支出决算为215.09万元，完成年初预算的118.10%。决算数大于预算数的主要原因：人员变动造成工资、社保等经费支出增加。其中： </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1.社会保障和就业支出（类）行政事业单位养老支出（款）机关事业单位基本养老保险缴费支出（项）。 年初预算为12.69万元，支出决算为14.24万元，完 成年初预算的112.21%。决算数大于预算数的主要原因是2021年单位人员变动造成养老保险缴费支出增加。</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2. 社会保障和就业支出（类）行政事业单位养老支出（款）机关事业单位职业年金缴费支出（项）。年初预算为 6.35万元，支出决算为4.08万元，完成年初预算的64.25%。决算数小于预算数的主要原因是2021年单位人员变动造成职业年金缴费支出减少。 </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3.卫生健康支出（类）行政事业单位医疗（款）事业单位医疗（项）。年初 预算为6.25万元，支出决算为7.00万元，完成年初预算的112%。决算数大于预算数的主要原因是2021年单位人员变动造成事业单位医疗缴费支出增加。</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4.城乡社区支出（类）城乡社区规划与管理（款）城乡社区规划与管理（项）。年初预算为147.32万元，支出决算为166.04万元，完成年初预算的112.71%，决算数大于预算数的主要原因：人员变动造成工资、社保缴费支出有差异。</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6.自然资源海洋气象等支出。年初预算0元，支出决算数5.37万元。决算数大于预算数的主要原因：人员变动造成工资、社保缴费支出有差异。</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5.住房保障支出（类）住房改革支出（款）住房公积金（项）。年初预算为9.52万元，支出决算为18.37万元，完成年初预算的192.96%。决算数小于预算数的主要原因：人员变动造成住房公积金缴费有差异。</w:t>
      </w:r>
    </w:p>
    <w:p>
      <w:pPr>
        <w:autoSpaceDE w:val="0"/>
        <w:autoSpaceDN w:val="0"/>
        <w:adjustRightInd w:val="0"/>
        <w:spacing w:line="580" w:lineRule="exact"/>
        <w:ind w:firstLine="640" w:firstLineChars="200"/>
        <w:jc w:val="left"/>
        <w:rPr>
          <w:rFonts w:ascii="仿宋_GB2312" w:eastAsia="仿宋_GB2312" w:cs="仿宋_GB2312"/>
          <w:b/>
          <w:kern w:val="0"/>
          <w:sz w:val="32"/>
          <w:szCs w:val="32"/>
        </w:rPr>
      </w:pPr>
      <w:r>
        <w:rPr>
          <w:rFonts w:hint="eastAsia" w:ascii="仿宋_GB2312" w:eastAsia="仿宋_GB2312" w:cs="仿宋_GB2312"/>
          <w:bCs/>
          <w:kern w:val="0"/>
          <w:sz w:val="32"/>
          <w:szCs w:val="32"/>
        </w:rPr>
        <w:t>六、</w:t>
      </w:r>
      <w:r>
        <w:rPr>
          <w:rFonts w:hint="eastAsia" w:ascii="仿宋_GB2312" w:eastAsia="仿宋_GB2312" w:cs="仿宋_GB2312"/>
          <w:b/>
          <w:kern w:val="0"/>
          <w:sz w:val="32"/>
          <w:szCs w:val="32"/>
        </w:rPr>
        <w:t>2021年度一般公共预算财政拨款基本支出决算情况</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2021年度财政拨款基本支出169.07万元，其中：</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1、机关事业单位基本养老保险缴费14.24万元，与上年相比增加2.77万元，增长29.25%，增加原因是人员变动造成经费收入变动；</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2、机关事业单位职业年金缴费4.08元，与上年相比增加1.06万元，增长35.33%，增加原因是人员变动造成经费收入变动；</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3、事业单位医疗6.99元，与上年相比增加2.06万元，增长29.47%，增加原因是人员变动造成经费收入变动；</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4、基本工资、津贴补贴、 奖金、绩效工资106.11万元，与上年相比增加10.12万元，增长10.54%，增加原因是人员变动造成经费收入变动；</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5、事业运行5.37元，与上年相比增加0.98万元，增长22.32%，增加原因是人员变动造成经费收入变动；</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6、住房公积金18.37元，与上年相比增加4.39万元，增长31.40%，增加原因是人员变动造成经费收入变动；</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公用经费13.91万元，主要 包括：办公费、差旅费、维 修（护）费、工会经费、福利费，与上年相比减少3.76万元，下降21.69%，减少原因是人员日常公用经费开支减少；</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七、</w:t>
      </w:r>
      <w:r>
        <w:rPr>
          <w:rFonts w:hint="eastAsia" w:ascii="仿宋_GB2312" w:eastAsia="仿宋_GB2312" w:cs="仿宋_GB2312"/>
          <w:b/>
          <w:kern w:val="0"/>
          <w:sz w:val="32"/>
          <w:szCs w:val="32"/>
        </w:rPr>
        <w:t>2021年度一般公共预算财政拨款“三公” 经费支出决算情况</w:t>
      </w:r>
      <w:r>
        <w:rPr>
          <w:rFonts w:hint="eastAsia" w:ascii="仿宋_GB2312" w:eastAsia="仿宋_GB2312" w:cs="仿宋_GB2312"/>
          <w:bCs/>
          <w:kern w:val="0"/>
          <w:sz w:val="32"/>
          <w:szCs w:val="32"/>
        </w:rPr>
        <w:t xml:space="preserve"> </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（一）“三公”经费财政拨款支出决算总体情况 </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2021年度“三公”经费财政拨款支出预算为0.28万元，支出决算为0万元。2021年度“三公”经费支出决算数小于预算数的主要原因是认真贯彻落实</w:t>
      </w:r>
      <w:r>
        <w:rPr>
          <w:rFonts w:hint="eastAsia" w:ascii="仿宋_GB2312" w:eastAsia="仿宋_GB2312" w:cs="仿宋_GB2312"/>
          <w:bCs/>
          <w:kern w:val="0"/>
          <w:sz w:val="32"/>
          <w:szCs w:val="32"/>
          <w:lang w:eastAsia="zh-CN"/>
        </w:rPr>
        <w:t>中央八项规定精神</w:t>
      </w:r>
      <w:r>
        <w:rPr>
          <w:rFonts w:hint="eastAsia" w:ascii="仿宋_GB2312" w:eastAsia="仿宋_GB2312" w:cs="仿宋_GB2312"/>
          <w:bCs/>
          <w:kern w:val="0"/>
          <w:sz w:val="32"/>
          <w:szCs w:val="32"/>
        </w:rPr>
        <w:t>和厉行节约要求，进一步从严控制“三公”经费开支，全年实际支出0万元。</w:t>
      </w:r>
    </w:p>
    <w:p>
      <w:pPr>
        <w:autoSpaceDE w:val="0"/>
        <w:autoSpaceDN w:val="0"/>
        <w:adjustRightInd w:val="0"/>
        <w:spacing w:line="560" w:lineRule="exact"/>
        <w:ind w:firstLine="640" w:firstLineChars="200"/>
        <w:jc w:val="left"/>
        <w:rPr>
          <w:rFonts w:ascii="仿宋_GB2312"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具体情况如下：</w:t>
      </w:r>
    </w:p>
    <w:p>
      <w:pPr>
        <w:autoSpaceDE w:val="0"/>
        <w:autoSpaceDN w:val="0"/>
        <w:adjustRightInd w:val="0"/>
        <w:spacing w:line="560" w:lineRule="exact"/>
        <w:ind w:firstLine="640" w:firstLineChars="200"/>
        <w:jc w:val="left"/>
        <w:rPr>
          <w:rFonts w:ascii="仿宋_GB2312"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1、因公出国（境）费支出0万元，完成年初预算的100%，比上年增减0万元。全年使用财政拨款安排</w:t>
      </w:r>
      <w:r>
        <w:rPr>
          <w:rFonts w:hint="eastAsia" w:ascii="仿宋_GB2312" w:hAnsi="黑体" w:eastAsia="仿宋_GB2312"/>
          <w:bCs/>
          <w:color w:val="000000" w:themeColor="text1"/>
          <w:sz w:val="32"/>
          <w:szCs w:val="32"/>
        </w:rPr>
        <w:t>柳州市国土空间整治中心出国团组0个，参加其他单位组织的出国团组0个，全年因公出国（境）团组共计0个，累计0人次。</w:t>
      </w:r>
    </w:p>
    <w:p>
      <w:pPr>
        <w:autoSpaceDE w:val="0"/>
        <w:autoSpaceDN w:val="0"/>
        <w:adjustRightInd w:val="0"/>
        <w:spacing w:line="560" w:lineRule="exact"/>
        <w:ind w:firstLine="640" w:firstLineChars="200"/>
        <w:jc w:val="left"/>
        <w:rPr>
          <w:rFonts w:ascii="仿宋_GB2312"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2、公务用车购置及运行费支出0万元。其中：</w:t>
      </w:r>
    </w:p>
    <w:p>
      <w:pPr>
        <w:autoSpaceDE w:val="0"/>
        <w:autoSpaceDN w:val="0"/>
        <w:adjustRightInd w:val="0"/>
        <w:spacing w:line="560" w:lineRule="exact"/>
        <w:jc w:val="left"/>
        <w:rPr>
          <w:rFonts w:ascii="仿宋_GB2312"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公务用车购置支出0万元，与上年相比无增无减。公务用车运行支出0万元，与上年相比无增无减。</w:t>
      </w:r>
    </w:p>
    <w:p>
      <w:pPr>
        <w:autoSpaceDE w:val="0"/>
        <w:autoSpaceDN w:val="0"/>
        <w:adjustRightInd w:val="0"/>
        <w:spacing w:line="560" w:lineRule="exact"/>
        <w:jc w:val="left"/>
        <w:rPr>
          <w:rFonts w:ascii="仿宋_GB2312" w:eastAsia="仿宋_GB2312" w:cs="仿宋_GB2312"/>
          <w:color w:val="000000" w:themeColor="text1"/>
          <w:kern w:val="0"/>
          <w:sz w:val="32"/>
          <w:szCs w:val="32"/>
        </w:rPr>
      </w:pPr>
      <w:r>
        <w:rPr>
          <w:rFonts w:hint="eastAsia" w:ascii="仿宋_GB2312" w:eastAsia="仿宋_GB2312" w:cs="仿宋_GB2312"/>
          <w:color w:val="000000" w:themeColor="text1"/>
          <w:kern w:val="0"/>
          <w:sz w:val="32"/>
          <w:szCs w:val="32"/>
        </w:rPr>
        <w:t>3、公务接待费支出0万元，与上年相比无增无减。</w:t>
      </w:r>
    </w:p>
    <w:p>
      <w:pPr>
        <w:autoSpaceDE w:val="0"/>
        <w:autoSpaceDN w:val="0"/>
        <w:adjustRightInd w:val="0"/>
        <w:spacing w:line="580" w:lineRule="exact"/>
        <w:jc w:val="left"/>
        <w:rPr>
          <w:rFonts w:ascii="仿宋_GB2312" w:eastAsia="仿宋_GB2312" w:cs="仿宋_GB2312"/>
          <w:b/>
          <w:kern w:val="0"/>
          <w:sz w:val="32"/>
          <w:szCs w:val="32"/>
        </w:rPr>
      </w:pPr>
      <w:r>
        <w:rPr>
          <w:rFonts w:hint="eastAsia" w:ascii="仿宋_GB2312" w:eastAsia="仿宋_GB2312" w:cs="仿宋_GB2312"/>
          <w:bCs/>
          <w:kern w:val="0"/>
          <w:sz w:val="32"/>
          <w:szCs w:val="32"/>
        </w:rPr>
        <w:t xml:space="preserve">   八、</w:t>
      </w:r>
      <w:r>
        <w:rPr>
          <w:rFonts w:hint="eastAsia" w:ascii="仿宋_GB2312" w:eastAsia="仿宋_GB2312" w:cs="仿宋_GB2312"/>
          <w:b/>
          <w:kern w:val="0"/>
          <w:sz w:val="32"/>
          <w:szCs w:val="32"/>
        </w:rPr>
        <w:t xml:space="preserve">2021年度政府性基金预算财政拨款收入支出决算情况说明 </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1、2021年度</w:t>
      </w:r>
      <w:r>
        <w:rPr>
          <w:rFonts w:hint="eastAsia" w:ascii="仿宋_GB2312" w:eastAsia="仿宋_GB2312" w:cs="仿宋_GB2312"/>
          <w:bCs/>
          <w:kern w:val="0"/>
          <w:sz w:val="32"/>
          <w:szCs w:val="32"/>
          <w:lang w:eastAsia="zh-CN"/>
        </w:rPr>
        <w:t>政府性基金预算</w:t>
      </w:r>
      <w:r>
        <w:rPr>
          <w:rFonts w:hint="eastAsia" w:ascii="仿宋_GB2312" w:eastAsia="仿宋_GB2312" w:cs="仿宋_GB2312"/>
          <w:bCs/>
          <w:kern w:val="0"/>
          <w:sz w:val="32"/>
          <w:szCs w:val="32"/>
        </w:rPr>
        <w:t>财政拨款收入0万元，与 2020 年相比，</w:t>
      </w:r>
      <w:r>
        <w:rPr>
          <w:rFonts w:hint="eastAsia" w:ascii="仿宋_GB2312" w:eastAsia="仿宋_GB2312" w:cs="仿宋_GB2312"/>
          <w:color w:val="000000" w:themeColor="text1"/>
          <w:kern w:val="0"/>
          <w:sz w:val="32"/>
          <w:szCs w:val="32"/>
        </w:rPr>
        <w:t>无增无减。</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2、支出总决算0万元。与 2020 年相比，</w:t>
      </w:r>
      <w:r>
        <w:rPr>
          <w:rFonts w:hint="eastAsia" w:ascii="仿宋_GB2312" w:eastAsia="仿宋_GB2312" w:cs="仿宋_GB2312"/>
          <w:color w:val="000000" w:themeColor="text1"/>
          <w:kern w:val="0"/>
          <w:sz w:val="32"/>
          <w:szCs w:val="32"/>
        </w:rPr>
        <w:t>无增无减</w:t>
      </w:r>
      <w:r>
        <w:rPr>
          <w:rFonts w:hint="eastAsia" w:ascii="仿宋_GB2312" w:eastAsia="仿宋_GB2312" w:cs="仿宋_GB2312"/>
          <w:bCs/>
          <w:kern w:val="0"/>
          <w:sz w:val="32"/>
          <w:szCs w:val="32"/>
        </w:rPr>
        <w:t>。</w:t>
      </w:r>
    </w:p>
    <w:p>
      <w:pPr>
        <w:autoSpaceDE w:val="0"/>
        <w:autoSpaceDN w:val="0"/>
        <w:adjustRightInd w:val="0"/>
        <w:spacing w:line="580" w:lineRule="exact"/>
        <w:jc w:val="left"/>
        <w:rPr>
          <w:rFonts w:ascii="仿宋_GB2312" w:eastAsia="仿宋_GB2312" w:cs="仿宋_GB2312"/>
          <w:b/>
          <w:kern w:val="0"/>
          <w:sz w:val="32"/>
          <w:szCs w:val="32"/>
        </w:rPr>
      </w:pPr>
      <w:r>
        <w:rPr>
          <w:rFonts w:hint="eastAsia" w:ascii="仿宋_GB2312" w:eastAsia="仿宋_GB2312" w:cs="仿宋_GB2312"/>
          <w:bCs/>
          <w:kern w:val="0"/>
          <w:sz w:val="32"/>
          <w:szCs w:val="32"/>
        </w:rPr>
        <w:t xml:space="preserve">   九、</w:t>
      </w:r>
      <w:r>
        <w:rPr>
          <w:rFonts w:hint="eastAsia" w:ascii="仿宋_GB2312" w:eastAsia="仿宋_GB2312" w:cs="仿宋_GB2312"/>
          <w:b/>
          <w:kern w:val="0"/>
          <w:sz w:val="32"/>
          <w:szCs w:val="32"/>
        </w:rPr>
        <w:t>国有资本经营预算财政拨款支出情况说明</w:t>
      </w:r>
    </w:p>
    <w:p>
      <w:pPr>
        <w:autoSpaceDE w:val="0"/>
        <w:autoSpaceDN w:val="0"/>
        <w:adjustRightInd w:val="0"/>
        <w:spacing w:line="580" w:lineRule="exact"/>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2021年度国有资本经营预算财政拨款本年支出 0 万元。与 2020 年相比，</w:t>
      </w:r>
      <w:r>
        <w:rPr>
          <w:rFonts w:hint="eastAsia" w:ascii="仿宋_GB2312" w:eastAsia="仿宋_GB2312" w:cs="仿宋_GB2312"/>
          <w:color w:val="000000" w:themeColor="text1"/>
          <w:kern w:val="0"/>
          <w:sz w:val="32"/>
          <w:szCs w:val="32"/>
        </w:rPr>
        <w:t>无增无减</w:t>
      </w:r>
      <w:r>
        <w:rPr>
          <w:rFonts w:hint="eastAsia" w:ascii="仿宋_GB2312" w:eastAsia="仿宋_GB2312" w:cs="仿宋_GB2312"/>
          <w:bCs/>
          <w:kern w:val="0"/>
          <w:sz w:val="32"/>
          <w:szCs w:val="32"/>
        </w:rPr>
        <w:t>。</w:t>
      </w:r>
    </w:p>
    <w:p>
      <w:pPr>
        <w:autoSpaceDE w:val="0"/>
        <w:autoSpaceDN w:val="0"/>
        <w:adjustRightInd w:val="0"/>
        <w:spacing w:line="580" w:lineRule="exact"/>
        <w:jc w:val="left"/>
        <w:rPr>
          <w:rFonts w:ascii="仿宋_GB2312" w:eastAsia="仿宋_GB2312" w:cs="仿宋_GB2312"/>
          <w:b/>
          <w:kern w:val="0"/>
          <w:sz w:val="32"/>
          <w:szCs w:val="32"/>
        </w:rPr>
      </w:pPr>
      <w:r>
        <w:rPr>
          <w:rFonts w:hint="eastAsia" w:eastAsia="仿宋_GB2312"/>
          <w:b/>
          <w:kern w:val="0"/>
          <w:sz w:val="32"/>
          <w:szCs w:val="32"/>
        </w:rPr>
        <w:t xml:space="preserve">   十、2021</w:t>
      </w:r>
      <w:r>
        <w:rPr>
          <w:rFonts w:hint="eastAsia" w:ascii="仿宋_GB2312" w:eastAsia="仿宋_GB2312" w:cs="仿宋_GB2312"/>
          <w:b/>
          <w:kern w:val="0"/>
          <w:sz w:val="32"/>
          <w:szCs w:val="32"/>
        </w:rPr>
        <w:t>年度预算绩效情况说明</w:t>
      </w:r>
    </w:p>
    <w:p>
      <w:pPr>
        <w:numPr>
          <w:ilvl w:val="0"/>
          <w:numId w:val="1"/>
        </w:num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绩效管理工作开展情况</w:t>
      </w:r>
    </w:p>
    <w:p>
      <w:pPr>
        <w:autoSpaceDE w:val="0"/>
        <w:autoSpaceDN w:val="0"/>
        <w:adjustRightInd w:val="0"/>
        <w:spacing w:line="58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根据财政预算管理要求，我单位组织对2021年度一般公共预算整体支出全面开展绩效自评，共涉及预算资金215.09万元，自评覆盖率达到 100%。</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（二）单位决算中整体绩效自评结果</w:t>
      </w:r>
    </w:p>
    <w:p>
      <w:pPr>
        <w:autoSpaceDE w:val="0"/>
        <w:autoSpaceDN w:val="0"/>
        <w:adjustRightInd w:val="0"/>
        <w:spacing w:line="58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我单位根据年初设定的绩效目标，自评得分为100分。</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kern w:val="0"/>
          <w:sz w:val="32"/>
          <w:szCs w:val="32"/>
        </w:rPr>
        <w:t>《单位整体支出绩效自评表》详见附件2</w:t>
      </w:r>
    </w:p>
    <w:p>
      <w:pPr>
        <w:autoSpaceDE w:val="0"/>
        <w:autoSpaceDN w:val="0"/>
        <w:adjustRightInd w:val="0"/>
        <w:spacing w:line="58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十一、其他重要事项的情况</w:t>
      </w:r>
    </w:p>
    <w:p>
      <w:pPr>
        <w:autoSpaceDE w:val="0"/>
        <w:autoSpaceDN w:val="0"/>
        <w:adjustRightInd w:val="0"/>
        <w:spacing w:line="58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（一）机关运行经费支出情况。2021年度单位机关运行经费支出0万元，跟2020年相比不增不减。</w:t>
      </w:r>
    </w:p>
    <w:p>
      <w:pPr>
        <w:autoSpaceDE w:val="0"/>
        <w:autoSpaceDN w:val="0"/>
        <w:adjustRightInd w:val="0"/>
        <w:spacing w:line="58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（二）政府采购支出情况。2021年度政府采购支出总额4.2万元，其中：货物支出4.2万元。与上年相比增加4.2万元，增加原因是2021年新进考录人员购买办公用电脑及桌椅。</w:t>
      </w:r>
    </w:p>
    <w:p>
      <w:pPr>
        <w:autoSpaceDE w:val="0"/>
        <w:autoSpaceDN w:val="0"/>
        <w:adjustRightInd w:val="0"/>
        <w:spacing w:line="58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（三）国有资产占用情况。</w:t>
      </w:r>
    </w:p>
    <w:p>
      <w:pPr>
        <w:spacing w:line="580" w:lineRule="exact"/>
        <w:ind w:firstLine="645"/>
        <w:rPr>
          <w:rFonts w:hint="eastAsia" w:ascii="仿宋_GB2312" w:eastAsia="仿宋_GB2312" w:cs="仿宋_GB2312"/>
          <w:kern w:val="0"/>
          <w:sz w:val="32"/>
          <w:szCs w:val="32"/>
        </w:rPr>
      </w:pPr>
      <w:r>
        <w:rPr>
          <w:rFonts w:hint="eastAsia" w:ascii="仿宋_GB2312" w:eastAsia="仿宋_GB2312" w:cs="仿宋_GB2312"/>
          <w:kern w:val="0"/>
          <w:sz w:val="32"/>
          <w:szCs w:val="32"/>
        </w:rPr>
        <w:t>截至年末单位共有车辆0辆。</w:t>
      </w:r>
    </w:p>
    <w:p>
      <w:pPr>
        <w:spacing w:line="580" w:lineRule="exact"/>
        <w:ind w:firstLine="645"/>
        <w:rPr>
          <w:rFonts w:ascii="仿宋_GB2312" w:eastAsia="仿宋_GB2312"/>
          <w:b/>
          <w:sz w:val="32"/>
          <w:szCs w:val="32"/>
        </w:rPr>
      </w:pPr>
      <w:r>
        <w:rPr>
          <w:rFonts w:hint="eastAsia" w:ascii="仿宋_GB2312" w:eastAsia="仿宋_GB2312"/>
          <w:b/>
          <w:sz w:val="32"/>
          <w:szCs w:val="32"/>
        </w:rPr>
        <w:t>第四部分：名词解释</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财政拨款收入：指市本级财政当年拨付的资金。</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事业收入：指事业单位开展专业活动用辅助活动所取得的收入。</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经营收入：指事业单位在专业业务活动及辅助活动之外开展非独立核算经营活动取得的收入。</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其他收入：指除上述“财政拨款收入”、“事业收入”、“经营收入”等以外的收入。</w:t>
      </w:r>
    </w:p>
    <w:p>
      <w:pPr>
        <w:numPr>
          <w:ilvl w:val="0"/>
          <w:numId w:val="2"/>
        </w:numPr>
        <w:spacing w:line="580" w:lineRule="exact"/>
        <w:ind w:firstLine="645"/>
        <w:rPr>
          <w:rFonts w:ascii="仿宋_GB2312" w:eastAsia="仿宋_GB2312"/>
          <w:bCs/>
          <w:sz w:val="32"/>
          <w:szCs w:val="32"/>
        </w:rPr>
      </w:pPr>
      <w:r>
        <w:rPr>
          <w:rFonts w:hint="eastAsia" w:ascii="仿宋_GB2312" w:eastAsia="仿宋_GB2312"/>
          <w:sz w:val="32"/>
          <w:szCs w:val="32"/>
        </w:rPr>
        <w:t>使用非财政拨款结余</w:t>
      </w:r>
      <w:r>
        <w:rPr>
          <w:rFonts w:hint="eastAsia" w:ascii="仿宋_GB2312" w:eastAsia="仿宋_GB2312"/>
          <w:bCs/>
          <w:sz w:val="32"/>
          <w:szCs w:val="32"/>
        </w:rPr>
        <w:t>：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年初结转和结余：指以前年度尚未完成、结转到本年按规定继续使用的资金。</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结余分配：指事业单位按规定提取的职工福利基金、事业基金和缴纳的所得税，以及建设单位按规定应交回的基本建设竣工项目结余资金。</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年末结转和结余：指本年度或以前年度预算安排、因客观条件发生变化无法按原计划实施，需延迟到以后年度按有关规定继续使用的资金。</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基本支出：指为保障机构正常运转、完成日常工作任务而发生的人员支出和公用支出。</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项目支出：指在基本支出之外为完成特定行政任务和事业发展目标所发生的支出。</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经营支出：指事业单位在专业业务活动及其辅助活动之外开展非独立核算经营活动发生的支出。</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三公”经费：纳入市本级财政预决算管理的“三公”经费，是指市本级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numPr>
          <w:ilvl w:val="0"/>
          <w:numId w:val="2"/>
        </w:numPr>
        <w:spacing w:line="580" w:lineRule="exact"/>
        <w:ind w:firstLine="645"/>
        <w:rPr>
          <w:rFonts w:ascii="仿宋_GB2312" w:eastAsia="仿宋_GB2312"/>
          <w:bCs/>
          <w:sz w:val="32"/>
          <w:szCs w:val="32"/>
        </w:rPr>
      </w:pPr>
      <w:r>
        <w:rPr>
          <w:rFonts w:hint="eastAsia" w:ascii="仿宋_GB2312" w:eastAsia="仿宋_GB2312"/>
          <w:bCs/>
          <w:sz w:val="32"/>
          <w:szCs w:val="32"/>
        </w:rPr>
        <w:t>机关运行经费：为保障行政单位（含参照公务员法管理的事业）运行用于购买货物和服务的各项资金，包括办公及印刷费、邮电费、差旅费、会议费、福利费、日常维修费、专用材料及一般设备购置费、办公用房物业管理费、公务用车运行维护费以及其他费用。</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p>
    <w:p/>
    <w:sectPr>
      <w:footerReference r:id="rId3" w:type="default"/>
      <w:footerReference r:id="rId4" w:type="even"/>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方正舒体"/>
    <w:panose1 w:val="00000000000000000000"/>
    <w:charset w:val="86"/>
    <w:family w:val="script"/>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sz w:val="30"/>
        <w:szCs w:val="30"/>
      </w:rPr>
    </w:pPr>
    <w:r>
      <w:rPr>
        <w:sz w:val="30"/>
        <w:szCs w:val="30"/>
      </w:rPr>
      <w:fldChar w:fldCharType="begin"/>
    </w:r>
    <w:r>
      <w:rPr>
        <w:rStyle w:val="7"/>
        <w:sz w:val="30"/>
        <w:szCs w:val="30"/>
      </w:rPr>
      <w:instrText xml:space="preserve">PAGE  </w:instrText>
    </w:r>
    <w:r>
      <w:rPr>
        <w:sz w:val="30"/>
        <w:szCs w:val="30"/>
      </w:rPr>
      <w:fldChar w:fldCharType="separate"/>
    </w:r>
    <w:r>
      <w:rPr>
        <w:rStyle w:val="7"/>
        <w:sz w:val="30"/>
        <w:szCs w:val="30"/>
      </w:rPr>
      <w:t>- 10 -</w:t>
    </w:r>
    <w:r>
      <w:rPr>
        <w:sz w:val="30"/>
        <w:szCs w:val="30"/>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3C894F"/>
    <w:multiLevelType w:val="singleLevel"/>
    <w:tmpl w:val="5B3C894F"/>
    <w:lvl w:ilvl="0" w:tentative="0">
      <w:start w:val="1"/>
      <w:numFmt w:val="chineseCounting"/>
      <w:suff w:val="nothing"/>
      <w:lvlText w:val="（%1）"/>
      <w:lvlJc w:val="left"/>
    </w:lvl>
  </w:abstractNum>
  <w:abstractNum w:abstractNumId="1">
    <w:nsid w:val="5B3C8BA7"/>
    <w:multiLevelType w:val="singleLevel"/>
    <w:tmpl w:val="5B3C8BA7"/>
    <w:lvl w:ilvl="0" w:tentative="0">
      <w:start w:val="1"/>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IzNWNhYzUwOTIyNDg3NzlkMWVjMGY4YWE5OGZhZDMifQ=="/>
  </w:docVars>
  <w:rsids>
    <w:rsidRoot w:val="4C256E3D"/>
    <w:rsid w:val="00013CF3"/>
    <w:rsid w:val="000249B5"/>
    <w:rsid w:val="00045693"/>
    <w:rsid w:val="00066CA3"/>
    <w:rsid w:val="00091801"/>
    <w:rsid w:val="000D1230"/>
    <w:rsid w:val="000D25C4"/>
    <w:rsid w:val="00125CF3"/>
    <w:rsid w:val="00127E70"/>
    <w:rsid w:val="0014270F"/>
    <w:rsid w:val="00156929"/>
    <w:rsid w:val="00163E77"/>
    <w:rsid w:val="002B7163"/>
    <w:rsid w:val="002C16C2"/>
    <w:rsid w:val="002F6804"/>
    <w:rsid w:val="003018CE"/>
    <w:rsid w:val="00304D5C"/>
    <w:rsid w:val="0034702E"/>
    <w:rsid w:val="00386000"/>
    <w:rsid w:val="00402CA3"/>
    <w:rsid w:val="00447528"/>
    <w:rsid w:val="00452B02"/>
    <w:rsid w:val="00465CCE"/>
    <w:rsid w:val="00465ECC"/>
    <w:rsid w:val="00466059"/>
    <w:rsid w:val="00485D17"/>
    <w:rsid w:val="004958D9"/>
    <w:rsid w:val="004A0BB6"/>
    <w:rsid w:val="004F1168"/>
    <w:rsid w:val="004F29E9"/>
    <w:rsid w:val="00520CF0"/>
    <w:rsid w:val="00521CCF"/>
    <w:rsid w:val="0054206D"/>
    <w:rsid w:val="00561ECD"/>
    <w:rsid w:val="005C43C9"/>
    <w:rsid w:val="005D1D19"/>
    <w:rsid w:val="005E53BE"/>
    <w:rsid w:val="005F2693"/>
    <w:rsid w:val="0060658F"/>
    <w:rsid w:val="0065088E"/>
    <w:rsid w:val="00663968"/>
    <w:rsid w:val="00680BE4"/>
    <w:rsid w:val="006B1BF1"/>
    <w:rsid w:val="006C1367"/>
    <w:rsid w:val="00700C37"/>
    <w:rsid w:val="00715385"/>
    <w:rsid w:val="00732F39"/>
    <w:rsid w:val="0074195D"/>
    <w:rsid w:val="00750DD8"/>
    <w:rsid w:val="0077558D"/>
    <w:rsid w:val="00794DCD"/>
    <w:rsid w:val="007B7828"/>
    <w:rsid w:val="007C5440"/>
    <w:rsid w:val="00806584"/>
    <w:rsid w:val="00807941"/>
    <w:rsid w:val="0084148A"/>
    <w:rsid w:val="0087029A"/>
    <w:rsid w:val="008773C7"/>
    <w:rsid w:val="00883DB5"/>
    <w:rsid w:val="00883F9A"/>
    <w:rsid w:val="008915F4"/>
    <w:rsid w:val="00893388"/>
    <w:rsid w:val="008B26F5"/>
    <w:rsid w:val="008C445D"/>
    <w:rsid w:val="00924BA1"/>
    <w:rsid w:val="009315CB"/>
    <w:rsid w:val="00947ECE"/>
    <w:rsid w:val="0095607A"/>
    <w:rsid w:val="009811FE"/>
    <w:rsid w:val="009A56D0"/>
    <w:rsid w:val="00A540E3"/>
    <w:rsid w:val="00A60831"/>
    <w:rsid w:val="00A821B1"/>
    <w:rsid w:val="00A835EB"/>
    <w:rsid w:val="00AD5564"/>
    <w:rsid w:val="00B11246"/>
    <w:rsid w:val="00B70CFE"/>
    <w:rsid w:val="00B8225F"/>
    <w:rsid w:val="00B9207C"/>
    <w:rsid w:val="00B94471"/>
    <w:rsid w:val="00BB4EC5"/>
    <w:rsid w:val="00BC203C"/>
    <w:rsid w:val="00BF1F2C"/>
    <w:rsid w:val="00BF5613"/>
    <w:rsid w:val="00C473F7"/>
    <w:rsid w:val="00C809B3"/>
    <w:rsid w:val="00C90862"/>
    <w:rsid w:val="00CA528E"/>
    <w:rsid w:val="00CC120A"/>
    <w:rsid w:val="00D25536"/>
    <w:rsid w:val="00D44C6F"/>
    <w:rsid w:val="00D53FBA"/>
    <w:rsid w:val="00D80A1B"/>
    <w:rsid w:val="00D81D2E"/>
    <w:rsid w:val="00DC5B3C"/>
    <w:rsid w:val="00DE4367"/>
    <w:rsid w:val="00E40175"/>
    <w:rsid w:val="00E7271C"/>
    <w:rsid w:val="00E73C87"/>
    <w:rsid w:val="00E82266"/>
    <w:rsid w:val="00E90E9E"/>
    <w:rsid w:val="00E9336C"/>
    <w:rsid w:val="00EA74BF"/>
    <w:rsid w:val="00EC6E0D"/>
    <w:rsid w:val="00ED4A24"/>
    <w:rsid w:val="00EE580E"/>
    <w:rsid w:val="00F06F3A"/>
    <w:rsid w:val="00F10D52"/>
    <w:rsid w:val="00F2383C"/>
    <w:rsid w:val="00F342E2"/>
    <w:rsid w:val="00F64127"/>
    <w:rsid w:val="00F66C5B"/>
    <w:rsid w:val="00F7340B"/>
    <w:rsid w:val="00F8399B"/>
    <w:rsid w:val="00FA2D37"/>
    <w:rsid w:val="00FD3105"/>
    <w:rsid w:val="02CF0924"/>
    <w:rsid w:val="0DA86951"/>
    <w:rsid w:val="0E074DDF"/>
    <w:rsid w:val="124204B5"/>
    <w:rsid w:val="182962AB"/>
    <w:rsid w:val="19D073EB"/>
    <w:rsid w:val="1CC31F67"/>
    <w:rsid w:val="24D337DC"/>
    <w:rsid w:val="26460DBA"/>
    <w:rsid w:val="2B6F74EB"/>
    <w:rsid w:val="2C4219FE"/>
    <w:rsid w:val="34020F86"/>
    <w:rsid w:val="39A63F06"/>
    <w:rsid w:val="3ED1439F"/>
    <w:rsid w:val="44500BF5"/>
    <w:rsid w:val="48374EDC"/>
    <w:rsid w:val="4C256E3D"/>
    <w:rsid w:val="4CB52F0F"/>
    <w:rsid w:val="532F1F9A"/>
    <w:rsid w:val="5E995A3E"/>
    <w:rsid w:val="62163194"/>
    <w:rsid w:val="624D024D"/>
    <w:rsid w:val="650E086A"/>
    <w:rsid w:val="6BAA070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批注框文本 Char"/>
    <w:basedOn w:val="6"/>
    <w:link w:val="2"/>
    <w:qFormat/>
    <w:uiPriority w:val="0"/>
    <w:rPr>
      <w:kern w:val="2"/>
      <w:sz w:val="18"/>
      <w:szCs w:val="18"/>
    </w:rPr>
  </w:style>
  <w:style w:type="character" w:customStyle="1" w:styleId="9">
    <w:name w:val="font11"/>
    <w:basedOn w:val="6"/>
    <w:uiPriority w:val="0"/>
    <w:rPr>
      <w:rFonts w:hint="eastAsia" w:ascii="宋体" w:hAnsi="宋体" w:eastAsia="宋体" w:cs="宋体"/>
      <w:color w:val="000000"/>
      <w:sz w:val="22"/>
      <w:szCs w:val="22"/>
      <w:u w:val="none"/>
    </w:rPr>
  </w:style>
  <w:style w:type="character" w:customStyle="1" w:styleId="10">
    <w:name w:val="font01"/>
    <w:basedOn w:val="6"/>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15</Pages>
  <Words>5660</Words>
  <Characters>6440</Characters>
  <Lines>8</Lines>
  <Paragraphs>13</Paragraphs>
  <TotalTime>909</TotalTime>
  <ScaleCrop>false</ScaleCrop>
  <LinksUpToDate>false</LinksUpToDate>
  <CharactersWithSpaces>6509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2020-07-15T08:43:00Z</dcterms:created>
  <dc:creator>陈冬雪</dc:creator>
  <cp:lastModifiedBy>ちひろ</cp:lastModifiedBy>
  <cp:lastPrinted>2022-08-08T03:54:00Z</cp:lastPrinted>
  <dcterms:modified xsi:type="dcterms:W3CDTF">2023-06-16T03:46:09Z</dcterms:modified>
  <cp:revision>215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7669AB206B234E04BC4AECF6A48687CF_12</vt:lpwstr>
  </property>
</Properties>
</file>