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sz w:val="52"/>
          <w:szCs w:val="52"/>
        </w:rPr>
      </w:pPr>
      <w:r>
        <w:rPr>
          <w:rFonts w:hint="eastAsia" w:ascii="黑体" w:eastAsia="黑体" w:cs="ArialUnicodeMS"/>
          <w:kern w:val="0"/>
          <w:sz w:val="52"/>
          <w:szCs w:val="52"/>
        </w:rPr>
        <w:t>柳州城市规划展览馆</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年度决算公开说明</w:t>
      </w:r>
    </w:p>
    <w:p>
      <w:pPr>
        <w:rPr>
          <w:rFonts w:ascii="ArialUnicodeMS" w:eastAsia="ArialUnicodeMS" w:cs="ArialUnicodeMS"/>
          <w:kern w:val="0"/>
          <w:sz w:val="84"/>
          <w:szCs w:val="84"/>
        </w:rPr>
      </w:pPr>
    </w:p>
    <w:p>
      <w:pPr>
        <w:rPr>
          <w:rFonts w:ascii="ArialUnicodeMS" w:eastAsia="ArialUnicodeMS" w:cs="ArialUnicodeMS"/>
          <w:kern w:val="0"/>
          <w:sz w:val="84"/>
          <w:szCs w:val="84"/>
        </w:rPr>
      </w:pPr>
      <w:bookmarkStart w:id="0" w:name="_GoBack"/>
      <w:bookmarkEnd w:id="0"/>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sz w:val="32"/>
          <w:szCs w:val="32"/>
        </w:rPr>
        <w:t>柳州城市规划展览馆</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二、决算单位构成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sz w:val="32"/>
          <w:szCs w:val="32"/>
        </w:rPr>
        <w:t>柳州城市规划展览馆</w:t>
      </w:r>
      <w:r>
        <w:rPr>
          <w:rFonts w:hint="eastAsia" w:ascii="仿宋_GB2312" w:eastAsia="仿宋_GB2312"/>
          <w:b/>
          <w:sz w:val="32"/>
          <w:szCs w:val="32"/>
        </w:rPr>
        <w:t>2021年度决算报表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表五：一般公共预算财政拨款收入支出决算表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left="645"/>
        <w:rPr>
          <w:rFonts w:ascii="仿宋_GB2312" w:eastAsia="仿宋_GB2312"/>
          <w:sz w:val="32"/>
          <w:szCs w:val="32"/>
        </w:rPr>
      </w:pPr>
      <w:r>
        <w:rPr>
          <w:rFonts w:hint="eastAsia" w:ascii="仿宋_GB2312" w:eastAsia="仿宋_GB2312"/>
          <w:sz w:val="32"/>
          <w:szCs w:val="32"/>
        </w:rPr>
        <w:t>表九：国有资本经营预算财政拨款支出决算表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sz w:val="32"/>
          <w:szCs w:val="32"/>
        </w:rPr>
        <w:t>柳州城市规划展览馆</w:t>
      </w:r>
      <w:r>
        <w:rPr>
          <w:rFonts w:hint="eastAsia" w:ascii="仿宋_GB2312" w:eastAsia="仿宋_GB2312"/>
          <w:b/>
          <w:sz w:val="32"/>
          <w:szCs w:val="32"/>
        </w:rPr>
        <w:t>2021年度决算情况说明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2021</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2021</w:t>
      </w:r>
      <w:r>
        <w:rPr>
          <w:rFonts w:hint="eastAsia" w:ascii="仿宋_GB2312" w:eastAsia="仿宋_GB2312" w:cs="仿宋_GB2312"/>
          <w:kern w:val="0"/>
          <w:sz w:val="32"/>
          <w:szCs w:val="32"/>
        </w:rPr>
        <w:t>年度收入决算情况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2021</w:t>
      </w:r>
      <w:r>
        <w:rPr>
          <w:rFonts w:hint="eastAsia" w:ascii="仿宋_GB2312" w:eastAsia="仿宋_GB2312" w:cs="仿宋_GB2312"/>
          <w:kern w:val="0"/>
          <w:sz w:val="32"/>
          <w:szCs w:val="32"/>
        </w:rPr>
        <w:t>年度支出决算情况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2021</w:t>
      </w:r>
      <w:r>
        <w:rPr>
          <w:rFonts w:hint="eastAsia" w:ascii="仿宋_GB2312" w:eastAsia="仿宋_GB2312" w:cs="仿宋_GB2312"/>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2021</w:t>
      </w:r>
      <w:r>
        <w:rPr>
          <w:rFonts w:hint="eastAsia" w:ascii="仿宋_GB2312" w:eastAsia="仿宋_GB2312" w:cs="仿宋_GB2312"/>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2021</w:t>
      </w:r>
      <w:r>
        <w:rPr>
          <w:rFonts w:hint="eastAsia" w:ascii="仿宋_GB2312" w:eastAsia="仿宋_GB2312" w:cs="仿宋_GB2312"/>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2021</w:t>
      </w:r>
      <w:r>
        <w:rPr>
          <w:rFonts w:hint="eastAsia" w:ascii="仿宋_GB2312" w:eastAsia="仿宋_GB2312" w:cs="仿宋_GB2312"/>
          <w:kern w:val="0"/>
          <w:sz w:val="32"/>
          <w:szCs w:val="32"/>
        </w:rPr>
        <w:t>年度一般公共预算财政拨款“三公”经费支出决算情况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2021</w:t>
      </w:r>
      <w:r>
        <w:rPr>
          <w:rFonts w:hint="eastAsia" w:ascii="仿宋_GB2312" w:eastAsia="仿宋_GB2312" w:cs="仿宋_GB2312"/>
          <w:bCs/>
          <w:kern w:val="0"/>
          <w:sz w:val="32"/>
          <w:szCs w:val="32"/>
        </w:rPr>
        <w:t xml:space="preserve"> 年度政府性基金预算财政拨款收入支出决算情况</w:t>
      </w:r>
    </w:p>
    <w:p>
      <w:pPr>
        <w:ind w:left="645"/>
        <w:rPr>
          <w:rFonts w:ascii="仿宋_GB2312" w:eastAsia="仿宋_GB2312" w:cs="仿宋_GB2312"/>
          <w:bCs/>
          <w:kern w:val="0"/>
          <w:sz w:val="32"/>
          <w:szCs w:val="32"/>
        </w:rPr>
      </w:pPr>
      <w:r>
        <w:rPr>
          <w:rFonts w:hint="eastAsia" w:ascii="仿宋_GB2312" w:eastAsia="仿宋_GB2312" w:cs="仿宋_GB2312"/>
          <w:bCs/>
          <w:kern w:val="0"/>
          <w:sz w:val="32"/>
          <w:szCs w:val="32"/>
        </w:rPr>
        <w:t>九、</w:t>
      </w:r>
      <w:r>
        <w:rPr>
          <w:rFonts w:hint="eastAsia" w:ascii="仿宋_GB2312" w:eastAsia="仿宋_GB2312"/>
          <w:sz w:val="32"/>
          <w:szCs w:val="32"/>
        </w:rPr>
        <w:t>国有资本经营预算财政拨款支出决算情况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十、</w:t>
      </w:r>
      <w:r>
        <w:rPr>
          <w:rFonts w:hint="eastAsia" w:eastAsia="仿宋_GB2312"/>
          <w:kern w:val="0"/>
          <w:sz w:val="32"/>
          <w:szCs w:val="32"/>
        </w:rPr>
        <w:t>2021</w:t>
      </w:r>
      <w:r>
        <w:rPr>
          <w:rFonts w:hint="eastAsia" w:ascii="仿宋_GB2312" w:eastAsia="仿宋_GB2312" w:cs="仿宋_GB2312"/>
          <w:bCs/>
          <w:kern w:val="0"/>
          <w:sz w:val="32"/>
          <w:szCs w:val="32"/>
        </w:rPr>
        <w:t xml:space="preserve"> 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十一、其他重要事项的情况说明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sz w:val="32"/>
          <w:szCs w:val="32"/>
        </w:rPr>
        <w:t>柳州城市规划展览馆</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（一）通过先进的展示手段、多样的展示方式向大众展示了柳州这座山水工业城市改革开放以来的新面貌；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（二）全馆共设有24块电脑触摸屏和15个视屏播放系统，将声、光、电等多媒体技术灵活运用，全面介绍了柳州的各项规划；</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（三）全国AAAA级景区、自治区爱国主义教育基地、自治区科普教育基地；</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二、决算单位构成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柳州城市规划展览馆</w:t>
      </w: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sz w:val="32"/>
          <w:szCs w:val="32"/>
        </w:rPr>
        <w:t>柳州城市规划展览馆</w:t>
      </w:r>
      <w:r>
        <w:rPr>
          <w:rFonts w:hint="eastAsia" w:ascii="仿宋_GB2312" w:eastAsia="仿宋_GB2312"/>
          <w:b/>
          <w:sz w:val="32"/>
          <w:szCs w:val="32"/>
        </w:rPr>
        <w:t xml:space="preserve"> 2021年度决算报表</w:t>
      </w:r>
    </w:p>
    <w:p>
      <w:pPr>
        <w:ind w:firstLine="640" w:firstLineChars="200"/>
        <w:rPr>
          <w:rFonts w:ascii="仿宋_GB2312" w:hAnsi="黑体" w:eastAsia="仿宋_GB2312"/>
          <w:sz w:val="32"/>
          <w:szCs w:val="32"/>
        </w:rPr>
      </w:pPr>
      <w:r>
        <w:rPr>
          <w:rFonts w:hint="eastAsia" w:ascii="仿宋_GB2312" w:hAnsi="黑体" w:eastAsia="仿宋_GB2312"/>
          <w:sz w:val="32"/>
          <w:szCs w:val="32"/>
        </w:rPr>
        <w:t>详见附件1</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sz w:val="32"/>
          <w:szCs w:val="32"/>
        </w:rPr>
        <w:t>柳州城市规划展览馆</w:t>
      </w:r>
      <w:r>
        <w:rPr>
          <w:rFonts w:hint="eastAsia" w:ascii="仿宋_GB2312" w:eastAsia="仿宋_GB2312"/>
          <w:b/>
          <w:sz w:val="32"/>
          <w:szCs w:val="32"/>
        </w:rPr>
        <w:t xml:space="preserve"> 2021年度决算情况说明</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2021</w:t>
      </w:r>
      <w:r>
        <w:rPr>
          <w:rFonts w:hint="eastAsia" w:ascii="仿宋_GB2312" w:eastAsia="仿宋_GB2312" w:cs="仿宋_GB2312"/>
          <w:b/>
          <w:kern w:val="0"/>
          <w:sz w:val="32"/>
          <w:szCs w:val="32"/>
        </w:rPr>
        <w:t>年度收入支出决算总体情况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2021年度收入总计180.75万元；其中：一般公共预算180.75元。支出总计187.09万元，其中，一般公共预算187.09万元。与2020年相比，收入增加17.73万元、增长10.88%；支出增加12.80万元、增长7.34%。</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2021</w:t>
      </w:r>
      <w:r>
        <w:rPr>
          <w:rFonts w:hint="eastAsia" w:ascii="仿宋_GB2312" w:eastAsia="仿宋_GB2312" w:cs="仿宋_GB2312"/>
          <w:b/>
          <w:kern w:val="0"/>
          <w:sz w:val="32"/>
          <w:szCs w:val="32"/>
        </w:rPr>
        <w:t>年度收入决算情况</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本年收入总计180.75万元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bCs/>
          <w:kern w:val="0"/>
          <w:sz w:val="32"/>
          <w:szCs w:val="32"/>
        </w:rPr>
        <w:t>1、一般公共预算财政拨款收入180.75万元；占比100%。</w:t>
      </w:r>
      <w:r>
        <w:rPr>
          <w:rFonts w:hint="eastAsia" w:ascii="仿宋_GB2312" w:eastAsia="仿宋_GB2312" w:cs="仿宋_GB2312"/>
          <w:color w:val="000000" w:themeColor="text1"/>
          <w:kern w:val="0"/>
          <w:sz w:val="32"/>
          <w:szCs w:val="32"/>
        </w:rPr>
        <w:t>其中：政府性基金预算财政拨款收入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万元，为财政当年拨付的资金。</w:t>
      </w:r>
      <w:r>
        <w:rPr>
          <w:rFonts w:hint="eastAsia" w:ascii="仿宋_GB2312" w:hAnsi="黑体" w:eastAsia="仿宋_GB2312" w:cs="仿宋_GB2312"/>
          <w:color w:val="000000" w:themeColor="text1"/>
          <w:kern w:val="0"/>
          <w:sz w:val="32"/>
          <w:szCs w:val="32"/>
        </w:rPr>
        <w:t>较2020年度决算数增加0 元，增长0%。</w:t>
      </w:r>
    </w:p>
    <w:p>
      <w:pPr>
        <w:autoSpaceDE w:val="0"/>
        <w:autoSpaceDN w:val="0"/>
        <w:adjustRightInd w:val="0"/>
        <w:spacing w:line="560" w:lineRule="exact"/>
        <w:ind w:firstLine="627" w:firstLineChars="196"/>
        <w:jc w:val="left"/>
        <w:rPr>
          <w:rFonts w:ascii="仿宋_GB2312" w:hAnsi="黑体"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2、国有资本经营预算财政拨款收入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万元，为财政当年拨付的资金。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3、事业收入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万元，为事业单位开展业务活动取得的收入。</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4、经营收入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万元，为事业单位在业务活动之外开展非独立核算经营活动取得的收入。</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5、其他收入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万元，为部门单位在</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财政拨款收入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事业收入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经营收入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之外取得的收入。</w:t>
      </w:r>
      <w:r>
        <w:rPr>
          <w:rFonts w:hint="eastAsia" w:ascii="仿宋_GB2312" w:hAnsi="黑体" w:eastAsia="仿宋_GB2312" w:cs="仿宋_GB2312"/>
          <w:color w:val="000000" w:themeColor="text1"/>
          <w:kern w:val="0"/>
          <w:sz w:val="32"/>
          <w:szCs w:val="32"/>
        </w:rPr>
        <w:t>较2020年度决决算数增加0万元，增长0 %。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6、使用非财政拨款结余</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万元，主要是所属事业单位在当年的</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财政拨款收入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事业收入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经营收入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及</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其他收入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不能保证其支出的情况下，使用以前年度积累的非财政拨款结余弥补本年度收支缺口的资金。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color w:val="000000" w:themeColor="text1"/>
          <w:kern w:val="0"/>
          <w:sz w:val="32"/>
          <w:szCs w:val="32"/>
        </w:rPr>
        <w:t>7、上年结转和结余</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万元，为以前年度支出预算因客观条件变化未执行完毕、结转到本年度按有关规定继续使用的资金。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2021</w:t>
      </w:r>
      <w:r>
        <w:rPr>
          <w:rFonts w:hint="eastAsia" w:ascii="仿宋_GB2312" w:eastAsia="仿宋_GB2312" w:cs="仿宋_GB2312"/>
          <w:b/>
          <w:kern w:val="0"/>
          <w:sz w:val="32"/>
          <w:szCs w:val="32"/>
        </w:rPr>
        <w:t>年度支出决算情况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本年支出合计187.09万元，其中：基本支出86.70万元，占46.34%；项目支出100.39万元， 占53.66%。主要用于以下方面：</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1、社会保障和就业支出12.85万元，占6.87%；</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2、卫生健康支出3.51万元，占1.88%；</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3、城乡社区支出163.01万元，占87.13%；</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4、自然资源海洋气象等支出0.21万元，占0.11%；</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5、住房保障支出7.51万元，占4.01%。</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2021</w:t>
      </w:r>
      <w:r>
        <w:rPr>
          <w:rFonts w:hint="eastAsia" w:ascii="仿宋_GB2312" w:eastAsia="仿宋_GB2312" w:cs="仿宋_GB2312"/>
          <w:b/>
          <w:kern w:val="0"/>
          <w:sz w:val="32"/>
          <w:szCs w:val="32"/>
        </w:rPr>
        <w:t>年度财政拨款收入支出决算情况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本单位2021年度财政拨款收、支总决算 180.75万元、187.09万元。与 2020 年相比：</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1、财政拨款收入增加17.73万元、增长10.88%；</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2、支出增加12.80万元，增长7.34%。</w:t>
      </w:r>
    </w:p>
    <w:p>
      <w:pPr>
        <w:autoSpaceDE w:val="0"/>
        <w:autoSpaceDN w:val="0"/>
        <w:adjustRightInd w:val="0"/>
        <w:spacing w:line="580" w:lineRule="exact"/>
        <w:ind w:firstLine="643" w:firstLineChars="200"/>
        <w:jc w:val="left"/>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2021年度一般公共预算财政拨款支出决算情况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本单位2021年度财政拨款支出187.09万元，占本年支出合计的100%。与 2020 年相比，财政拨款支出增加12.80万元，增长7.34%。</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2021 年度财政拨款支出187.09万元，主要用于以下方面：</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1、社会保障和就业支出12.85万元，占6.87%；</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2、卫生健康支出3.51万元，占1.88%；</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3、城乡社区支出163.01万元，占87.13%；</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4、自然资源海洋气象等支出0.21万元，占0.11%；</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5、住房保障支出7.51万元，占4.01%。</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2021 年度财政拨款支出年初预算为159.71万元，支出决算为187.09 万元，完成年初预算的117.14%。决算数大于预算数的主要原因：一是财政下达2021年增人增资预算用于人员变动支出；二是部分支出按规定，通过使用以前年度财政拨款结转资金解决。其中：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1.社会保障和就业支出（类）行政事业单位养老支出（款）机关事业单位基本养老保险缴费支出（项）。 年初预算为5.78万元，支出决算为9.29万元，完 成年初预算的160.73%。决算数大于预算数的主要原因是2021年单位人员变动造成养老保险缴费支出增加。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2. 社会保障和就业支出（类）行政事业单位养老支出（款）机关事业单位职业年金缴费支出（项）。年初预算为 2.89万元，支出决算为3.56万元，完成年初预算的123.18%。决算数大于预算数的主要原因是2021年单位人员变动造成职业年金缴费支出增加。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3.卫生健康支出（类）行政事业单位医疗（款）事业单位医疗（项）。年初 预算为2.86万元，支出决算为3.51万元，完成年初预算的122.73%。决算数大于预算数的主要原因是2021年单位人员变动造成事业单位医疗缴费支出减少。</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城乡社区支出（类）城乡社区规划与管理（款）城乡社区规划与管理（项）。年初预算为143.85万元，支出决算为163.01万元，完成年初预算的113.32%，决算数大于预算数的主要原因：一是人员变动造成工资、社保缴费支出有差异；二是部分支出按规定，通过使用以前年度财政拨款结转资金解决。</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5.自然资源海洋气象等支出（类）自然资源事务（款）事业运行（项）。年初预算为0万元，支出决算为0.21万元。决算数大于预算数的主要原因：人员变动造成工资、社保缴费支出增加。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6.住房保障支出（类）住房改革支出（款）住房公积金（项）。年初预算为4.33万元，支出决算为7.51万元，完成年初预算的173.44%。决算数大于预算数的主要原因：人员变动造成住房公积金缴费有差异。</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六、</w:t>
      </w:r>
      <w:r>
        <w:rPr>
          <w:rFonts w:hint="eastAsia" w:ascii="仿宋_GB2312" w:eastAsia="仿宋_GB2312" w:cs="仿宋_GB2312"/>
          <w:b/>
          <w:kern w:val="0"/>
          <w:sz w:val="32"/>
          <w:szCs w:val="32"/>
        </w:rPr>
        <w:t>2021年度一般公共预算财政拨款基本支出决算情况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2021年度财政拨款基本支出86.70万元，其中：</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人员经费78.11万元，比上年增加15.65万元，增长25.01%，人员经费增加的主要原因是人员变动造成了人员经费增加，主要包括：</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1、基本工资15.17万元、绩效奖金25.47万元、绩效工资12.91万元，比上年增加11.89万元，增长28.54%，人员经费增加的主要原因是人员变动造成了人员经费增加；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2、机关事业单位基本养老保险缴费9.29万元、职业年金缴费3.56万元、其他社会保障缴费0.33万元，比上年增加2.01万元，增长18.16%，人员经费增加的主要原因是人员变动造成了人员经费增加；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3、住房公积金7.51万元，比上年增加1.75万元，增长30.38%，人员经费增加的主要原因是人员变动造成了人员经费增加；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公用经费8.58万元，比上年增加2.22万元，增长34.85%，公用经费增加的主要原因是人员变动造成了日常公用经费增加，主要 包括：</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1、办公费1.79万元，差旅费0.29万元、维 修（护）费0.07万元、委托业务费0.66万元、工会经费0.72万元、福利费1.82万元；</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2、其他商品和服务支出2.96万元。</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七、</w:t>
      </w:r>
      <w:r>
        <w:rPr>
          <w:rFonts w:hint="eastAsia" w:ascii="仿宋_GB2312" w:eastAsia="仿宋_GB2312" w:cs="仿宋_GB2312"/>
          <w:b/>
          <w:kern w:val="0"/>
          <w:sz w:val="32"/>
          <w:szCs w:val="32"/>
        </w:rPr>
        <w:t>2021 年度一般公共预算财政拨款“三公” 经费支出决算情况</w:t>
      </w:r>
      <w:r>
        <w:rPr>
          <w:rFonts w:hint="eastAsia" w:ascii="仿宋_GB2312" w:eastAsia="仿宋_GB2312" w:cs="仿宋_GB2312"/>
          <w:bCs/>
          <w:kern w:val="0"/>
          <w:sz w:val="32"/>
          <w:szCs w:val="32"/>
        </w:rPr>
        <w:t xml:space="preserve">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 年度“三公”经费财政拨款支出预算为0.18万元，与上年同比无增伍无减；支出决算为0万元，与上年同比无增伍无减。2021年度“三公”经费支出决算数小于预算数的主要原因是认真贯彻落实</w:t>
      </w:r>
      <w:r>
        <w:rPr>
          <w:rFonts w:hint="eastAsia" w:ascii="仿宋_GB2312" w:eastAsia="仿宋_GB2312" w:cs="仿宋_GB2312"/>
          <w:bCs/>
          <w:kern w:val="0"/>
          <w:sz w:val="32"/>
          <w:szCs w:val="32"/>
          <w:lang w:eastAsia="zh-CN"/>
        </w:rPr>
        <w:t>中央八项规定精神</w:t>
      </w:r>
      <w:r>
        <w:rPr>
          <w:rFonts w:hint="eastAsia" w:ascii="仿宋_GB2312" w:eastAsia="仿宋_GB2312" w:cs="仿宋_GB2312"/>
          <w:bCs/>
          <w:kern w:val="0"/>
          <w:sz w:val="32"/>
          <w:szCs w:val="32"/>
        </w:rPr>
        <w:t>和厉行节约要求，进一步从严控制“三公”经费开支，全年实际支出0万元。</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具体情况如下：</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1、因公出国（境）费支出0万元，完成年初预算的100%，比上年增减0万元。全年使用财政拨款安排</w:t>
      </w:r>
      <w:r>
        <w:rPr>
          <w:rFonts w:hint="eastAsia" w:ascii="仿宋_GB2312" w:hAnsi="黑体" w:eastAsia="仿宋_GB2312"/>
          <w:bCs/>
          <w:color w:val="000000" w:themeColor="text1"/>
          <w:sz w:val="32"/>
          <w:szCs w:val="32"/>
        </w:rPr>
        <w:t>柳州市国土空间整治中心出国团组0个，参加其他单位组织的出国团组0个，全年因公出国（境）团组共计0个，累计0人次。</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2、公务用车购置及运行费支出0万元。其中：</w:t>
      </w:r>
    </w:p>
    <w:p>
      <w:pPr>
        <w:autoSpaceDE w:val="0"/>
        <w:autoSpaceDN w:val="0"/>
        <w:adjustRightInd w:val="0"/>
        <w:spacing w:line="560" w:lineRule="exact"/>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公务用车购置支出0万元，与上年相比无增无减。公务用车运行支出0万元，与上年相比无增无减。</w:t>
      </w:r>
    </w:p>
    <w:p>
      <w:pPr>
        <w:autoSpaceDE w:val="0"/>
        <w:autoSpaceDN w:val="0"/>
        <w:adjustRightInd w:val="0"/>
        <w:spacing w:line="560" w:lineRule="exact"/>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3、公务接待费支出0万元，与上年相比无增无减。</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八、</w:t>
      </w:r>
      <w:r>
        <w:rPr>
          <w:rFonts w:hint="eastAsia" w:ascii="仿宋_GB2312" w:eastAsia="仿宋_GB2312" w:cs="仿宋_GB2312"/>
          <w:b/>
          <w:kern w:val="0"/>
          <w:sz w:val="32"/>
          <w:szCs w:val="32"/>
        </w:rPr>
        <w:t xml:space="preserve">2021 年度政府性基金预算财政拨款收入支出决算情况说明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1、2021年度</w:t>
      </w:r>
      <w:r>
        <w:rPr>
          <w:rFonts w:hint="eastAsia" w:ascii="仿宋_GB2312" w:eastAsia="仿宋_GB2312" w:cs="仿宋_GB2312"/>
          <w:bCs/>
          <w:kern w:val="0"/>
          <w:sz w:val="32"/>
          <w:szCs w:val="32"/>
          <w:lang w:eastAsia="zh-CN"/>
        </w:rPr>
        <w:t>政府性基金预算</w:t>
      </w:r>
      <w:r>
        <w:rPr>
          <w:rFonts w:hint="eastAsia" w:ascii="仿宋_GB2312" w:eastAsia="仿宋_GB2312" w:cs="仿宋_GB2312"/>
          <w:bCs/>
          <w:kern w:val="0"/>
          <w:sz w:val="32"/>
          <w:szCs w:val="32"/>
        </w:rPr>
        <w:t>财政拨款收入0万元，与 2020 年相比，</w:t>
      </w:r>
      <w:r>
        <w:rPr>
          <w:rFonts w:hint="eastAsia" w:ascii="仿宋_GB2312" w:eastAsia="仿宋_GB2312" w:cs="仿宋_GB2312"/>
          <w:color w:val="000000" w:themeColor="text1"/>
          <w:kern w:val="0"/>
          <w:sz w:val="32"/>
          <w:szCs w:val="32"/>
        </w:rPr>
        <w:t>无增无减。</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2、支出总决算0万元。与 2020 年相比，</w:t>
      </w:r>
      <w:r>
        <w:rPr>
          <w:rFonts w:hint="eastAsia" w:ascii="仿宋_GB2312" w:eastAsia="仿宋_GB2312" w:cs="仿宋_GB2312"/>
          <w:color w:val="000000" w:themeColor="text1"/>
          <w:kern w:val="0"/>
          <w:sz w:val="32"/>
          <w:szCs w:val="32"/>
        </w:rPr>
        <w:t>无增无减</w:t>
      </w:r>
      <w:r>
        <w:rPr>
          <w:rFonts w:hint="eastAsia"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bCs/>
          <w:kern w:val="0"/>
          <w:sz w:val="32"/>
          <w:szCs w:val="32"/>
        </w:rPr>
        <w:t>九、</w:t>
      </w:r>
      <w:r>
        <w:rPr>
          <w:rFonts w:hint="eastAsia" w:ascii="仿宋_GB2312" w:eastAsia="仿宋_GB2312" w:cs="仿宋_GB2312"/>
          <w:b/>
          <w:kern w:val="0"/>
          <w:sz w:val="32"/>
          <w:szCs w:val="32"/>
        </w:rPr>
        <w:t>国有资本经营预算财政拨款支出情况说明</w:t>
      </w:r>
    </w:p>
    <w:p>
      <w:pPr>
        <w:autoSpaceDE w:val="0"/>
        <w:autoSpaceDN w:val="0"/>
        <w:adjustRightInd w:val="0"/>
        <w:spacing w:line="580" w:lineRule="exact"/>
        <w:jc w:val="left"/>
        <w:rPr>
          <w:rFonts w:ascii="仿宋_GB2312" w:eastAsia="仿宋_GB2312" w:cs="仿宋_GB2312"/>
          <w:kern w:val="0"/>
          <w:sz w:val="32"/>
          <w:szCs w:val="32"/>
        </w:rPr>
      </w:pPr>
      <w:r>
        <w:rPr>
          <w:rFonts w:hint="eastAsia" w:ascii="仿宋_GB2312" w:eastAsia="仿宋_GB2312" w:cs="仿宋_GB2312"/>
          <w:bCs/>
          <w:kern w:val="0"/>
          <w:sz w:val="32"/>
          <w:szCs w:val="32"/>
        </w:rPr>
        <w:t>2021年度国有资本经营预算财政拨款本年支出 0 万元。与 2020 年相比，</w:t>
      </w:r>
      <w:r>
        <w:rPr>
          <w:rFonts w:hint="eastAsia" w:ascii="仿宋_GB2312" w:eastAsia="仿宋_GB2312" w:cs="仿宋_GB2312"/>
          <w:color w:val="000000" w:themeColor="text1"/>
          <w:kern w:val="0"/>
          <w:sz w:val="32"/>
          <w:szCs w:val="32"/>
        </w:rPr>
        <w:t>无增无减</w:t>
      </w:r>
      <w:r>
        <w:rPr>
          <w:rFonts w:hint="eastAsia" w:ascii="仿宋_GB2312" w:eastAsia="仿宋_GB2312" w:cs="仿宋_GB2312"/>
          <w:bCs/>
          <w:kern w:val="0"/>
          <w:sz w:val="32"/>
          <w:szCs w:val="32"/>
        </w:rPr>
        <w:t>。</w:t>
      </w:r>
    </w:p>
    <w:p>
      <w:pPr>
        <w:autoSpaceDE w:val="0"/>
        <w:autoSpaceDN w:val="0"/>
        <w:adjustRightInd w:val="0"/>
        <w:spacing w:line="580" w:lineRule="exact"/>
        <w:jc w:val="left"/>
        <w:rPr>
          <w:rFonts w:ascii="仿宋_GB2312" w:eastAsia="仿宋_GB2312" w:cs="仿宋_GB2312"/>
          <w:b/>
          <w:kern w:val="0"/>
          <w:sz w:val="32"/>
          <w:szCs w:val="32"/>
        </w:rPr>
      </w:pPr>
      <w:r>
        <w:rPr>
          <w:rFonts w:hint="eastAsia" w:eastAsia="仿宋_GB2312"/>
          <w:b/>
          <w:kern w:val="0"/>
          <w:sz w:val="32"/>
          <w:szCs w:val="32"/>
        </w:rPr>
        <w:t xml:space="preserve">   十、2021</w:t>
      </w:r>
      <w:r>
        <w:rPr>
          <w:rFonts w:hint="eastAsia" w:ascii="仿宋_GB2312" w:eastAsia="仿宋_GB2312" w:cs="仿宋_GB2312"/>
          <w:b/>
          <w:kern w:val="0"/>
          <w:sz w:val="32"/>
          <w:szCs w:val="32"/>
        </w:rPr>
        <w:t xml:space="preserve"> 年度预算绩效情况说明</w:t>
      </w:r>
    </w:p>
    <w:p>
      <w:pPr>
        <w:numPr>
          <w:ilvl w:val="0"/>
          <w:numId w:val="1"/>
        </w:num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绩效管理工作开展情况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根据财政预算管理要求，我单位组织对2021年度一般公共预算整体支出全面开展绩效自评，共涉及预算资金187.09万元，自评覆盖率达到 100%。</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（二）单位决算中整体绩效自评结果</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我单位根据年初设定的绩效目标，自评得分为92.20分。</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《单位整体支出绩效自评表》详见附件2</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十一、其他重要事项的情况</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（一）机关运行经费支出情况。2021年度单位机关运行经费支出0万元，跟2020年相比不增不减。</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（二）政府采购支出情况。2021年度政府采购支出总额10.71万元，其中：货物支出10.71万元。与上年相比减少14.68万元，下降57.82%。</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（三）国有资产占用情况。</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截至年末单位共有车辆0辆。</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其他收入：指除上述“财政拨款收入”、“事业收入”、“经营收入”等以外的收入。主要是：</w:t>
      </w:r>
    </w:p>
    <w:p>
      <w:pPr>
        <w:numPr>
          <w:ilvl w:val="0"/>
          <w:numId w:val="2"/>
        </w:numPr>
        <w:spacing w:line="580" w:lineRule="exact"/>
        <w:ind w:firstLine="645"/>
        <w:rPr>
          <w:rFonts w:ascii="仿宋_GB2312" w:eastAsia="仿宋_GB2312"/>
          <w:bCs/>
          <w:sz w:val="32"/>
          <w:szCs w:val="32"/>
        </w:rPr>
      </w:pPr>
      <w:r>
        <w:rPr>
          <w:rFonts w:hint="eastAsia" w:ascii="仿宋_GB2312" w:eastAsia="仿宋_GB2312"/>
          <w:sz w:val="32"/>
          <w:szCs w:val="32"/>
        </w:rPr>
        <w:t>使用非财政拨款结余</w:t>
      </w:r>
      <w:r>
        <w:rPr>
          <w:rFonts w:hint="eastAsia" w:ascii="仿宋_GB2312" w:eastAsia="仿宋_GB2312"/>
          <w:bCs/>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p>
    <w:p/>
    <w:sectPr>
      <w:footerReference r:id="rId3" w:type="default"/>
      <w:footerReference r:id="rId4" w:type="even"/>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- 11 -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94F"/>
    <w:multiLevelType w:val="singleLevel"/>
    <w:tmpl w:val="5B3C894F"/>
    <w:lvl w:ilvl="0" w:tentative="0">
      <w:start w:val="1"/>
      <w:numFmt w:val="chineseCounting"/>
      <w:suff w:val="nothing"/>
      <w:lvlText w:val="（%1）"/>
      <w:lvlJc w:val="left"/>
    </w:lvl>
  </w:abstractNum>
  <w:abstractNum w:abstractNumId="1">
    <w:nsid w:val="5B3C8BA7"/>
    <w:multiLevelType w:val="singleLevel"/>
    <w:tmpl w:val="5B3C8BA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IzNWNhYzUwOTIyNDg3NzlkMWVjMGY4YWE5OGZhZDMifQ=="/>
  </w:docVars>
  <w:rsids>
    <w:rsidRoot w:val="4C256E3D"/>
    <w:rsid w:val="000249B5"/>
    <w:rsid w:val="00066CA3"/>
    <w:rsid w:val="00067D42"/>
    <w:rsid w:val="00091801"/>
    <w:rsid w:val="000A07C1"/>
    <w:rsid w:val="00102919"/>
    <w:rsid w:val="0010587C"/>
    <w:rsid w:val="00127E70"/>
    <w:rsid w:val="00161461"/>
    <w:rsid w:val="00163E77"/>
    <w:rsid w:val="001A54AC"/>
    <w:rsid w:val="001B67CF"/>
    <w:rsid w:val="001C407F"/>
    <w:rsid w:val="001E3D6D"/>
    <w:rsid w:val="002255BB"/>
    <w:rsid w:val="002B7163"/>
    <w:rsid w:val="002F6804"/>
    <w:rsid w:val="003018CE"/>
    <w:rsid w:val="00304D5C"/>
    <w:rsid w:val="00310A34"/>
    <w:rsid w:val="003168BF"/>
    <w:rsid w:val="003471E9"/>
    <w:rsid w:val="00386000"/>
    <w:rsid w:val="003A7762"/>
    <w:rsid w:val="003C1457"/>
    <w:rsid w:val="00430683"/>
    <w:rsid w:val="00434513"/>
    <w:rsid w:val="00452B02"/>
    <w:rsid w:val="00466059"/>
    <w:rsid w:val="00484478"/>
    <w:rsid w:val="00485D17"/>
    <w:rsid w:val="004A0BB6"/>
    <w:rsid w:val="004A1A34"/>
    <w:rsid w:val="004B30FB"/>
    <w:rsid w:val="004C7B83"/>
    <w:rsid w:val="004D257E"/>
    <w:rsid w:val="004F1168"/>
    <w:rsid w:val="00521CCF"/>
    <w:rsid w:val="0054206D"/>
    <w:rsid w:val="00561ECD"/>
    <w:rsid w:val="0056550F"/>
    <w:rsid w:val="005C20C5"/>
    <w:rsid w:val="005C43C9"/>
    <w:rsid w:val="005D1D19"/>
    <w:rsid w:val="005E53BE"/>
    <w:rsid w:val="005F2693"/>
    <w:rsid w:val="0060658F"/>
    <w:rsid w:val="0065088E"/>
    <w:rsid w:val="00663968"/>
    <w:rsid w:val="006B1BF1"/>
    <w:rsid w:val="006C1367"/>
    <w:rsid w:val="00715385"/>
    <w:rsid w:val="00732F39"/>
    <w:rsid w:val="0074195D"/>
    <w:rsid w:val="00750DD8"/>
    <w:rsid w:val="00794DCD"/>
    <w:rsid w:val="007B7828"/>
    <w:rsid w:val="00806584"/>
    <w:rsid w:val="00807259"/>
    <w:rsid w:val="00807941"/>
    <w:rsid w:val="00840823"/>
    <w:rsid w:val="0084148A"/>
    <w:rsid w:val="00863794"/>
    <w:rsid w:val="008773C7"/>
    <w:rsid w:val="00883DB5"/>
    <w:rsid w:val="00893388"/>
    <w:rsid w:val="008B010D"/>
    <w:rsid w:val="008B26F5"/>
    <w:rsid w:val="008C6E33"/>
    <w:rsid w:val="00904A63"/>
    <w:rsid w:val="009315CB"/>
    <w:rsid w:val="0095607A"/>
    <w:rsid w:val="00963015"/>
    <w:rsid w:val="009811FE"/>
    <w:rsid w:val="009A56D0"/>
    <w:rsid w:val="00A540E3"/>
    <w:rsid w:val="00A835EB"/>
    <w:rsid w:val="00AA256C"/>
    <w:rsid w:val="00AB631C"/>
    <w:rsid w:val="00AD5564"/>
    <w:rsid w:val="00B11246"/>
    <w:rsid w:val="00B1666B"/>
    <w:rsid w:val="00B70CFE"/>
    <w:rsid w:val="00BC203C"/>
    <w:rsid w:val="00BF1F2C"/>
    <w:rsid w:val="00C473F7"/>
    <w:rsid w:val="00C80ED5"/>
    <w:rsid w:val="00C90862"/>
    <w:rsid w:val="00CA528E"/>
    <w:rsid w:val="00CC23B5"/>
    <w:rsid w:val="00CE1487"/>
    <w:rsid w:val="00CF05A4"/>
    <w:rsid w:val="00D53FBA"/>
    <w:rsid w:val="00D635C0"/>
    <w:rsid w:val="00D81D2E"/>
    <w:rsid w:val="00DC5B3C"/>
    <w:rsid w:val="00DF0926"/>
    <w:rsid w:val="00E00546"/>
    <w:rsid w:val="00E0659A"/>
    <w:rsid w:val="00E23797"/>
    <w:rsid w:val="00E40175"/>
    <w:rsid w:val="00E7271C"/>
    <w:rsid w:val="00E82266"/>
    <w:rsid w:val="00E90E9E"/>
    <w:rsid w:val="00E9336C"/>
    <w:rsid w:val="00EA74BF"/>
    <w:rsid w:val="00ED4A24"/>
    <w:rsid w:val="00EE2EEE"/>
    <w:rsid w:val="00EE580E"/>
    <w:rsid w:val="00F10D52"/>
    <w:rsid w:val="00F25D03"/>
    <w:rsid w:val="00F342E2"/>
    <w:rsid w:val="00F66C5B"/>
    <w:rsid w:val="00F717D9"/>
    <w:rsid w:val="00F8399B"/>
    <w:rsid w:val="00FA2D37"/>
    <w:rsid w:val="00FA3D3D"/>
    <w:rsid w:val="00FA74D4"/>
    <w:rsid w:val="0DA86951"/>
    <w:rsid w:val="0E074DDF"/>
    <w:rsid w:val="124204B5"/>
    <w:rsid w:val="14610442"/>
    <w:rsid w:val="182962AB"/>
    <w:rsid w:val="19D073EB"/>
    <w:rsid w:val="1CC31F67"/>
    <w:rsid w:val="24D337DC"/>
    <w:rsid w:val="26460DBA"/>
    <w:rsid w:val="2B6F74EB"/>
    <w:rsid w:val="2C4219FE"/>
    <w:rsid w:val="34020F86"/>
    <w:rsid w:val="39A63F06"/>
    <w:rsid w:val="3ED1439F"/>
    <w:rsid w:val="44500BF5"/>
    <w:rsid w:val="48374EDC"/>
    <w:rsid w:val="4C256E3D"/>
    <w:rsid w:val="4CB52F0F"/>
    <w:rsid w:val="532F1F9A"/>
    <w:rsid w:val="5E995A3E"/>
    <w:rsid w:val="62163194"/>
    <w:rsid w:val="624D024D"/>
    <w:rsid w:val="650E086A"/>
    <w:rsid w:val="6BAA07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uiPriority w:val="0"/>
    <w:rPr>
      <w:rFonts w:hint="eastAsia" w:ascii="宋体" w:hAnsi="宋体" w:eastAsia="宋体" w:cs="宋体"/>
      <w:color w:val="000000"/>
      <w:sz w:val="22"/>
      <w:szCs w:val="22"/>
      <w:u w:val="none"/>
    </w:rPr>
  </w:style>
  <w:style w:type="character" w:customStyle="1" w:styleId="10">
    <w:name w:val="font01"/>
    <w:basedOn w:val="6"/>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4AC0E-A2BF-4AF4-8001-D38182109B6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4446</Words>
  <Characters>5036</Characters>
  <Lines>6</Lines>
  <Paragraphs>10</Paragraphs>
  <TotalTime>1674</TotalTime>
  <ScaleCrop>false</ScaleCrop>
  <LinksUpToDate>false</LinksUpToDate>
  <CharactersWithSpaces>5102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ちひろ</cp:lastModifiedBy>
  <cp:lastPrinted>2021-08-11T01:16:00Z</cp:lastPrinted>
  <dcterms:modified xsi:type="dcterms:W3CDTF">2023-06-16T03:16:46Z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61AC259AA00C49A5BA296748C7FE939C_12</vt:lpwstr>
  </property>
</Properties>
</file>