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u w:val="none"/>
        </w:rPr>
        <w:t>柳州市</w:t>
      </w:r>
      <w:r>
        <w:rPr>
          <w:rFonts w:hint="eastAsia" w:ascii="黑体" w:hAnsi="黑体" w:eastAsia="黑体"/>
          <w:bCs/>
          <w:color w:val="000000"/>
          <w:sz w:val="52"/>
          <w:szCs w:val="52"/>
          <w:u w:val="none"/>
          <w:lang w:eastAsia="zh-CN"/>
        </w:rPr>
        <w:t>第一职业技术学校</w:t>
      </w:r>
    </w:p>
    <w:p>
      <w:pPr>
        <w:jc w:val="center"/>
        <w:rPr>
          <w:rFonts w:ascii="黑体" w:eastAsia="黑体" w:cs="ArialUnicodeMS"/>
          <w:kern w:val="0"/>
          <w:sz w:val="52"/>
          <w:szCs w:val="52"/>
        </w:rPr>
      </w:pPr>
      <w:r>
        <w:rPr>
          <w:rFonts w:hint="eastAsia" w:ascii="黑体" w:eastAsia="黑体"/>
          <w:kern w:val="0"/>
          <w:sz w:val="52"/>
          <w:szCs w:val="52"/>
        </w:rPr>
        <w:t>202</w:t>
      </w:r>
      <w:r>
        <w:rPr>
          <w:rFonts w:hint="eastAsia" w:ascii="黑体" w:eastAsia="黑体"/>
          <w:kern w:val="0"/>
          <w:sz w:val="52"/>
          <w:szCs w:val="52"/>
          <w:lang w:val="en-US" w:eastAsia="zh-CN"/>
        </w:rPr>
        <w:t>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柳州市第一职业技术学校</w:t>
      </w:r>
      <w:r>
        <w:rPr>
          <w:rFonts w:hint="eastAsia" w:ascii="仿宋_GB2312" w:eastAsia="仿宋_GB2312"/>
          <w:b/>
          <w:sz w:val="32"/>
          <w:szCs w:val="32"/>
        </w:rPr>
        <w:t>概况</w:t>
      </w:r>
    </w:p>
    <w:p>
      <w:pPr>
        <w:numPr>
          <w:ilvl w:val="0"/>
          <w:numId w:val="1"/>
        </w:numPr>
        <w:ind w:firstLine="645"/>
        <w:rPr>
          <w:rFonts w:hint="eastAsia" w:ascii="仿宋_GB2312" w:eastAsia="仿宋_GB2312"/>
          <w:sz w:val="32"/>
          <w:szCs w:val="32"/>
        </w:rPr>
      </w:pPr>
      <w:r>
        <w:rPr>
          <w:rFonts w:hint="eastAsia" w:ascii="仿宋_GB2312" w:eastAsia="仿宋_GB2312"/>
          <w:sz w:val="32"/>
          <w:szCs w:val="32"/>
        </w:rPr>
        <w:t>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柳州市第一职业技术学校</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柳州市第一职业技术学校</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年度部门决算情况说明</w:t>
      </w:r>
    </w:p>
    <w:p>
      <w:pPr>
        <w:ind w:left="645"/>
        <w:rPr>
          <w:rFonts w:hint="eastAsia" w:ascii="仿宋_GB2312" w:eastAsia="仿宋_GB2312"/>
          <w:sz w:val="32"/>
          <w:szCs w:val="32"/>
        </w:rPr>
      </w:pPr>
      <w:r>
        <w:rPr>
          <w:rFonts w:hint="eastAsia" w:ascii="仿宋_GB2312" w:eastAsia="仿宋_GB2312"/>
          <w:sz w:val="32"/>
          <w:szCs w:val="32"/>
        </w:rPr>
        <w:t>一、202</w:t>
      </w:r>
      <w:r>
        <w:rPr>
          <w:rFonts w:hint="eastAsia" w:ascii="仿宋_GB2312" w:eastAsia="仿宋_GB2312"/>
          <w:sz w:val="32"/>
          <w:szCs w:val="32"/>
          <w:lang w:val="en-US" w:eastAsia="zh-CN"/>
        </w:rPr>
        <w:t>1</w:t>
      </w:r>
      <w:r>
        <w:rPr>
          <w:rFonts w:hint="eastAsia" w:ascii="仿宋_GB2312" w:eastAsia="仿宋_GB2312"/>
          <w:sz w:val="32"/>
          <w:szCs w:val="32"/>
        </w:rPr>
        <w:t xml:space="preserve"> 年度收入支出决算总体情况。</w:t>
      </w:r>
    </w:p>
    <w:p>
      <w:pPr>
        <w:ind w:left="645"/>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 xml:space="preserve"> 年度一般公共预算财政拨款支出决算情况</w:t>
      </w:r>
    </w:p>
    <w:p>
      <w:pPr>
        <w:ind w:left="645"/>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 xml:space="preserve"> 年度一般公共预算财政拨款基本支出决算情况</w:t>
      </w:r>
      <w:r>
        <w:rPr>
          <w:rFonts w:hint="eastAsia" w:ascii="仿宋_GB2312" w:eastAsia="仿宋_GB2312"/>
          <w:sz w:val="32"/>
          <w:szCs w:val="32"/>
          <w:lang w:eastAsia="zh-CN"/>
        </w:rPr>
        <w:t>。</w:t>
      </w:r>
    </w:p>
    <w:p>
      <w:pPr>
        <w:ind w:left="645"/>
        <w:rPr>
          <w:rFonts w:hint="eastAsia" w:ascii="仿宋_GB2312" w:eastAsia="仿宋_GB2312"/>
          <w:sz w:val="32"/>
          <w:szCs w:val="32"/>
          <w:lang w:val="en-US" w:eastAsia="zh-CN"/>
        </w:rPr>
      </w:pPr>
      <w:r>
        <w:rPr>
          <w:rFonts w:hint="eastAsia" w:ascii="仿宋_GB2312" w:eastAsia="仿宋_GB2312"/>
          <w:sz w:val="32"/>
          <w:szCs w:val="32"/>
          <w:lang w:eastAsia="zh-CN"/>
        </w:rPr>
        <w:t>四</w:t>
      </w:r>
      <w:r>
        <w:rPr>
          <w:rFonts w:hint="eastAsia" w:ascii="仿宋_GB2312" w:eastAsia="仿宋_GB2312"/>
          <w:sz w:val="32"/>
          <w:szCs w:val="32"/>
        </w:rPr>
        <w:t>、</w:t>
      </w:r>
      <w:r>
        <w:rPr>
          <w:rFonts w:hint="eastAsia" w:ascii="仿宋_GB2312" w:eastAsia="仿宋_GB2312"/>
          <w:sz w:val="32"/>
          <w:szCs w:val="32"/>
          <w:lang w:val="en-US" w:eastAsia="zh-CN"/>
        </w:rPr>
        <w:t>2021年度政府性基金支出决算情况</w:t>
      </w:r>
    </w:p>
    <w:p>
      <w:pPr>
        <w:ind w:left="645"/>
        <w:rPr>
          <w:rFonts w:hint="default" w:ascii="仿宋_GB2312" w:eastAsia="仿宋_GB2312"/>
          <w:sz w:val="32"/>
          <w:szCs w:val="32"/>
          <w:lang w:val="en-US" w:eastAsia="zh-CN"/>
        </w:rPr>
      </w:pPr>
      <w:r>
        <w:rPr>
          <w:rFonts w:hint="eastAsia" w:ascii="仿宋_GB2312" w:eastAsia="仿宋_GB2312"/>
          <w:sz w:val="32"/>
          <w:szCs w:val="32"/>
          <w:lang w:val="en-US" w:eastAsia="zh-CN"/>
        </w:rPr>
        <w:t>五、2021年度国有资本经营预算支出决算情况</w:t>
      </w:r>
    </w:p>
    <w:p>
      <w:pPr>
        <w:ind w:left="645"/>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一般公共预算财政拨款“三公”经费支出决算情况</w:t>
      </w:r>
    </w:p>
    <w:p>
      <w:pPr>
        <w:ind w:left="645"/>
        <w:rPr>
          <w:rFonts w:hint="eastAsia"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kinsoku/>
        <w:wordWrap/>
        <w:overflowPunct/>
        <w:topLinePunct w:val="0"/>
        <w:autoSpaceDE/>
        <w:autoSpaceDN/>
        <w:bidi w:val="0"/>
        <w:adjustRightInd/>
        <w:snapToGrid/>
        <w:jc w:val="both"/>
        <w:textAlignment w:val="auto"/>
        <w:rPr>
          <w:rFonts w:ascii="仿宋_GB2312" w:eastAsia="仿宋_GB2312"/>
          <w:b/>
          <w:sz w:val="32"/>
          <w:szCs w:val="32"/>
          <w:u w:val="none"/>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柳州市第一职业技术学校</w:t>
      </w:r>
      <w:r>
        <w:rPr>
          <w:rFonts w:hint="eastAsia" w:ascii="仿宋_GB2312" w:eastAsia="仿宋_GB2312"/>
          <w:b/>
          <w:sz w:val="32"/>
          <w:szCs w:val="32"/>
          <w:u w:val="none"/>
        </w:rPr>
        <w:t>概况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柳州市第一职业技术学校</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公立全日制中等职业教育学校，1982年首次办班，1983年正式挂牌成立，校址位于广西壮族自治区柳州市鱼峰区雒容镇石冲路2号，占地398.94亩。学校是首批国家级重点中等职业学校、首批国家中等职业教育改革发展示范校、国家职业院校数字校园建设实验校，是自治区第一批中等职业学校五星级学校。学校主要开展全日制学历教育、非全日制学历教育和社会培训等其他类型的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学校主要</w:t>
      </w:r>
      <w:r>
        <w:rPr>
          <w:rFonts w:ascii="仿宋_GB2312" w:eastAsia="仿宋_GB2312" w:hAnsiTheme="minorEastAsia"/>
          <w:sz w:val="32"/>
          <w:szCs w:val="32"/>
        </w:rPr>
        <w:t>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cs="仿宋_GB2312" w:hAnsiTheme="minorEastAsia"/>
          <w:sz w:val="32"/>
          <w:szCs w:val="32"/>
        </w:rPr>
        <w:t>执行国家有关教育法律、法规、方针、政策和上级教育行政主管部门的规定，按教育规律办学。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（二）</w:t>
      </w:r>
      <w:r>
        <w:rPr>
          <w:rFonts w:hint="eastAsia" w:ascii="仿宋_GB2312" w:eastAsia="仿宋_GB2312" w:cs="仿宋_GB2312" w:hAnsiTheme="minorEastAsia"/>
          <w:sz w:val="32"/>
          <w:szCs w:val="32"/>
        </w:rPr>
        <w:t>组织教师学习政治和研究业务，努力建设学习型的教</w:t>
      </w:r>
      <w:r>
        <w:rPr>
          <w:rFonts w:hint="eastAsia" w:ascii="仿宋_GB2312" w:eastAsia="仿宋_GB2312" w:hAnsiTheme="minorEastAsia"/>
          <w:sz w:val="32"/>
          <w:szCs w:val="32"/>
        </w:rPr>
        <w:t>师队伍。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（三）拟订并实施学校的发展规划，制定实施年度工作计划和学校规章制度，保证教育教学整体质量的稳步提高。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（四）发挥学校教育的主导作用，加强学生的法制教育和安全知识教育。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（五）依法聘任和解聘学校教师和其他工作人员，对学生进行学籍管理。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（六）拟订和执行年度经费预算方案，保护和管理学校的财产。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（七）逐年增加专项经费，加强校园安全隐患的排查整改，强化安全管理手段，避免学校安全生产责任事故发生。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二、单位机构设置情况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学校设党政办、组织人事科、宣传科、纪检监察室、教务科、学生科、质量办、招生与就业科、财务与资产科、信息科、培训与国际交流科、科研科、后勤保卫科等13个行政职能科室；开设有高职部、信息技术系、经济管理系、交通运输系、烹饪技术与管理系、旅游管理系、商贸物流系、机械及自动化系、马克思主义学院、体育学部等10个二级教学机构。</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pP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柳州市第一职业技术学校</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年部门决算报表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(此部分另附表格，详见附件3：柳州市第一职业技术学校2021年度部门决算公开表)</w:t>
      </w:r>
    </w:p>
    <w:p>
      <w:pPr>
        <w:rPr>
          <w:rFonts w:hint="eastAsia" w:ascii="黑体" w:hAnsi="黑体" w:eastAsia="黑体"/>
          <w:sz w:val="32"/>
          <w:szCs w:val="32"/>
          <w:u w:val="none"/>
        </w:rPr>
      </w:pPr>
    </w:p>
    <w:p>
      <w:pPr>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柳州市第一职业技术学校</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年度部门决算情况说明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一、202</w:t>
      </w:r>
      <w:r>
        <w:rPr>
          <w:rFonts w:hint="eastAsia" w:ascii="黑体" w:hAnsi="黑体" w:eastAsia="黑体" w:cs="黑体"/>
          <w:sz w:val="32"/>
          <w:szCs w:val="32"/>
          <w:lang w:val="en-US" w:eastAsia="zh-CN"/>
        </w:rPr>
        <w:t>1</w:t>
      </w:r>
      <w:r>
        <w:rPr>
          <w:rFonts w:hint="eastAsia" w:ascii="黑体" w:hAnsi="黑体" w:eastAsia="黑体" w:cs="黑体"/>
          <w:sz w:val="32"/>
          <w:szCs w:val="32"/>
          <w:lang w:eastAsia="zh-CN"/>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16,510.58</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15,075.46</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287.16</w:t>
      </w:r>
      <w:r>
        <w:rPr>
          <w:rFonts w:hint="eastAsia" w:ascii="仿宋_GB2312" w:hAnsi="黑体" w:eastAsia="仿宋_GB2312" w:cs="仿宋_GB2312"/>
          <w:kern w:val="0"/>
          <w:sz w:val="32"/>
          <w:szCs w:val="32"/>
        </w:rPr>
        <w:t xml:space="preserve"> 万元，增长</w:t>
      </w:r>
      <w:r>
        <w:rPr>
          <w:rFonts w:hint="eastAsia" w:ascii="仿宋_GB2312" w:hAnsi="黑体" w:eastAsia="仿宋_GB2312" w:cs="仿宋_GB2312"/>
          <w:kern w:val="0"/>
          <w:sz w:val="32"/>
          <w:szCs w:val="32"/>
          <w:lang w:val="en-US" w:eastAsia="zh-CN"/>
        </w:rPr>
        <w:t>1.77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9,862.61</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3,694.89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27.25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财政拨款收入是以支定收，年底没有使用的财政指标1,196.28万元不计入收入，另外，2021年免学费补助1,415.00万元通过柳州市学生资助中心拨付，柳州教育网经费88万元、官塘、柳江校区宿舍套配设施等6个项目款584.01万元通过柳州市教育局拨付，不通过财政拨款收入科目核算。</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政府性基金预算财政拨款收入</w:t>
      </w:r>
      <w:r>
        <w:rPr>
          <w:rFonts w:hint="eastAsia" w:ascii="仿宋_GB2312" w:hAnsi="黑体"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国有资本经营预算财政拨款收入</w:t>
      </w:r>
      <w:r>
        <w:rPr>
          <w:rFonts w:hint="eastAsia" w:ascii="仿宋_GB2312" w:hAnsi="黑体"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2,987.57</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2,259.87</w:t>
      </w:r>
      <w:r>
        <w:rPr>
          <w:rFonts w:hint="eastAsia" w:ascii="仿宋_GB2312" w:hAnsi="黑体" w:eastAsia="仿宋_GB2312" w:cs="仿宋_GB2312"/>
          <w:kern w:val="0"/>
          <w:sz w:val="32"/>
          <w:szCs w:val="32"/>
        </w:rPr>
        <w:t xml:space="preserve"> 万元，增长</w:t>
      </w:r>
      <w:r>
        <w:rPr>
          <w:rFonts w:hint="eastAsia" w:ascii="仿宋_GB2312" w:hAnsi="黑体" w:eastAsia="仿宋_GB2312" w:cs="仿宋_GB2312"/>
          <w:kern w:val="0"/>
          <w:sz w:val="32"/>
          <w:szCs w:val="32"/>
          <w:lang w:val="en-US" w:eastAsia="zh-CN"/>
        </w:rPr>
        <w:t>310.55</w:t>
      </w:r>
      <w:r>
        <w:rPr>
          <w:rFonts w:hint="eastAsia" w:ascii="仿宋_GB2312" w:hAnsi="黑体" w:eastAsia="仿宋_GB2312" w:cs="仿宋_GB2312"/>
          <w:kern w:val="0"/>
          <w:sz w:val="32"/>
          <w:szCs w:val="32"/>
        </w:rPr>
        <w:t xml:space="preserve"> %，主要原因是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2021年使用的非税收入指标1,473.91万元比2020年727.70万元多746.21万元，另外，2021年有德促行贷款项目款1,396.87万元，比2020年166.03万元多了1,230.84万元。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经营收入</w:t>
      </w:r>
      <w:r>
        <w:rPr>
          <w:rFonts w:hint="eastAsia" w:ascii="仿宋_GB2312" w:hAnsi="黑体"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2,225.28</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2,133.17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2315.89</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2021年免学费补助1415万元、柳州教育网经费88万元、官塘、柳江校区宿舍套配设施等6个项目款584.01万元通过柳州市教育局拨付，通过了“其他收入－非同级财政拨款收入”科目核算。</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未使用</w:t>
      </w:r>
      <w:r>
        <w:rPr>
          <w:rFonts w:hint="eastAsia" w:ascii="仿宋_GB2312" w:eastAsia="仿宋_GB2312" w:cs="仿宋_GB2312"/>
          <w:kern w:val="0"/>
          <w:sz w:val="32"/>
          <w:szCs w:val="32"/>
        </w:rPr>
        <w:t>非财政拨款结余</w:t>
      </w:r>
      <w:r>
        <w:rPr>
          <w:rFonts w:hint="eastAsia" w:ascii="仿宋_GB2312" w:hAnsi="黑体"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1,435.12</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1,846.12万元</w:t>
      </w:r>
      <w:r>
        <w:rPr>
          <w:rFonts w:hint="eastAsia" w:ascii="仿宋_GB2312" w:hAnsi="黑体" w:eastAsia="仿宋_GB2312" w:cs="仿宋_GB2312"/>
          <w:kern w:val="0"/>
          <w:sz w:val="32"/>
          <w:szCs w:val="32"/>
        </w:rPr>
        <w:t>减少</w:t>
      </w:r>
      <w:r>
        <w:rPr>
          <w:rFonts w:hint="eastAsia" w:ascii="仿宋_GB2312" w:hAnsi="黑体" w:eastAsia="仿宋_GB2312" w:cs="仿宋_GB2312"/>
          <w:kern w:val="0"/>
          <w:sz w:val="32"/>
          <w:szCs w:val="32"/>
          <w:lang w:val="en-US" w:eastAsia="zh-CN"/>
        </w:rPr>
        <w:t>411.00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22.26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w:t>
      </w:r>
      <w:r>
        <w:rPr>
          <w:rFonts w:hint="eastAsia" w:ascii="仿宋_GB2312" w:hAnsi="黑体" w:eastAsia="仿宋_GB2312" w:cs="仿宋_GB2312"/>
          <w:kern w:val="0"/>
          <w:sz w:val="32"/>
          <w:szCs w:val="32"/>
          <w:lang w:eastAsia="zh-CN"/>
        </w:rPr>
        <w:t>一般公共预算支出，以支定收，年末没有使用的财政指标，不再做结转处理。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16,510.58</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14,991.03</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287.16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17.70</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支出具体情况如下：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1.教育支出（205类）14,539.20万元，较2020年度决算数增加687.50万元，增长4.96%，增加的主要原因是：主要体现在基本支出的增加，随着办学规模的增大，人员经费和公用经费支出随之增加。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hAnsi="黑体" w:eastAsia="仿宋_GB2312" w:cs="仿宋_GB2312"/>
          <w:kern w:val="0"/>
          <w:sz w:val="32"/>
          <w:szCs w:val="32"/>
          <w:lang w:val="en-US" w:eastAsia="zh-CN"/>
        </w:rPr>
        <w:t>2.住房保障（221类）支出451.84万元，较2020年度决算数增加445.23万元，原因是2020年住房公积金统计在教育类支出，2021年统计在住房保障类支出。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1,519.55</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0.46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，增加的主要原因：</w:t>
      </w:r>
      <w:r>
        <w:rPr>
          <w:rFonts w:hint="eastAsia" w:ascii="仿宋_GB2312" w:hAnsi="黑体" w:eastAsia="仿宋_GB2312" w:cs="仿宋_GB2312"/>
          <w:kern w:val="0"/>
          <w:sz w:val="32"/>
          <w:szCs w:val="32"/>
          <w:lang w:val="en-US" w:eastAsia="zh-CN"/>
        </w:rPr>
        <w:t>2021年</w:t>
      </w:r>
      <w:r>
        <w:rPr>
          <w:rFonts w:hint="eastAsia" w:ascii="仿宋_GB2312" w:hAnsi="黑体" w:eastAsia="仿宋_GB2312" w:cs="仿宋_GB2312"/>
          <w:kern w:val="0"/>
          <w:sz w:val="32"/>
          <w:szCs w:val="32"/>
          <w:lang w:eastAsia="zh-CN"/>
        </w:rPr>
        <w:t>非财专项结转比</w:t>
      </w:r>
      <w:r>
        <w:rPr>
          <w:rFonts w:hint="eastAsia" w:ascii="仿宋_GB2312" w:hAnsi="黑体" w:eastAsia="仿宋_GB2312" w:cs="仿宋_GB2312"/>
          <w:kern w:val="0"/>
          <w:sz w:val="32"/>
          <w:szCs w:val="32"/>
          <w:lang w:val="en-US" w:eastAsia="zh-CN"/>
        </w:rPr>
        <w:t>2020年</w:t>
      </w:r>
      <w:r>
        <w:rPr>
          <w:rFonts w:hint="eastAsia" w:ascii="仿宋_GB2312" w:hAnsi="黑体" w:eastAsia="仿宋_GB2312" w:cs="仿宋_GB2312"/>
          <w:kern w:val="0"/>
          <w:sz w:val="32"/>
          <w:szCs w:val="32"/>
          <w:lang w:eastAsia="zh-CN"/>
        </w:rPr>
        <w:t>多。</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w:t>
      </w:r>
      <w:r>
        <w:rPr>
          <w:rFonts w:hint="eastAsia" w:ascii="黑体" w:hAnsi="黑体" w:eastAsia="黑体" w:cs="黑体"/>
          <w:b w:val="0"/>
          <w:bCs/>
          <w:kern w:val="0"/>
          <w:sz w:val="32"/>
          <w:szCs w:val="32"/>
          <w:lang w:eastAsia="zh-CN"/>
        </w:rPr>
        <w:t>2021</w:t>
      </w:r>
      <w:r>
        <w:rPr>
          <w:rFonts w:hint="eastAsia" w:ascii="黑体" w:hAnsi="黑体" w:eastAsia="黑体" w:cs="黑体"/>
          <w:b w:val="0"/>
          <w:bCs/>
          <w:kern w:val="0"/>
          <w:sz w:val="32"/>
          <w:szCs w:val="32"/>
        </w:rPr>
        <w:t>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10,555.16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13,858.30万元</w:t>
      </w:r>
      <w:r>
        <w:rPr>
          <w:rFonts w:hint="eastAsia" w:ascii="仿宋_GB2312" w:hAnsi="黑体" w:eastAsia="仿宋_GB2312" w:cs="仿宋_GB2312"/>
          <w:kern w:val="0"/>
          <w:sz w:val="32"/>
          <w:szCs w:val="32"/>
        </w:rPr>
        <w:t>减少</w:t>
      </w:r>
      <w:r>
        <w:rPr>
          <w:rFonts w:hint="eastAsia" w:ascii="仿宋_GB2312" w:hAnsi="黑体" w:eastAsia="仿宋_GB2312" w:cs="仿宋_GB2312"/>
          <w:kern w:val="0"/>
          <w:sz w:val="32"/>
          <w:szCs w:val="32"/>
          <w:lang w:val="en-US" w:eastAsia="zh-CN"/>
        </w:rPr>
        <w:t>3,303.14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23.84</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6,596.81</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3,958.36</w:t>
      </w:r>
      <w:r>
        <w:rPr>
          <w:rFonts w:hint="eastAsia" w:ascii="仿宋_GB2312" w:eastAsia="仿宋_GB2312" w:cs="仿宋_GB2312"/>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6,174.53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10,555.16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170.95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一）教育支出（205类）职业教育（03款）中等职业教育（02项）。年初预算为4,498.93万元，支出决算为8,567.18万元，完成年初预算的190.43%，主要原因：1.2021年追加了上级补助经费1484万元，其中：2021年现代职业教育发展水平提升项目经费（办学达标经费）800万元，柳财预追[2021]172号；2021年现代职业教育质量提升计划经费（第二批）品牌专来建设经费380万元，柳财预追[2021]308号，1+X证书试点经费64万元（柳财预追[2021]95号），免学费补助240万元（柳财预追[2021]226号）。2.增加了聘用控制数人员经费1,266.00万元、2021年市本级教育“两费”经费1,172.70万元，以及增人增资及绩效工资总量补差等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教育支出（</w:t>
      </w:r>
      <w:r>
        <w:rPr>
          <w:rFonts w:hint="eastAsia" w:ascii="仿宋_GB2312" w:eastAsia="仿宋_GB2312" w:cs="仿宋_GB2312"/>
          <w:bCs/>
          <w:kern w:val="0"/>
          <w:sz w:val="32"/>
          <w:szCs w:val="32"/>
          <w:lang w:val="en-US" w:eastAsia="zh-CN"/>
        </w:rPr>
        <w:t>205</w:t>
      </w:r>
      <w:r>
        <w:rPr>
          <w:rFonts w:hint="eastAsia" w:ascii="仿宋_GB2312" w:eastAsia="仿宋_GB2312" w:cs="仿宋_GB2312"/>
          <w:bCs/>
          <w:kern w:val="0"/>
          <w:sz w:val="32"/>
          <w:szCs w:val="32"/>
        </w:rPr>
        <w:t>类）职业教育（</w:t>
      </w:r>
      <w:r>
        <w:rPr>
          <w:rFonts w:hint="eastAsia" w:ascii="仿宋_GB2312" w:eastAsia="仿宋_GB2312" w:cs="仿宋_GB2312"/>
          <w:bCs/>
          <w:kern w:val="0"/>
          <w:sz w:val="32"/>
          <w:szCs w:val="32"/>
          <w:lang w:val="en-US" w:eastAsia="zh-CN"/>
        </w:rPr>
        <w:t>03</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其他职业教育支出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99</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1,252.74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1,536.14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122.62</w:t>
      </w:r>
      <w:r>
        <w:rPr>
          <w:rFonts w:hint="eastAsia" w:ascii="仿宋_GB2312" w:eastAsia="仿宋_GB2312" w:cs="仿宋_GB2312"/>
          <w:bCs/>
          <w:kern w:val="0"/>
          <w:sz w:val="32"/>
          <w:szCs w:val="32"/>
        </w:rPr>
        <w:t>%，主要原因</w:t>
      </w:r>
      <w:r>
        <w:rPr>
          <w:rFonts w:hint="eastAsia" w:ascii="仿宋_GB2312" w:eastAsia="仿宋_GB2312" w:cs="仿宋_GB2312"/>
          <w:bCs/>
          <w:kern w:val="0"/>
          <w:sz w:val="32"/>
          <w:szCs w:val="32"/>
          <w:lang w:eastAsia="zh-CN"/>
        </w:rPr>
        <w:t>是：2021年追加了上级补助经费竞赛奖补和技能大赛经费142万元，柳财预追</w:t>
      </w:r>
      <w:r>
        <w:rPr>
          <w:rFonts w:hint="eastAsia" w:ascii="仿宋_GB2312" w:eastAsia="仿宋_GB2312" w:cs="仿宋_GB2312"/>
          <w:bCs/>
          <w:kern w:val="0"/>
          <w:sz w:val="32"/>
          <w:szCs w:val="32"/>
          <w:lang w:val="en-US" w:eastAsia="zh-CN"/>
        </w:rPr>
        <w:t>[2021]73号；以及增人增资及绩效工资总量补差后，养老、医疗保险等经费也按比例增加。</w:t>
      </w:r>
    </w:p>
    <w:p>
      <w:pPr>
        <w:keepNext w:val="0"/>
        <w:keepLines w:val="0"/>
        <w:pageBreakBefore w:val="0"/>
        <w:widowControl w:val="0"/>
        <w:numPr>
          <w:ilvl w:val="-1"/>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eastAsia="仿宋_GB2312" w:cs="仿宋_GB2312"/>
          <w:kern w:val="0"/>
          <w:sz w:val="32"/>
          <w:szCs w:val="32"/>
          <w:lang w:val="en-US"/>
        </w:rPr>
      </w:pPr>
      <w:r>
        <w:rPr>
          <w:rFonts w:hint="eastAsia" w:ascii="仿宋_GB2312" w:eastAsia="仿宋_GB2312" w:cs="仿宋_GB2312"/>
          <w:kern w:val="0"/>
          <w:sz w:val="32"/>
          <w:szCs w:val="32"/>
          <w:lang w:eastAsia="zh-CN"/>
        </w:rPr>
        <w:t>（三）住房保障支出（</w:t>
      </w:r>
      <w:r>
        <w:rPr>
          <w:rFonts w:hint="eastAsia" w:ascii="仿宋_GB2312" w:eastAsia="仿宋_GB2312" w:cs="仿宋_GB2312"/>
          <w:kern w:val="0"/>
          <w:sz w:val="32"/>
          <w:szCs w:val="32"/>
          <w:lang w:val="en-US" w:eastAsia="zh-CN"/>
        </w:rPr>
        <w:t>221</w:t>
      </w:r>
      <w:r>
        <w:rPr>
          <w:rFonts w:hint="eastAsia" w:ascii="仿宋_GB2312" w:eastAsia="仿宋_GB2312" w:cs="仿宋_GB2312"/>
          <w:kern w:val="0"/>
          <w:sz w:val="32"/>
          <w:szCs w:val="32"/>
          <w:lang w:eastAsia="zh-CN"/>
        </w:rPr>
        <w:t>）住房改革支出（</w:t>
      </w:r>
      <w:r>
        <w:rPr>
          <w:rFonts w:hint="eastAsia" w:ascii="仿宋_GB2312" w:eastAsia="仿宋_GB2312" w:cs="仿宋_GB2312"/>
          <w:kern w:val="0"/>
          <w:sz w:val="32"/>
          <w:szCs w:val="32"/>
          <w:lang w:val="en-US" w:eastAsia="zh-CN"/>
        </w:rPr>
        <w:t>02</w:t>
      </w:r>
      <w:r>
        <w:rPr>
          <w:rFonts w:hint="eastAsia" w:ascii="仿宋_GB2312" w:eastAsia="仿宋_GB2312" w:cs="仿宋_GB2312"/>
          <w:kern w:val="0"/>
          <w:sz w:val="32"/>
          <w:szCs w:val="32"/>
          <w:lang w:eastAsia="zh-CN"/>
        </w:rPr>
        <w:t>款）住房公积金（</w:t>
      </w:r>
      <w:r>
        <w:rPr>
          <w:rFonts w:hint="eastAsia" w:ascii="仿宋_GB2312" w:eastAsia="仿宋_GB2312" w:cs="仿宋_GB2312"/>
          <w:kern w:val="0"/>
          <w:sz w:val="32"/>
          <w:szCs w:val="32"/>
          <w:lang w:val="en-US" w:eastAsia="zh-CN"/>
        </w:rPr>
        <w:t>01</w:t>
      </w:r>
      <w:r>
        <w:rPr>
          <w:rFonts w:hint="eastAsia" w:ascii="仿宋_GB2312" w:eastAsia="仿宋_GB2312" w:cs="仿宋_GB2312"/>
          <w:kern w:val="0"/>
          <w:sz w:val="32"/>
          <w:szCs w:val="32"/>
          <w:lang w:eastAsia="zh-CN"/>
        </w:rPr>
        <w:t>项）。年初预算为</w:t>
      </w:r>
      <w:r>
        <w:rPr>
          <w:rFonts w:hint="eastAsia" w:ascii="仿宋_GB2312" w:eastAsia="仿宋_GB2312" w:cs="仿宋_GB2312"/>
          <w:kern w:val="0"/>
          <w:sz w:val="32"/>
          <w:szCs w:val="32"/>
          <w:lang w:val="en-US" w:eastAsia="zh-CN"/>
        </w:rPr>
        <w:t>422.86万元，支出决算为451.84万元，完成年初预算的106.85%，主要原因：因增人增资和绩效工资总量补差，住房公积金也按比例相应的增加。</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三、</w:t>
      </w:r>
      <w:r>
        <w:rPr>
          <w:rFonts w:hint="eastAsia" w:ascii="黑体" w:hAnsi="黑体" w:eastAsia="黑体" w:cs="黑体"/>
          <w:b w:val="0"/>
          <w:bCs/>
          <w:kern w:val="0"/>
          <w:sz w:val="32"/>
          <w:szCs w:val="32"/>
          <w:lang w:eastAsia="zh-CN"/>
        </w:rPr>
        <w:t>2021</w:t>
      </w:r>
      <w:r>
        <w:rPr>
          <w:rFonts w:hint="eastAsia" w:ascii="黑体" w:hAnsi="黑体" w:eastAsia="黑体" w:cs="黑体"/>
          <w:b w:val="0"/>
          <w:bCs/>
          <w:kern w:val="0"/>
          <w:sz w:val="32"/>
          <w:szCs w:val="32"/>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6,596.81</w:t>
      </w:r>
      <w:r>
        <w:rPr>
          <w:rFonts w:hint="eastAsia" w:ascii="仿宋_GB2312" w:eastAsia="仿宋_GB2312" w:cs="仿宋_GB2312"/>
          <w:kern w:val="0"/>
          <w:sz w:val="32"/>
          <w:szCs w:val="32"/>
        </w:rPr>
        <w:t>万元，支出具体情况如下：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bCs/>
          <w:kern w:val="0"/>
          <w:sz w:val="32"/>
          <w:szCs w:val="32"/>
          <w:lang w:eastAsia="zh-CN"/>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5,693.34</w:t>
      </w:r>
      <w:r>
        <w:rPr>
          <w:rFonts w:hint="eastAsia" w:ascii="仿宋_GB2312" w:eastAsia="仿宋_GB2312"/>
          <w:bCs/>
          <w:kern w:val="0"/>
          <w:sz w:val="32"/>
          <w:szCs w:val="32"/>
        </w:rPr>
        <w:t xml:space="preserve">万元，完成年初预算的 </w:t>
      </w:r>
      <w:r>
        <w:rPr>
          <w:rFonts w:hint="eastAsia" w:ascii="仿宋_GB2312" w:eastAsia="仿宋_GB2312"/>
          <w:bCs/>
          <w:kern w:val="0"/>
          <w:sz w:val="32"/>
          <w:szCs w:val="32"/>
          <w:lang w:val="en-US" w:eastAsia="zh-CN"/>
        </w:rPr>
        <w:t>107.48</w:t>
      </w:r>
      <w:r>
        <w:rPr>
          <w:rFonts w:hint="eastAsia" w:ascii="仿宋_GB2312" w:eastAsia="仿宋_GB2312"/>
          <w:bCs/>
          <w:kern w:val="0"/>
          <w:sz w:val="32"/>
          <w:szCs w:val="32"/>
        </w:rPr>
        <w:t xml:space="preserve"> %。</w:t>
      </w:r>
      <w:r>
        <w:rPr>
          <w:rFonts w:hint="eastAsia" w:ascii="仿宋_GB2312" w:eastAsia="仿宋_GB2312"/>
          <w:bCs/>
          <w:kern w:val="0"/>
          <w:sz w:val="32"/>
          <w:szCs w:val="32"/>
          <w:lang w:eastAsia="zh-CN"/>
        </w:rPr>
        <w:t>主要原因：本年度增人增资（柳财预</w:t>
      </w:r>
      <w:r>
        <w:rPr>
          <w:rFonts w:hint="eastAsia" w:ascii="仿宋_GB2312" w:eastAsia="仿宋_GB2312"/>
          <w:bCs/>
          <w:kern w:val="0"/>
          <w:sz w:val="32"/>
          <w:szCs w:val="32"/>
          <w:lang w:val="en-US" w:eastAsia="zh-CN"/>
        </w:rPr>
        <w:t>[2021]884号）</w:t>
      </w:r>
      <w:r>
        <w:rPr>
          <w:rFonts w:hint="eastAsia" w:ascii="仿宋_GB2312" w:eastAsia="仿宋_GB2312"/>
          <w:bCs/>
          <w:kern w:val="0"/>
          <w:sz w:val="32"/>
          <w:szCs w:val="32"/>
          <w:lang w:eastAsia="zh-CN"/>
        </w:rPr>
        <w:t>及绩效总量补差（柳财预</w:t>
      </w:r>
      <w:r>
        <w:rPr>
          <w:rFonts w:hint="eastAsia" w:ascii="仿宋_GB2312" w:eastAsia="仿宋_GB2312"/>
          <w:bCs/>
          <w:kern w:val="0"/>
          <w:sz w:val="32"/>
          <w:szCs w:val="32"/>
          <w:lang w:val="en-US" w:eastAsia="zh-CN"/>
        </w:rPr>
        <w:t>[2021]701号</w:t>
      </w:r>
      <w:r>
        <w:rPr>
          <w:rFonts w:hint="eastAsia" w:ascii="仿宋_GB2312" w:eastAsia="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eastAsia="仿宋_GB2312"/>
          <w:bCs/>
          <w:kern w:val="0"/>
          <w:sz w:val="32"/>
          <w:szCs w:val="32"/>
          <w:lang w:val="en-US" w:eastAsia="zh-CN"/>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765.18</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102.29</w:t>
      </w:r>
      <w:r>
        <w:rPr>
          <w:rFonts w:hint="eastAsia" w:ascii="仿宋_GB2312" w:eastAsia="仿宋_GB2312"/>
          <w:bCs/>
          <w:kern w:val="0"/>
          <w:sz w:val="32"/>
          <w:szCs w:val="32"/>
        </w:rPr>
        <w:t>%。</w:t>
      </w:r>
      <w:r>
        <w:rPr>
          <w:rFonts w:hint="eastAsia" w:ascii="仿宋_GB2312" w:eastAsia="仿宋_GB2312"/>
          <w:bCs/>
          <w:kern w:val="0"/>
          <w:sz w:val="32"/>
          <w:szCs w:val="32"/>
          <w:lang w:eastAsia="zh-CN"/>
        </w:rPr>
        <w:t>主要</w:t>
      </w:r>
      <w:r>
        <w:rPr>
          <w:rFonts w:hint="eastAsia" w:ascii="仿宋_GB2312" w:eastAsia="仿宋_GB2312"/>
          <w:bCs/>
          <w:kern w:val="0"/>
          <w:sz w:val="32"/>
          <w:szCs w:val="32"/>
        </w:rPr>
        <w:t>原因：本年度</w:t>
      </w:r>
      <w:r>
        <w:rPr>
          <w:rFonts w:hint="eastAsia" w:ascii="仿宋_GB2312" w:eastAsia="仿宋_GB2312"/>
          <w:bCs/>
          <w:kern w:val="0"/>
          <w:sz w:val="32"/>
          <w:szCs w:val="32"/>
          <w:lang w:eastAsia="zh-CN"/>
        </w:rPr>
        <w:t>追加了一般公共预算其他资金“职工福利费”</w:t>
      </w:r>
      <w:r>
        <w:rPr>
          <w:rFonts w:hint="eastAsia" w:ascii="仿宋_GB2312" w:eastAsia="仿宋_GB2312"/>
          <w:bCs/>
          <w:kern w:val="0"/>
          <w:sz w:val="32"/>
          <w:szCs w:val="32"/>
          <w:lang w:val="en-US" w:eastAsia="zh-CN"/>
        </w:rPr>
        <w:t>22.33万元</w:t>
      </w:r>
      <w:r>
        <w:rPr>
          <w:rFonts w:hint="eastAsia" w:ascii="仿宋_GB2312" w:eastAsia="仿宋_GB2312"/>
          <w:bCs/>
          <w:kern w:val="0"/>
          <w:sz w:val="32"/>
          <w:szCs w:val="32"/>
          <w:lang w:eastAsia="zh-CN"/>
        </w:rPr>
        <w:t>，柳财预</w:t>
      </w:r>
      <w:r>
        <w:rPr>
          <w:rFonts w:hint="eastAsia" w:ascii="仿宋_GB2312" w:eastAsia="仿宋_GB2312"/>
          <w:bCs/>
          <w:kern w:val="0"/>
          <w:sz w:val="32"/>
          <w:szCs w:val="32"/>
          <w:lang w:val="en-US" w:eastAsia="zh-CN"/>
        </w:rPr>
        <w:t>[2021]339号。</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eastAsia="仿宋_GB2312"/>
          <w:bCs/>
          <w:kern w:val="0"/>
          <w:sz w:val="32"/>
          <w:szCs w:val="32"/>
          <w:lang w:val="en-US" w:eastAsia="zh-CN"/>
        </w:rPr>
      </w:pPr>
      <w:r>
        <w:rPr>
          <w:rFonts w:hint="eastAsia" w:ascii="仿宋_GB2312" w:eastAsia="仿宋_GB2312"/>
          <w:bCs/>
          <w:kern w:val="0"/>
          <w:sz w:val="32"/>
          <w:szCs w:val="32"/>
          <w:lang w:eastAsia="zh-CN"/>
        </w:rPr>
        <w:t>（三）对个人和家庭的补助</w:t>
      </w:r>
      <w:r>
        <w:rPr>
          <w:rFonts w:hint="eastAsia" w:ascii="仿宋_GB2312" w:eastAsia="仿宋_GB2312"/>
          <w:bCs/>
          <w:kern w:val="0"/>
          <w:sz w:val="32"/>
          <w:szCs w:val="32"/>
          <w:lang w:val="en-US" w:eastAsia="zh-CN"/>
        </w:rPr>
        <w:t>138.29万元，完成年初预算的 106.85%。主要原因：本年度追加了一般公共预算其他资金“退休干部春节慰问金补差”15.44万元，柳财预[2021]162号。</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四、</w:t>
      </w:r>
      <w:r>
        <w:rPr>
          <w:rFonts w:hint="eastAsia" w:ascii="黑体" w:hAnsi="黑体" w:eastAsia="黑体" w:cs="黑体"/>
          <w:b w:val="0"/>
          <w:bCs/>
          <w:kern w:val="0"/>
          <w:sz w:val="32"/>
          <w:szCs w:val="32"/>
          <w:lang w:eastAsia="zh-CN"/>
        </w:rPr>
        <w:t>2021</w:t>
      </w:r>
      <w:r>
        <w:rPr>
          <w:rFonts w:hint="eastAsia" w:ascii="黑体" w:hAnsi="黑体" w:eastAsia="黑体" w:cs="黑体"/>
          <w:b w:val="0"/>
          <w:bCs/>
          <w:kern w:val="0"/>
          <w:sz w:val="32"/>
          <w:szCs w:val="32"/>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本单位</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五、</w:t>
      </w:r>
      <w:r>
        <w:rPr>
          <w:rFonts w:hint="eastAsia" w:ascii="黑体" w:hAnsi="黑体" w:eastAsia="黑体" w:cs="黑体"/>
          <w:b w:val="0"/>
          <w:bCs/>
          <w:kern w:val="0"/>
          <w:sz w:val="32"/>
          <w:szCs w:val="32"/>
          <w:lang w:eastAsia="zh-CN"/>
        </w:rPr>
        <w:t>2021</w:t>
      </w:r>
      <w:r>
        <w:rPr>
          <w:rFonts w:hint="eastAsia" w:ascii="黑体" w:hAnsi="黑体" w:eastAsia="黑体" w:cs="黑体"/>
          <w:b w:val="0"/>
          <w:bCs/>
          <w:kern w:val="0"/>
          <w:sz w:val="32"/>
          <w:szCs w:val="32"/>
        </w:rPr>
        <w:t>年度国有资本经营预算支出决算情况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bCs/>
          <w:kern w:val="0"/>
          <w:sz w:val="32"/>
          <w:szCs w:val="32"/>
          <w:lang w:eastAsia="zh-CN"/>
        </w:rPr>
      </w:pPr>
      <w:r>
        <w:rPr>
          <w:rFonts w:hint="eastAsia" w:ascii="仿宋_GB2312" w:eastAsia="仿宋_GB2312"/>
          <w:bCs/>
          <w:kern w:val="0"/>
          <w:sz w:val="32"/>
          <w:szCs w:val="32"/>
          <w:lang w:eastAsia="zh-CN"/>
        </w:rPr>
        <w:t>本单位202</w:t>
      </w:r>
      <w:r>
        <w:rPr>
          <w:rFonts w:hint="eastAsia" w:ascii="仿宋_GB2312" w:eastAsia="仿宋_GB2312"/>
          <w:bCs/>
          <w:kern w:val="0"/>
          <w:sz w:val="32"/>
          <w:szCs w:val="32"/>
          <w:lang w:val="en-US" w:eastAsia="zh-CN"/>
        </w:rPr>
        <w:t>1</w:t>
      </w:r>
      <w:r>
        <w:rPr>
          <w:rFonts w:hint="eastAsia" w:ascii="仿宋_GB2312" w:eastAsia="仿宋_GB2312"/>
          <w:bCs/>
          <w:kern w:val="0"/>
          <w:sz w:val="32"/>
          <w:szCs w:val="32"/>
          <w:lang w:eastAsia="zh-CN"/>
        </w:rPr>
        <w:t>年度没有国有资本经营预算财政拨款收入，也没有国有资本经营预算财政拨款安排的支出，故无数据情况说明。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六、一般公共预算财政拨款安排的“三公”经费支出决算情况说明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eastAsia="zh-CN"/>
        </w:rPr>
        <w:t>本单位</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cs="仿宋_GB2312"/>
          <w:b w:val="0"/>
          <w:bCs w:val="0"/>
          <w:kern w:val="0"/>
          <w:sz w:val="32"/>
          <w:szCs w:val="32"/>
          <w:lang w:eastAsia="zh-CN"/>
        </w:rPr>
        <w:t>一般公共预算财政拨款安排的“三公”经费支出，故无数据情况说明。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七、其他重要事项情况说明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本</w:t>
      </w:r>
      <w:r>
        <w:rPr>
          <w:rFonts w:hint="eastAsia" w:ascii="仿宋_GB2312" w:eastAsia="仿宋_GB2312" w:cs="仿宋_GB2312"/>
          <w:b w:val="0"/>
          <w:bCs/>
          <w:kern w:val="0"/>
          <w:sz w:val="32"/>
          <w:szCs w:val="32"/>
          <w:lang w:eastAsia="zh-CN"/>
        </w:rPr>
        <w:t>单位</w:t>
      </w:r>
      <w:r>
        <w:rPr>
          <w:rFonts w:hint="eastAsia" w:ascii="仿宋_GB2312" w:eastAsia="仿宋_GB2312" w:cs="仿宋_GB2312"/>
          <w:b w:val="0"/>
          <w:bCs/>
          <w:kern w:val="0"/>
          <w:sz w:val="32"/>
          <w:szCs w:val="32"/>
        </w:rPr>
        <w:t>无机关运行经费支出。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3,648.82</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3,598.04</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50.78</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3,648.82</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3,648.82</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92</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90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台（套），</w:t>
      </w:r>
      <w:r>
        <w:rPr>
          <w:rFonts w:hint="eastAsia" w:ascii="仿宋_GB2312" w:eastAsia="仿宋_GB2312" w:cs="仿宋_GB2312"/>
          <w:kern w:val="0"/>
          <w:sz w:val="32"/>
          <w:szCs w:val="32"/>
          <w:lang w:eastAsia="zh-CN"/>
        </w:rPr>
        <w:t>没有</w:t>
      </w:r>
      <w:r>
        <w:rPr>
          <w:rFonts w:hint="eastAsia" w:ascii="仿宋_GB2312" w:eastAsia="仿宋_GB2312" w:cs="仿宋_GB2312"/>
          <w:kern w:val="0"/>
          <w:sz w:val="32"/>
          <w:szCs w:val="32"/>
        </w:rPr>
        <w:t>单价100万元以上</w:t>
      </w:r>
      <w:r>
        <w:rPr>
          <w:rFonts w:hint="eastAsia" w:ascii="仿宋_GB2312" w:eastAsia="仿宋_GB2312" w:cs="仿宋_GB2312"/>
          <w:kern w:val="0"/>
          <w:sz w:val="32"/>
          <w:szCs w:val="32"/>
          <w:lang w:eastAsia="zh-CN"/>
        </w:rPr>
        <w:t>的</w:t>
      </w:r>
      <w:r>
        <w:rPr>
          <w:rFonts w:hint="eastAsia" w:ascii="仿宋_GB2312" w:eastAsia="仿宋_GB2312" w:cs="仿宋_GB2312"/>
          <w:kern w:val="0"/>
          <w:sz w:val="32"/>
          <w:szCs w:val="32"/>
        </w:rPr>
        <w:t xml:space="preserve">专用设备。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根据财政预算管理要求，我</w:t>
      </w:r>
      <w:r>
        <w:rPr>
          <w:rFonts w:hint="eastAsia" w:ascii="仿宋_GB2312" w:eastAsia="仿宋_GB2312" w:cs="仿宋_GB2312"/>
          <w:color w:val="auto"/>
          <w:kern w:val="0"/>
          <w:sz w:val="32"/>
          <w:szCs w:val="32"/>
          <w:highlight w:val="none"/>
          <w:lang w:eastAsia="zh-CN"/>
        </w:rPr>
        <w:t>校</w:t>
      </w:r>
      <w:r>
        <w:rPr>
          <w:rFonts w:hint="eastAsia" w:ascii="仿宋_GB2312" w:eastAsia="仿宋_GB2312" w:cs="仿宋_GB2312"/>
          <w:color w:val="auto"/>
          <w:kern w:val="0"/>
          <w:sz w:val="32"/>
          <w:szCs w:val="32"/>
          <w:highlight w:val="none"/>
        </w:rPr>
        <w:t>组织对20</w:t>
      </w:r>
      <w:r>
        <w:rPr>
          <w:rFonts w:hint="eastAsia" w:ascii="仿宋_GB2312" w:eastAsia="仿宋_GB2312" w:cs="仿宋_GB2312"/>
          <w:color w:val="auto"/>
          <w:kern w:val="0"/>
          <w:sz w:val="32"/>
          <w:szCs w:val="32"/>
          <w:highlight w:val="none"/>
          <w:lang w:val="en-US" w:eastAsia="zh-CN"/>
        </w:rPr>
        <w:t>21</w:t>
      </w:r>
      <w:r>
        <w:rPr>
          <w:rFonts w:hint="eastAsia" w:ascii="仿宋_GB2312" w:eastAsia="仿宋_GB2312" w:cs="仿宋_GB2312"/>
          <w:color w:val="auto"/>
          <w:kern w:val="0"/>
          <w:sz w:val="32"/>
          <w:szCs w:val="32"/>
          <w:highlight w:val="none"/>
        </w:rPr>
        <w:t>年度一般公共预算支出全面开展绩效自评。共涉及资金11,751.47 万元，我校按规范使用资金，专款专用，不挪用、不挤占，全年一般公共</w:t>
      </w:r>
      <w:r>
        <w:rPr>
          <w:rFonts w:hint="eastAsia" w:ascii="仿宋_GB2312" w:eastAsia="仿宋_GB2312" w:cs="仿宋_GB2312"/>
          <w:color w:val="auto"/>
          <w:kern w:val="0"/>
          <w:sz w:val="32"/>
          <w:szCs w:val="32"/>
          <w:highlight w:val="none"/>
          <w:lang w:eastAsia="zh-CN"/>
        </w:rPr>
        <w:t>财政</w:t>
      </w:r>
      <w:r>
        <w:rPr>
          <w:rFonts w:hint="eastAsia" w:ascii="仿宋_GB2312" w:eastAsia="仿宋_GB2312" w:cs="仿宋_GB2312"/>
          <w:color w:val="auto"/>
          <w:kern w:val="0"/>
          <w:sz w:val="32"/>
          <w:szCs w:val="32"/>
          <w:highlight w:val="none"/>
        </w:rPr>
        <w:t>预算支出执行10,555.16 万元，执行率达到</w:t>
      </w:r>
      <w:r>
        <w:rPr>
          <w:rFonts w:hint="eastAsia" w:ascii="仿宋_GB2312" w:eastAsia="仿宋_GB2312" w:cs="仿宋_GB2312"/>
          <w:color w:val="auto"/>
          <w:kern w:val="0"/>
          <w:sz w:val="32"/>
          <w:szCs w:val="32"/>
          <w:highlight w:val="none"/>
          <w:lang w:val="en-US" w:eastAsia="zh-CN"/>
        </w:rPr>
        <w:t>90</w:t>
      </w:r>
      <w:r>
        <w:rPr>
          <w:rFonts w:hint="eastAsia" w:ascii="仿宋_GB2312" w:eastAsia="仿宋_GB2312" w:cs="仿宋_GB2312"/>
          <w:color w:val="auto"/>
          <w:kern w:val="0"/>
          <w:sz w:val="32"/>
          <w:szCs w:val="32"/>
          <w:highlight w:val="none"/>
        </w:rPr>
        <w:t>%，完成预定目标。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2.部门决算中项目绩效自评结果</w:t>
      </w:r>
      <w:r>
        <w:rPr>
          <w:rFonts w:hint="eastAsia" w:ascii="仿宋_GB2312" w:eastAsia="仿宋_GB2312" w:cs="仿宋_GB2312"/>
          <w:color w:val="auto"/>
          <w:kern w:val="0"/>
          <w:sz w:val="32"/>
          <w:szCs w:val="32"/>
          <w:highlight w:val="none"/>
          <w:lang w:eastAsia="zh-CN"/>
        </w:rPr>
        <w:t>：优秀</w:t>
      </w:r>
      <w:r>
        <w:rPr>
          <w:rFonts w:hint="eastAsia" w:asci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highlight w:val="none"/>
        </w:rPr>
        <w:sectPr>
          <w:headerReference r:id="rId3" w:type="default"/>
          <w:footerReference r:id="rId4" w:type="default"/>
          <w:pgSz w:w="11906" w:h="16838"/>
          <w:pgMar w:top="1440" w:right="1797" w:bottom="1440" w:left="1797" w:header="851" w:footer="992" w:gutter="0"/>
          <w:pgNumType w:fmt="numberInDash"/>
          <w:cols w:space="0" w:num="1"/>
          <w:rtlGutter w:val="0"/>
          <w:docGrid w:type="lines" w:linePitch="319" w:charSpace="0"/>
        </w:sect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我</w:t>
      </w:r>
      <w:r>
        <w:rPr>
          <w:rFonts w:hint="eastAsia" w:ascii="仿宋_GB2312" w:eastAsia="仿宋_GB2312" w:cs="仿宋_GB2312"/>
          <w:kern w:val="0"/>
          <w:sz w:val="32"/>
          <w:szCs w:val="32"/>
          <w:highlight w:val="none"/>
          <w:lang w:eastAsia="zh-CN"/>
        </w:rPr>
        <w:t>校</w:t>
      </w:r>
      <w:r>
        <w:rPr>
          <w:rFonts w:hint="eastAsia" w:ascii="仿宋_GB2312" w:eastAsia="仿宋_GB2312" w:cs="仿宋_GB2312"/>
          <w:kern w:val="0"/>
          <w:sz w:val="32"/>
          <w:szCs w:val="32"/>
          <w:highlight w:val="none"/>
          <w:lang w:val="en-US" w:eastAsia="zh-CN"/>
        </w:rPr>
        <w:t>2021年“</w:t>
      </w:r>
      <w:r>
        <w:rPr>
          <w:rFonts w:hint="eastAsia" w:ascii="仿宋_GB2312" w:eastAsia="仿宋_GB2312" w:cs="仿宋_GB2312"/>
          <w:kern w:val="0"/>
          <w:sz w:val="32"/>
          <w:szCs w:val="32"/>
          <w:highlight w:val="none"/>
        </w:rPr>
        <w:t>特殊职业教育项目</w:t>
      </w:r>
      <w:r>
        <w:rPr>
          <w:rFonts w:hint="eastAsia" w:ascii="仿宋_GB2312" w:eastAsia="仿宋_GB2312" w:cs="仿宋_GB2312"/>
          <w:kern w:val="0"/>
          <w:sz w:val="32"/>
          <w:szCs w:val="32"/>
          <w:highlight w:val="none"/>
          <w:lang w:eastAsia="zh-CN"/>
        </w:rPr>
        <w:t>”，严格按照年初设定的绩效目标实施，项目</w:t>
      </w:r>
      <w:r>
        <w:rPr>
          <w:rFonts w:hint="eastAsia" w:ascii="仿宋_GB2312" w:eastAsia="仿宋_GB2312" w:cs="仿宋_GB2312"/>
          <w:kern w:val="0"/>
          <w:sz w:val="32"/>
          <w:szCs w:val="32"/>
          <w:highlight w:val="none"/>
        </w:rPr>
        <w:t>自评得分为</w:t>
      </w:r>
      <w:r>
        <w:rPr>
          <w:rFonts w:hint="eastAsia" w:ascii="仿宋_GB2312" w:eastAsia="仿宋_GB2312" w:cs="仿宋_GB2312"/>
          <w:kern w:val="0"/>
          <w:sz w:val="32"/>
          <w:szCs w:val="32"/>
          <w:highlight w:val="none"/>
          <w:lang w:val="en-US" w:eastAsia="zh-CN"/>
        </w:rPr>
        <w:t>96.4</w:t>
      </w:r>
      <w:r>
        <w:rPr>
          <w:rFonts w:hint="eastAsia" w:ascii="仿宋_GB2312" w:eastAsia="仿宋_GB2312" w:cs="仿宋_GB2312"/>
          <w:kern w:val="0"/>
          <w:sz w:val="32"/>
          <w:szCs w:val="32"/>
          <w:highlight w:val="none"/>
        </w:rPr>
        <w:t>分。</w:t>
      </w:r>
      <w:r>
        <w:rPr>
          <w:rFonts w:hint="eastAsia" w:ascii="仿宋_GB2312" w:eastAsia="仿宋_GB2312" w:cs="仿宋_GB2312"/>
          <w:kern w:val="0"/>
          <w:sz w:val="32"/>
          <w:szCs w:val="32"/>
          <w:highlight w:val="none"/>
          <w:lang w:eastAsia="zh-CN"/>
        </w:rPr>
        <w:t>项目详情见下表：</w:t>
      </w:r>
    </w:p>
    <w:tbl>
      <w:tblPr>
        <w:tblStyle w:val="5"/>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95"/>
        <w:gridCol w:w="1920"/>
        <w:gridCol w:w="1244"/>
        <w:gridCol w:w="2250"/>
        <w:gridCol w:w="934"/>
        <w:gridCol w:w="1567"/>
        <w:gridCol w:w="287"/>
        <w:gridCol w:w="1098"/>
        <w:gridCol w:w="555"/>
        <w:gridCol w:w="201"/>
        <w:gridCol w:w="505"/>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295"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bookmarkStart w:id="0" w:name="_GoBack"/>
            <w:r>
              <w:rPr>
                <w:rFonts w:hint="eastAsia" w:ascii="宋体" w:hAnsi="宋体" w:eastAsia="宋体" w:cs="宋体"/>
                <w:i w:val="0"/>
                <w:color w:val="000000"/>
                <w:kern w:val="0"/>
                <w:sz w:val="21"/>
                <w:szCs w:val="21"/>
                <w:u w:val="none"/>
                <w:lang w:val="en-US" w:eastAsia="zh-CN" w:bidi="ar"/>
              </w:rPr>
              <w:t>项目名称</w:t>
            </w:r>
          </w:p>
        </w:tc>
        <w:tc>
          <w:tcPr>
            <w:tcW w:w="12685" w:type="dxa"/>
            <w:gridSpan w:val="11"/>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特殊职业教育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295"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主管部门</w:t>
            </w:r>
          </w:p>
        </w:tc>
        <w:tc>
          <w:tcPr>
            <w:tcW w:w="5414" w:type="dxa"/>
            <w:gridSpan w:val="3"/>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柳州市教育局</w:t>
            </w:r>
          </w:p>
        </w:tc>
        <w:tc>
          <w:tcPr>
            <w:tcW w:w="7271" w:type="dxa"/>
            <w:gridSpan w:val="8"/>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项目实施单位:柳州市第一职业技术学校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                    （万元）</w:t>
            </w:r>
          </w:p>
        </w:tc>
        <w:tc>
          <w:tcPr>
            <w:tcW w:w="1920" w:type="dxa"/>
            <w:vMerge w:val="restart"/>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94" w:type="dxa"/>
            <w:gridSpan w:val="2"/>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调整预算数（A）</w:t>
            </w:r>
          </w:p>
        </w:tc>
        <w:tc>
          <w:tcPr>
            <w:tcW w:w="934"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全年执行数（B）</w:t>
            </w:r>
          </w:p>
        </w:tc>
        <w:tc>
          <w:tcPr>
            <w:tcW w:w="1854" w:type="dxa"/>
            <w:gridSpan w:val="2"/>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 (10分)</w:t>
            </w:r>
          </w:p>
        </w:tc>
        <w:tc>
          <w:tcPr>
            <w:tcW w:w="1098"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预算资金执行率（B/A)</w:t>
            </w:r>
          </w:p>
        </w:tc>
        <w:tc>
          <w:tcPr>
            <w:tcW w:w="555"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w:t>
            </w:r>
          </w:p>
        </w:tc>
        <w:tc>
          <w:tcPr>
            <w:tcW w:w="2830" w:type="dxa"/>
            <w:gridSpan w:val="3"/>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94" w:type="dxa"/>
            <w:gridSpan w:val="2"/>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54" w:type="dxa"/>
            <w:gridSpan w:val="2"/>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8"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55"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830" w:type="dxa"/>
            <w:gridSpan w:val="3"/>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295"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年度资金总额</w:t>
            </w:r>
          </w:p>
        </w:tc>
        <w:tc>
          <w:tcPr>
            <w:tcW w:w="3494" w:type="dxa"/>
            <w:gridSpan w:val="2"/>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34"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854" w:type="dxa"/>
            <w:gridSpan w:val="2"/>
            <w:vMerge w:val="restart"/>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8"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555"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830" w:type="dxa"/>
            <w:gridSpan w:val="3"/>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执行率×该指标分值，最高不得超过分值上限。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295"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其中：一般公共预算</w:t>
            </w:r>
          </w:p>
        </w:tc>
        <w:tc>
          <w:tcPr>
            <w:tcW w:w="3494" w:type="dxa"/>
            <w:gridSpan w:val="2"/>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34"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854" w:type="dxa"/>
            <w:gridSpan w:val="2"/>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8"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55"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830" w:type="dxa"/>
            <w:gridSpan w:val="3"/>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295"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政府性基金预算</w:t>
            </w:r>
          </w:p>
        </w:tc>
        <w:tc>
          <w:tcPr>
            <w:tcW w:w="3494" w:type="dxa"/>
            <w:gridSpan w:val="2"/>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4" w:type="dxa"/>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54" w:type="dxa"/>
            <w:gridSpan w:val="2"/>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8"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55"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830" w:type="dxa"/>
            <w:gridSpan w:val="3"/>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295"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国有资本经营预算</w:t>
            </w:r>
          </w:p>
        </w:tc>
        <w:tc>
          <w:tcPr>
            <w:tcW w:w="3494" w:type="dxa"/>
            <w:gridSpan w:val="2"/>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4" w:type="dxa"/>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54" w:type="dxa"/>
            <w:gridSpan w:val="2"/>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8"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55"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830" w:type="dxa"/>
            <w:gridSpan w:val="3"/>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29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项目概况</w:t>
            </w:r>
          </w:p>
        </w:tc>
        <w:tc>
          <w:tcPr>
            <w:tcW w:w="12685" w:type="dxa"/>
            <w:gridSpan w:val="11"/>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1、项目立项依据:《关于同意在柳州市第一职业技术学校成立广西柳州益智特殊职业技术学校的批复》（柳教复字[2009]1号</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2、可行性：按照特殊教育学校的工作计划实施</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3、必要性：做好特教学生职业教育的教学、德育工作，加强文化建设和特教班级文化建设，增强特教生归属感。</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4、支持范围：用于特教生日常教育教学发生的水电费，差旅费，设备购置费，维修维护费，实习实训耗材费、文体维持费、宣传费等支出。</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5、实施内容：用于特教生日常教育教学发生的水电费，差旅费，设备购置费，维修维护费，实习实训耗材费、文体维持费、宣传费等支出。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29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项目起止时间</w:t>
            </w:r>
          </w:p>
        </w:tc>
        <w:tc>
          <w:tcPr>
            <w:tcW w:w="12685" w:type="dxa"/>
            <w:gridSpan w:val="11"/>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2021.1.1-2021.12.31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29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12685" w:type="dxa"/>
            <w:gridSpan w:val="11"/>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做好学校特教生教育教学工作；提高特教生职业技能；打造特教教师队伍；保证特教生就业。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295"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年度绩效指标</w:t>
            </w:r>
          </w:p>
        </w:tc>
        <w:tc>
          <w:tcPr>
            <w:tcW w:w="192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124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2250"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934"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1567"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年度指标值(A)</w:t>
            </w:r>
          </w:p>
        </w:tc>
        <w:tc>
          <w:tcPr>
            <w:tcW w:w="2141" w:type="dxa"/>
            <w:gridSpan w:val="4"/>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全年实际值(B)</w:t>
            </w:r>
          </w:p>
        </w:tc>
        <w:tc>
          <w:tcPr>
            <w:tcW w:w="5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w:t>
            </w:r>
          </w:p>
        </w:tc>
        <w:tc>
          <w:tcPr>
            <w:tcW w:w="212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过程指标          (10分)</w:t>
            </w:r>
          </w:p>
        </w:tc>
        <w:tc>
          <w:tcPr>
            <w:tcW w:w="1244"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制度管理指标</w:t>
            </w:r>
          </w:p>
        </w:tc>
        <w:tc>
          <w:tcPr>
            <w:tcW w:w="2250"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制定项目资金管理文件</w:t>
            </w:r>
          </w:p>
        </w:tc>
        <w:tc>
          <w:tcPr>
            <w:tcW w:w="934"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67"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w:t>
            </w:r>
          </w:p>
        </w:tc>
        <w:tc>
          <w:tcPr>
            <w:tcW w:w="2141" w:type="dxa"/>
            <w:gridSpan w:val="4"/>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w:t>
            </w:r>
          </w:p>
        </w:tc>
        <w:tc>
          <w:tcPr>
            <w:tcW w:w="505"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124" w:type="dxa"/>
            <w:vMerge w:val="restart"/>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50"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7"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41" w:type="dxa"/>
            <w:gridSpan w:val="4"/>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0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2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业务管理指标</w:t>
            </w:r>
          </w:p>
        </w:tc>
        <w:tc>
          <w:tcPr>
            <w:tcW w:w="2250"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成立项目执行机构</w:t>
            </w:r>
          </w:p>
        </w:tc>
        <w:tc>
          <w:tcPr>
            <w:tcW w:w="934"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67"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w:t>
            </w:r>
          </w:p>
        </w:tc>
        <w:tc>
          <w:tcPr>
            <w:tcW w:w="2141" w:type="dxa"/>
            <w:gridSpan w:val="4"/>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w:t>
            </w:r>
          </w:p>
        </w:tc>
        <w:tc>
          <w:tcPr>
            <w:tcW w:w="505"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124" w:type="dxa"/>
            <w:vMerge w:val="restart"/>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50"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7"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41" w:type="dxa"/>
            <w:gridSpan w:val="4"/>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0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2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50"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业务流程规范</w:t>
            </w:r>
          </w:p>
        </w:tc>
        <w:tc>
          <w:tcPr>
            <w:tcW w:w="934"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67"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规范</w:t>
            </w:r>
          </w:p>
        </w:tc>
        <w:tc>
          <w:tcPr>
            <w:tcW w:w="2141" w:type="dxa"/>
            <w:gridSpan w:val="4"/>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规范</w:t>
            </w:r>
          </w:p>
        </w:tc>
        <w:tc>
          <w:tcPr>
            <w:tcW w:w="505"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124" w:type="dxa"/>
            <w:vMerge w:val="restart"/>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50"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7"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41" w:type="dxa"/>
            <w:gridSpan w:val="4"/>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0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2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财务管理指标</w:t>
            </w:r>
          </w:p>
        </w:tc>
        <w:tc>
          <w:tcPr>
            <w:tcW w:w="2250"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支付审批程序规范性</w:t>
            </w:r>
          </w:p>
        </w:tc>
        <w:tc>
          <w:tcPr>
            <w:tcW w:w="934"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67"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规范</w:t>
            </w:r>
          </w:p>
        </w:tc>
        <w:tc>
          <w:tcPr>
            <w:tcW w:w="2141" w:type="dxa"/>
            <w:gridSpan w:val="4"/>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规范</w:t>
            </w:r>
          </w:p>
        </w:tc>
        <w:tc>
          <w:tcPr>
            <w:tcW w:w="505"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124" w:type="dxa"/>
            <w:vMerge w:val="restart"/>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50"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7"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41" w:type="dxa"/>
            <w:gridSpan w:val="4"/>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0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2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50"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预算执行率</w:t>
            </w:r>
          </w:p>
        </w:tc>
        <w:tc>
          <w:tcPr>
            <w:tcW w:w="934"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67"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2141" w:type="dxa"/>
            <w:gridSpan w:val="4"/>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505"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124" w:type="dxa"/>
            <w:vMerge w:val="restart"/>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50"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7"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41" w:type="dxa"/>
            <w:gridSpan w:val="4"/>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0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2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产出指标（60分）</w:t>
            </w:r>
          </w:p>
        </w:tc>
        <w:tc>
          <w:tcPr>
            <w:tcW w:w="1244"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2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送培特教教师</w:t>
            </w:r>
          </w:p>
        </w:tc>
        <w:tc>
          <w:tcPr>
            <w:tcW w:w="934"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67"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2名以上</w:t>
            </w:r>
          </w:p>
        </w:tc>
        <w:tc>
          <w:tcPr>
            <w:tcW w:w="2141" w:type="dxa"/>
            <w:gridSpan w:val="4"/>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线下1人，线上7人</w:t>
            </w:r>
          </w:p>
        </w:tc>
        <w:tc>
          <w:tcPr>
            <w:tcW w:w="505"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124" w:type="dxa"/>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新招特教生</w:t>
            </w:r>
          </w:p>
        </w:tc>
        <w:tc>
          <w:tcPr>
            <w:tcW w:w="934"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67"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70人</w:t>
            </w:r>
          </w:p>
        </w:tc>
        <w:tc>
          <w:tcPr>
            <w:tcW w:w="2141" w:type="dxa"/>
            <w:gridSpan w:val="4"/>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96人</w:t>
            </w:r>
          </w:p>
        </w:tc>
        <w:tc>
          <w:tcPr>
            <w:tcW w:w="505"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124" w:type="dxa"/>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校内手语培训</w:t>
            </w:r>
          </w:p>
        </w:tc>
        <w:tc>
          <w:tcPr>
            <w:tcW w:w="934"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67"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30名教师</w:t>
            </w:r>
          </w:p>
        </w:tc>
        <w:tc>
          <w:tcPr>
            <w:tcW w:w="2141" w:type="dxa"/>
            <w:gridSpan w:val="4"/>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84人</w:t>
            </w:r>
          </w:p>
        </w:tc>
        <w:tc>
          <w:tcPr>
            <w:tcW w:w="505"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124" w:type="dxa"/>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2250"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特教生毕业率</w:t>
            </w:r>
          </w:p>
        </w:tc>
        <w:tc>
          <w:tcPr>
            <w:tcW w:w="934"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67"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2141" w:type="dxa"/>
            <w:gridSpan w:val="4"/>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95.24%</w:t>
            </w:r>
          </w:p>
        </w:tc>
        <w:tc>
          <w:tcPr>
            <w:tcW w:w="505"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124" w:type="dxa"/>
            <w:vMerge w:val="restart"/>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5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7"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41" w:type="dxa"/>
            <w:gridSpan w:val="4"/>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0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2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2250"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预算执行率</w:t>
            </w:r>
          </w:p>
        </w:tc>
        <w:tc>
          <w:tcPr>
            <w:tcW w:w="934"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67"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2141" w:type="dxa"/>
            <w:gridSpan w:val="4"/>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505"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124" w:type="dxa"/>
            <w:vMerge w:val="restart"/>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5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7"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41" w:type="dxa"/>
            <w:gridSpan w:val="4"/>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0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2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效益指标（10分）</w:t>
            </w:r>
          </w:p>
        </w:tc>
        <w:tc>
          <w:tcPr>
            <w:tcW w:w="1244"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社会效益指标</w:t>
            </w:r>
          </w:p>
        </w:tc>
        <w:tc>
          <w:tcPr>
            <w:tcW w:w="2250"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为企业输送特教毕业生</w:t>
            </w:r>
          </w:p>
        </w:tc>
        <w:tc>
          <w:tcPr>
            <w:tcW w:w="934"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67"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50人</w:t>
            </w:r>
          </w:p>
        </w:tc>
        <w:tc>
          <w:tcPr>
            <w:tcW w:w="2141" w:type="dxa"/>
            <w:gridSpan w:val="4"/>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32人</w:t>
            </w:r>
          </w:p>
        </w:tc>
        <w:tc>
          <w:tcPr>
            <w:tcW w:w="505"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2124"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2018级招生54人，中途退学4人，升学11人，故未能完成指标。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5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7"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41" w:type="dxa"/>
            <w:gridSpan w:val="4"/>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0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2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满意度指标（10分）</w:t>
            </w:r>
          </w:p>
        </w:tc>
        <w:tc>
          <w:tcPr>
            <w:tcW w:w="1244"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服务对象满意度指标</w:t>
            </w:r>
          </w:p>
        </w:tc>
        <w:tc>
          <w:tcPr>
            <w:tcW w:w="2250"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企业满意度</w:t>
            </w:r>
          </w:p>
        </w:tc>
        <w:tc>
          <w:tcPr>
            <w:tcW w:w="934"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67"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2141" w:type="dxa"/>
            <w:gridSpan w:val="4"/>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505" w:type="dxa"/>
            <w:vMerge w:val="restart"/>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124" w:type="dxa"/>
            <w:vMerge w:val="restart"/>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29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20"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50"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4"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7"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41" w:type="dxa"/>
            <w:gridSpan w:val="4"/>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05" w:type="dxa"/>
            <w:vMerge w:val="continue"/>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24" w:type="dxa"/>
            <w:vMerge w:val="continue"/>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95"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绩效自评得分</w:t>
            </w:r>
          </w:p>
        </w:tc>
        <w:tc>
          <w:tcPr>
            <w:tcW w:w="12685" w:type="dxa"/>
            <w:gridSpan w:val="11"/>
            <w:shd w:val="clear" w:color="auto" w:fill="FFFFFF"/>
            <w:noWrap/>
            <w:tcMar>
              <w:top w:w="15" w:type="dxa"/>
              <w:left w:w="15" w:type="dxa"/>
              <w:right w:w="15" w:type="dxa"/>
            </w:tcMar>
            <w:vAlign w:val="center"/>
          </w:tcPr>
          <w:p>
            <w:pPr>
              <w:keepNext w:val="0"/>
              <w:keepLines w:val="0"/>
              <w:widowControl/>
              <w:suppressLineNumbers w:val="0"/>
              <w:ind w:firstLine="211" w:firstLineChars="100"/>
              <w:jc w:val="center"/>
              <w:textAlignment w:val="center"/>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96.4</w:t>
            </w:r>
          </w:p>
        </w:tc>
      </w:tr>
      <w:bookmarkEnd w:id="0"/>
    </w:tbl>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spacing w:line="580" w:lineRule="exact"/>
        <w:ind w:firstLine="645"/>
        <w:rPr>
          <w:rFonts w:hint="eastAsia" w:ascii="仿宋_GB2312" w:eastAsia="仿宋_GB2312"/>
          <w:b/>
          <w:sz w:val="32"/>
          <w:szCs w:val="32"/>
        </w:rPr>
      </w:pPr>
    </w:p>
    <w:p>
      <w:pPr>
        <w:spacing w:line="580" w:lineRule="exact"/>
        <w:ind w:firstLine="645"/>
        <w:rPr>
          <w:rFonts w:hint="eastAsia" w:ascii="仿宋_GB2312" w:eastAsia="仿宋_GB2312"/>
          <w:b/>
          <w:sz w:val="32"/>
          <w:szCs w:val="32"/>
        </w:rPr>
        <w:sectPr>
          <w:pgSz w:w="16838" w:h="11906" w:orient="landscape"/>
          <w:pgMar w:top="1797" w:right="1440" w:bottom="1797" w:left="1440" w:header="851" w:footer="992" w:gutter="0"/>
          <w:pgNumType w:fmt="numberInDash"/>
          <w:cols w:space="0" w:num="1"/>
          <w:rtlGutter w:val="0"/>
          <w:docGrid w:type="lines" w:linePitch="319" w:charSpace="0"/>
        </w:sect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autoSpaceDE w:val="0"/>
        <w:autoSpaceDN w:val="0"/>
        <w:adjustRightInd w:val="0"/>
        <w:spacing w:line="580" w:lineRule="exact"/>
        <w:ind w:firstLine="640" w:firstLineChars="200"/>
        <w:jc w:val="left"/>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797" w:bottom="1440" w:left="1797"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9DDBB"/>
    <w:multiLevelType w:val="singleLevel"/>
    <w:tmpl w:val="8AE9DD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5061AD"/>
    <w:rsid w:val="006C1367"/>
    <w:rsid w:val="00715385"/>
    <w:rsid w:val="00F66C5B"/>
    <w:rsid w:val="021C7930"/>
    <w:rsid w:val="023A5C87"/>
    <w:rsid w:val="026425FE"/>
    <w:rsid w:val="06255BC2"/>
    <w:rsid w:val="0B3C7C36"/>
    <w:rsid w:val="0C3D2943"/>
    <w:rsid w:val="0CFF4998"/>
    <w:rsid w:val="0D1B387B"/>
    <w:rsid w:val="0DA86951"/>
    <w:rsid w:val="0E074DDF"/>
    <w:rsid w:val="0ED85EC8"/>
    <w:rsid w:val="0F5478DB"/>
    <w:rsid w:val="10184D5C"/>
    <w:rsid w:val="118C4D48"/>
    <w:rsid w:val="11F8062F"/>
    <w:rsid w:val="12402856"/>
    <w:rsid w:val="124204B5"/>
    <w:rsid w:val="130966AE"/>
    <w:rsid w:val="1476517C"/>
    <w:rsid w:val="17657032"/>
    <w:rsid w:val="17ED31DD"/>
    <w:rsid w:val="17FF2717"/>
    <w:rsid w:val="182962AB"/>
    <w:rsid w:val="198E0853"/>
    <w:rsid w:val="199375CC"/>
    <w:rsid w:val="19D073EB"/>
    <w:rsid w:val="1AA77F09"/>
    <w:rsid w:val="1AF220BF"/>
    <w:rsid w:val="1B3D721E"/>
    <w:rsid w:val="1B766036"/>
    <w:rsid w:val="1CC31F67"/>
    <w:rsid w:val="1D2A7EAD"/>
    <w:rsid w:val="1D954E14"/>
    <w:rsid w:val="1EAE454F"/>
    <w:rsid w:val="1EB12291"/>
    <w:rsid w:val="1F0938D3"/>
    <w:rsid w:val="20A976C4"/>
    <w:rsid w:val="219E66A5"/>
    <w:rsid w:val="21BE751D"/>
    <w:rsid w:val="22192627"/>
    <w:rsid w:val="234829F8"/>
    <w:rsid w:val="2348656F"/>
    <w:rsid w:val="23930F8A"/>
    <w:rsid w:val="239C2EC9"/>
    <w:rsid w:val="24727DCD"/>
    <w:rsid w:val="24C26602"/>
    <w:rsid w:val="24D337DC"/>
    <w:rsid w:val="25701E12"/>
    <w:rsid w:val="26460DBA"/>
    <w:rsid w:val="289C089D"/>
    <w:rsid w:val="29053906"/>
    <w:rsid w:val="29995DFC"/>
    <w:rsid w:val="29AF744E"/>
    <w:rsid w:val="29FF6839"/>
    <w:rsid w:val="2A2457A4"/>
    <w:rsid w:val="2A7E3970"/>
    <w:rsid w:val="2A84005F"/>
    <w:rsid w:val="2B133327"/>
    <w:rsid w:val="2B6F74EB"/>
    <w:rsid w:val="2C3F0EDD"/>
    <w:rsid w:val="2C4219FE"/>
    <w:rsid w:val="2D1B03FD"/>
    <w:rsid w:val="30073BA1"/>
    <w:rsid w:val="300814FC"/>
    <w:rsid w:val="30403475"/>
    <w:rsid w:val="32450D3A"/>
    <w:rsid w:val="326F21DD"/>
    <w:rsid w:val="328A7712"/>
    <w:rsid w:val="34020F86"/>
    <w:rsid w:val="346F4329"/>
    <w:rsid w:val="35042CC3"/>
    <w:rsid w:val="36FF38C1"/>
    <w:rsid w:val="37471A12"/>
    <w:rsid w:val="37740CF6"/>
    <w:rsid w:val="37F91B66"/>
    <w:rsid w:val="38093962"/>
    <w:rsid w:val="38352061"/>
    <w:rsid w:val="38965819"/>
    <w:rsid w:val="389C4783"/>
    <w:rsid w:val="39A63F06"/>
    <w:rsid w:val="3A190FBF"/>
    <w:rsid w:val="3A716C6B"/>
    <w:rsid w:val="3B903948"/>
    <w:rsid w:val="3C676D1B"/>
    <w:rsid w:val="3CE90D11"/>
    <w:rsid w:val="3DBD4546"/>
    <w:rsid w:val="3DCA4932"/>
    <w:rsid w:val="3E135A83"/>
    <w:rsid w:val="3ECD05CA"/>
    <w:rsid w:val="3ED1439F"/>
    <w:rsid w:val="3FF84D8C"/>
    <w:rsid w:val="403B780E"/>
    <w:rsid w:val="41B44778"/>
    <w:rsid w:val="433320BA"/>
    <w:rsid w:val="43FD424B"/>
    <w:rsid w:val="44044A8E"/>
    <w:rsid w:val="44500BF5"/>
    <w:rsid w:val="452A5E61"/>
    <w:rsid w:val="45C931B9"/>
    <w:rsid w:val="45E46353"/>
    <w:rsid w:val="479A4459"/>
    <w:rsid w:val="482D3E87"/>
    <w:rsid w:val="48374EDC"/>
    <w:rsid w:val="48390A7E"/>
    <w:rsid w:val="48B64A8B"/>
    <w:rsid w:val="490A7D18"/>
    <w:rsid w:val="49225514"/>
    <w:rsid w:val="497E4FF5"/>
    <w:rsid w:val="4A557CEA"/>
    <w:rsid w:val="4A707309"/>
    <w:rsid w:val="4BBC17AA"/>
    <w:rsid w:val="4C256E3D"/>
    <w:rsid w:val="4C393F37"/>
    <w:rsid w:val="4C7A2FF8"/>
    <w:rsid w:val="4CB52F0F"/>
    <w:rsid w:val="4DEC651B"/>
    <w:rsid w:val="4DFD4C1A"/>
    <w:rsid w:val="4E7B35FC"/>
    <w:rsid w:val="4FA7451F"/>
    <w:rsid w:val="50882E50"/>
    <w:rsid w:val="51D07D5D"/>
    <w:rsid w:val="52C24004"/>
    <w:rsid w:val="532F1F9A"/>
    <w:rsid w:val="5462232D"/>
    <w:rsid w:val="54974718"/>
    <w:rsid w:val="54CB6F02"/>
    <w:rsid w:val="54ED040A"/>
    <w:rsid w:val="57840AB7"/>
    <w:rsid w:val="57D0249E"/>
    <w:rsid w:val="59534464"/>
    <w:rsid w:val="59CE558E"/>
    <w:rsid w:val="5A2F19D7"/>
    <w:rsid w:val="5A3126FD"/>
    <w:rsid w:val="5A7476F4"/>
    <w:rsid w:val="5B116647"/>
    <w:rsid w:val="5C79142E"/>
    <w:rsid w:val="5CFA1A18"/>
    <w:rsid w:val="5DB3694E"/>
    <w:rsid w:val="5DCC0399"/>
    <w:rsid w:val="5E512226"/>
    <w:rsid w:val="5E5B00B4"/>
    <w:rsid w:val="5E8F5C61"/>
    <w:rsid w:val="5E995A3E"/>
    <w:rsid w:val="612400C6"/>
    <w:rsid w:val="61335A53"/>
    <w:rsid w:val="61AF3E33"/>
    <w:rsid w:val="620F042E"/>
    <w:rsid w:val="62163194"/>
    <w:rsid w:val="624D024D"/>
    <w:rsid w:val="6283706E"/>
    <w:rsid w:val="62FB15C2"/>
    <w:rsid w:val="635A1615"/>
    <w:rsid w:val="64B30468"/>
    <w:rsid w:val="64B81251"/>
    <w:rsid w:val="64EE1A97"/>
    <w:rsid w:val="650E086A"/>
    <w:rsid w:val="65331D5D"/>
    <w:rsid w:val="6582119F"/>
    <w:rsid w:val="660C57F8"/>
    <w:rsid w:val="668C480C"/>
    <w:rsid w:val="68694610"/>
    <w:rsid w:val="69946880"/>
    <w:rsid w:val="69C266CE"/>
    <w:rsid w:val="6B5670CE"/>
    <w:rsid w:val="6B7B2FD8"/>
    <w:rsid w:val="6BA76ECB"/>
    <w:rsid w:val="6BAA0708"/>
    <w:rsid w:val="6C0B2A2C"/>
    <w:rsid w:val="6C472CF7"/>
    <w:rsid w:val="6C7B00C5"/>
    <w:rsid w:val="6CC462B9"/>
    <w:rsid w:val="6FF124B6"/>
    <w:rsid w:val="709C1A26"/>
    <w:rsid w:val="711E43A4"/>
    <w:rsid w:val="71922E29"/>
    <w:rsid w:val="721D26F3"/>
    <w:rsid w:val="72977FD0"/>
    <w:rsid w:val="72A74016"/>
    <w:rsid w:val="72FF4A25"/>
    <w:rsid w:val="733B7FDD"/>
    <w:rsid w:val="736600CA"/>
    <w:rsid w:val="73F73D09"/>
    <w:rsid w:val="743326A2"/>
    <w:rsid w:val="74640057"/>
    <w:rsid w:val="76642323"/>
    <w:rsid w:val="77EE2A20"/>
    <w:rsid w:val="77F66E0F"/>
    <w:rsid w:val="780B171E"/>
    <w:rsid w:val="781D05EA"/>
    <w:rsid w:val="7A2A1655"/>
    <w:rsid w:val="7B7A2964"/>
    <w:rsid w:val="7BE40725"/>
    <w:rsid w:val="7C97010B"/>
    <w:rsid w:val="7CCF4F32"/>
    <w:rsid w:val="7DC4436B"/>
    <w:rsid w:val="7DEA77D7"/>
    <w:rsid w:val="7DFF53A3"/>
    <w:rsid w:val="7E1B3E9B"/>
    <w:rsid w:val="7FC47E38"/>
    <w:rsid w:val="7FDE2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5210</Words>
  <Characters>6086</Characters>
  <Lines>60</Lines>
  <Paragraphs>17</Paragraphs>
  <TotalTime>21</TotalTime>
  <ScaleCrop>false</ScaleCrop>
  <LinksUpToDate>false</LinksUpToDate>
  <CharactersWithSpaces>6170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2022-08-11T05:37:00Z</cp:lastPrinted>
  <dcterms:modified xsi:type="dcterms:W3CDTF">2022-09-20T02:09:01Z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C1BB1FEF55BB4E709310725953EB2724</vt:lpwstr>
  </property>
</Properties>
</file>