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p>
    <w:p>
      <w:pPr>
        <w:jc w:val="center"/>
        <w:rPr>
          <w:rFonts w:ascii="黑体" w:eastAsia="黑体"/>
          <w:kern w:val="0"/>
          <w:sz w:val="52"/>
          <w:szCs w:val="52"/>
        </w:rPr>
      </w:pPr>
      <w:r>
        <w:rPr>
          <w:rFonts w:hint="eastAsia" w:ascii="黑体" w:eastAsia="黑体" w:cs="ArialUnicodeMS"/>
          <w:kern w:val="0"/>
          <w:sz w:val="52"/>
          <w:szCs w:val="52"/>
        </w:rPr>
        <w:t>柳州市教育科学研究所</w:t>
      </w:r>
    </w:p>
    <w:p>
      <w:pPr>
        <w:jc w:val="center"/>
        <w:rPr>
          <w:rFonts w:ascii="黑体" w:eastAsia="黑体" w:cs="ArialUnicodeMS"/>
          <w:kern w:val="0"/>
          <w:sz w:val="52"/>
          <w:szCs w:val="52"/>
        </w:rPr>
      </w:pPr>
      <w:r>
        <w:rPr>
          <w:rFonts w:hint="eastAsia" w:ascii="黑体" w:eastAsia="黑体"/>
          <w:kern w:val="0"/>
          <w:sz w:val="52"/>
          <w:szCs w:val="52"/>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56"/>
          <w:szCs w:val="56"/>
        </w:rPr>
      </w:pPr>
    </w:p>
    <w:p>
      <w:pPr>
        <w:ind w:firstLine="646"/>
        <w:jc w:val="center"/>
        <w:rPr>
          <w:rFonts w:ascii="仿宋_GB2312" w:eastAsia="仿宋_GB2312"/>
          <w:b/>
          <w:sz w:val="32"/>
          <w:szCs w:val="32"/>
        </w:rPr>
      </w:pPr>
      <w:r>
        <w:rPr>
          <w:rFonts w:hint="eastAsia" w:ascii="方正小标宋简体" w:eastAsia="方正小标宋简体"/>
          <w:b/>
          <w:sz w:val="44"/>
          <w:szCs w:val="44"/>
        </w:rPr>
        <w:t>目录</w:t>
      </w:r>
    </w:p>
    <w:p>
      <w:pPr>
        <w:ind w:firstLine="645"/>
        <w:rPr>
          <w:rFonts w:ascii="仿宋_GB2312" w:eastAsia="仿宋_GB2312"/>
          <w:b/>
          <w:sz w:val="32"/>
          <w:szCs w:val="32"/>
        </w:rPr>
      </w:pPr>
      <w:r>
        <w:rPr>
          <w:rFonts w:hint="eastAsia" w:ascii="仿宋_GB2312" w:eastAsia="仿宋_GB2312"/>
          <w:b/>
          <w:sz w:val="32"/>
          <w:szCs w:val="32"/>
        </w:rPr>
        <w:t>第一部分：柳州市教育科学研究所概况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第二部分：柳州市教育科学研究所2021年部门决算报表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第三部分：柳州市教育科学研究所2021年度部门决算情况说明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2021</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2021</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第一部分：柳州市教育科学研究所概况</w:t>
      </w:r>
    </w:p>
    <w:p>
      <w:pPr>
        <w:ind w:firstLine="646"/>
        <w:rPr>
          <w:rFonts w:hint="eastAsia" w:ascii="黑体" w:hAnsi="黑体" w:eastAsia="黑体" w:cs="黑体"/>
          <w:sz w:val="32"/>
          <w:szCs w:val="32"/>
        </w:rPr>
      </w:pPr>
      <w:r>
        <w:rPr>
          <w:rFonts w:hint="eastAsia" w:ascii="黑体" w:hAnsi="黑体" w:eastAsia="黑体" w:cs="黑体"/>
          <w:sz w:val="32"/>
          <w:szCs w:val="32"/>
        </w:rPr>
        <w:t>一、主要职能</w:t>
      </w:r>
    </w:p>
    <w:p>
      <w:pPr>
        <w:ind w:firstLine="645"/>
        <w:rPr>
          <w:rFonts w:ascii="仿宋_GB2312" w:eastAsia="仿宋_GB2312"/>
          <w:kern w:val="0"/>
          <w:sz w:val="32"/>
          <w:szCs w:val="32"/>
        </w:rPr>
      </w:pPr>
      <w:r>
        <w:rPr>
          <w:rFonts w:hint="eastAsia" w:ascii="仿宋_GB2312" w:eastAsia="仿宋_GB2312"/>
          <w:kern w:val="0"/>
          <w:sz w:val="32"/>
          <w:szCs w:val="32"/>
        </w:rPr>
        <w:t>柳州市教育科学研究所围绕市教育局总体工作部署，结合自身工作实际，以发挥教研支撑作用、推进课堂教学创新、促进教师专业发展、提升教育教学质量、建设课程领导力为重点，务实担当，积极作为。</w:t>
      </w:r>
    </w:p>
    <w:p>
      <w:pPr>
        <w:ind w:firstLine="645"/>
        <w:rPr>
          <w:rFonts w:hint="eastAsia" w:ascii="黑体" w:hAnsi="黑体" w:eastAsia="黑体" w:cs="黑体"/>
          <w:sz w:val="32"/>
          <w:szCs w:val="32"/>
        </w:rPr>
      </w:pPr>
      <w:r>
        <w:rPr>
          <w:rFonts w:hint="eastAsia" w:ascii="黑体" w:hAnsi="黑体" w:eastAsia="黑体" w:cs="黑体"/>
          <w:sz w:val="32"/>
          <w:szCs w:val="32"/>
        </w:rPr>
        <w:t>二、单位机构设置情况</w:t>
      </w:r>
    </w:p>
    <w:p>
      <w:pPr>
        <w:ind w:firstLine="645"/>
        <w:rPr>
          <w:rFonts w:ascii="仿宋_GB2312" w:eastAsia="仿宋_GB2312"/>
          <w:kern w:val="0"/>
          <w:sz w:val="32"/>
          <w:szCs w:val="32"/>
        </w:rPr>
      </w:pPr>
      <w:r>
        <w:rPr>
          <w:rFonts w:ascii="仿宋_GB2312" w:eastAsia="仿宋_GB2312"/>
          <w:kern w:val="0"/>
          <w:sz w:val="32"/>
          <w:szCs w:val="32"/>
        </w:rPr>
        <w:t>柳州市</w:t>
      </w:r>
      <w:r>
        <w:rPr>
          <w:rFonts w:hint="eastAsia" w:ascii="仿宋_GB2312" w:eastAsia="仿宋_GB2312"/>
          <w:kern w:val="0"/>
          <w:sz w:val="32"/>
          <w:szCs w:val="32"/>
        </w:rPr>
        <w:t>教育科学研究所</w:t>
      </w:r>
      <w:r>
        <w:rPr>
          <w:rFonts w:ascii="仿宋_GB2312" w:eastAsia="仿宋_GB2312"/>
          <w:kern w:val="0"/>
          <w:sz w:val="32"/>
          <w:szCs w:val="32"/>
        </w:rPr>
        <w:t>为柳州市教育局管理的公益</w:t>
      </w:r>
      <w:r>
        <w:rPr>
          <w:rFonts w:hint="eastAsia" w:ascii="仿宋_GB2312" w:eastAsia="仿宋_GB2312"/>
          <w:kern w:val="0"/>
          <w:sz w:val="32"/>
          <w:szCs w:val="32"/>
        </w:rPr>
        <w:t>一</w:t>
      </w:r>
      <w:r>
        <w:rPr>
          <w:rFonts w:ascii="仿宋_GB2312" w:eastAsia="仿宋_GB2312"/>
          <w:kern w:val="0"/>
          <w:sz w:val="32"/>
          <w:szCs w:val="32"/>
        </w:rPr>
        <w:t>类全额拨款事业单位。</w:t>
      </w:r>
    </w:p>
    <w:p>
      <w:pPr>
        <w:jc w:val="center"/>
      </w:pPr>
    </w:p>
    <w:p>
      <w:pPr>
        <w:rPr>
          <w:rFonts w:ascii="仿宋_GB2312" w:eastAsia="仿宋_GB2312"/>
          <w:b/>
          <w:sz w:val="32"/>
          <w:szCs w:val="32"/>
        </w:rPr>
      </w:pPr>
      <w:r>
        <w:rPr>
          <w:rFonts w:hint="eastAsia" w:ascii="仿宋_GB2312" w:eastAsia="仿宋_GB2312"/>
          <w:b/>
          <w:sz w:val="32"/>
          <w:szCs w:val="32"/>
        </w:rPr>
        <w:t>第二部分：柳州市教育科学研究所2021年部门决算报表</w:t>
      </w:r>
    </w:p>
    <w:p>
      <w:pPr>
        <w:ind w:left="645"/>
        <w:rPr>
          <w:rFonts w:ascii="仿宋_GB2312" w:eastAsia="仿宋_GB2312"/>
          <w:kern w:val="0"/>
          <w:sz w:val="32"/>
          <w:szCs w:val="32"/>
        </w:rPr>
      </w:pPr>
      <w:r>
        <w:rPr>
          <w:rFonts w:ascii="仿宋_GB2312" w:eastAsia="仿宋_GB2312"/>
          <w:kern w:val="0"/>
          <w:sz w:val="32"/>
          <w:szCs w:val="32"/>
        </w:rPr>
        <w:t>表一：收入支出决算总表</w:t>
      </w:r>
    </w:p>
    <w:p>
      <w:pPr>
        <w:ind w:left="645"/>
        <w:rPr>
          <w:rFonts w:ascii="仿宋_GB2312" w:eastAsia="仿宋_GB2312"/>
          <w:kern w:val="0"/>
          <w:sz w:val="32"/>
          <w:szCs w:val="32"/>
        </w:rPr>
      </w:pPr>
      <w:r>
        <w:rPr>
          <w:rFonts w:ascii="仿宋_GB2312" w:eastAsia="仿宋_GB2312"/>
          <w:kern w:val="0"/>
          <w:sz w:val="32"/>
          <w:szCs w:val="32"/>
        </w:rPr>
        <w:t>表二：收入决算表</w:t>
      </w:r>
    </w:p>
    <w:p>
      <w:pPr>
        <w:ind w:left="645"/>
        <w:rPr>
          <w:rFonts w:ascii="仿宋_GB2312" w:eastAsia="仿宋_GB2312"/>
          <w:kern w:val="0"/>
          <w:sz w:val="32"/>
          <w:szCs w:val="32"/>
        </w:rPr>
      </w:pPr>
      <w:r>
        <w:rPr>
          <w:rFonts w:ascii="仿宋_GB2312" w:eastAsia="仿宋_GB2312"/>
          <w:kern w:val="0"/>
          <w:sz w:val="32"/>
          <w:szCs w:val="32"/>
        </w:rPr>
        <w:t>表三：支出决算表</w:t>
      </w:r>
    </w:p>
    <w:p>
      <w:pPr>
        <w:ind w:left="645"/>
        <w:rPr>
          <w:rFonts w:ascii="仿宋_GB2312" w:eastAsia="仿宋_GB2312"/>
          <w:kern w:val="0"/>
          <w:sz w:val="32"/>
          <w:szCs w:val="32"/>
        </w:rPr>
      </w:pPr>
      <w:r>
        <w:rPr>
          <w:rFonts w:ascii="仿宋_GB2312" w:eastAsia="仿宋_GB2312"/>
          <w:kern w:val="0"/>
          <w:sz w:val="32"/>
          <w:szCs w:val="32"/>
        </w:rPr>
        <w:t>表四：财政拨款收入支出决算总表</w:t>
      </w:r>
    </w:p>
    <w:p>
      <w:pPr>
        <w:ind w:left="645"/>
        <w:rPr>
          <w:rFonts w:ascii="仿宋_GB2312" w:eastAsia="仿宋_GB2312"/>
          <w:kern w:val="0"/>
          <w:sz w:val="32"/>
          <w:szCs w:val="32"/>
        </w:rPr>
      </w:pPr>
      <w:r>
        <w:rPr>
          <w:rFonts w:ascii="仿宋_GB2312" w:eastAsia="仿宋_GB2312"/>
          <w:kern w:val="0"/>
          <w:sz w:val="32"/>
          <w:szCs w:val="32"/>
        </w:rPr>
        <w:t>表五：一般公共预算财政拨款支出决算表</w:t>
      </w:r>
    </w:p>
    <w:p>
      <w:pPr>
        <w:ind w:left="645"/>
        <w:rPr>
          <w:rFonts w:ascii="仿宋_GB2312" w:eastAsia="仿宋_GB2312"/>
          <w:kern w:val="0"/>
          <w:sz w:val="32"/>
          <w:szCs w:val="32"/>
        </w:rPr>
      </w:pPr>
      <w:r>
        <w:rPr>
          <w:rFonts w:ascii="仿宋_GB2312" w:eastAsia="仿宋_GB2312"/>
          <w:kern w:val="0"/>
          <w:sz w:val="32"/>
          <w:szCs w:val="32"/>
        </w:rPr>
        <w:t>表六：一般公共预算财政拨款基本支出决算表</w:t>
      </w:r>
    </w:p>
    <w:p>
      <w:pPr>
        <w:ind w:left="645"/>
        <w:rPr>
          <w:rFonts w:ascii="仿宋_GB2312" w:eastAsia="仿宋_GB2312"/>
          <w:kern w:val="0"/>
          <w:sz w:val="32"/>
          <w:szCs w:val="32"/>
        </w:rPr>
      </w:pPr>
      <w:r>
        <w:rPr>
          <w:rFonts w:ascii="仿宋_GB2312" w:eastAsia="仿宋_GB2312"/>
          <w:kern w:val="0"/>
          <w:sz w:val="32"/>
          <w:szCs w:val="32"/>
        </w:rPr>
        <w:t>表七：一般公共预算财政拨款“三公”经费支出决算表</w:t>
      </w:r>
    </w:p>
    <w:p>
      <w:pPr>
        <w:ind w:left="645"/>
        <w:rPr>
          <w:rFonts w:ascii="仿宋_GB2312" w:eastAsia="仿宋_GB2312"/>
          <w:kern w:val="0"/>
          <w:sz w:val="32"/>
          <w:szCs w:val="32"/>
        </w:rPr>
      </w:pPr>
      <w:r>
        <w:rPr>
          <w:rFonts w:ascii="仿宋_GB2312" w:eastAsia="仿宋_GB2312"/>
          <w:kern w:val="0"/>
          <w:sz w:val="32"/>
          <w:szCs w:val="32"/>
        </w:rPr>
        <w:t>表八：政府性基金预算财政拨款收入支出决算表</w:t>
      </w:r>
    </w:p>
    <w:p>
      <w:pPr>
        <w:ind w:left="645"/>
        <w:rPr>
          <w:rFonts w:ascii="仿宋_GB2312" w:eastAsia="仿宋_GB2312"/>
          <w:kern w:val="0"/>
          <w:sz w:val="32"/>
          <w:szCs w:val="32"/>
        </w:rPr>
      </w:pPr>
      <w:r>
        <w:rPr>
          <w:rFonts w:ascii="仿宋_GB2312" w:eastAsia="仿宋_GB2312"/>
          <w:kern w:val="0"/>
          <w:sz w:val="32"/>
          <w:szCs w:val="32"/>
        </w:rPr>
        <w:t>表九：国有资本经营预算财政拨款支出决算表</w:t>
      </w:r>
    </w:p>
    <w:p>
      <w:pPr>
        <w:jc w:val="right"/>
        <w:rPr>
          <w:rFonts w:hint="eastAsia" w:eastAsia="宋体"/>
          <w:sz w:val="22"/>
          <w:szCs w:val="22"/>
          <w:lang w:eastAsia="zh-CN"/>
        </w:rPr>
      </w:pPr>
    </w:p>
    <w:p>
      <w:pPr>
        <w:ind w:firstLine="640"/>
        <w:rPr>
          <w:rFonts w:ascii="黑体" w:hAnsi="黑体" w:eastAsia="黑体"/>
          <w:sz w:val="32"/>
          <w:szCs w:val="32"/>
        </w:rPr>
      </w:pPr>
      <w:r>
        <w:rPr>
          <w:rFonts w:hint="eastAsia" w:ascii="黑体" w:hAnsi="黑体" w:eastAsia="黑体"/>
          <w:sz w:val="32"/>
          <w:szCs w:val="32"/>
        </w:rPr>
        <w:t>(此部分另附表格，详见附件3：</w:t>
      </w:r>
      <w:r>
        <w:rPr>
          <w:rFonts w:hint="eastAsia" w:ascii="仿宋_GB2312" w:eastAsia="仿宋_GB2312"/>
          <w:b/>
          <w:sz w:val="32"/>
          <w:szCs w:val="32"/>
        </w:rPr>
        <w:t>柳州市教育科学研究所</w:t>
      </w:r>
      <w:r>
        <w:rPr>
          <w:rFonts w:hint="eastAsia" w:ascii="黑体" w:hAnsi="黑体" w:eastAsia="黑体"/>
          <w:sz w:val="32"/>
          <w:szCs w:val="32"/>
        </w:rPr>
        <w:t>2021年度部门决算公开表)</w:t>
      </w:r>
    </w:p>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柳州市教育科学研究所</w:t>
      </w:r>
      <w:r>
        <w:rPr>
          <w:rFonts w:hint="eastAsia" w:ascii="仿宋_GB2312" w:eastAsia="仿宋_GB2312"/>
          <w:b/>
          <w:sz w:val="32"/>
          <w:szCs w:val="32"/>
        </w:rPr>
        <w:t>2021年度部门决算情况说明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（一）本单位2021年度总收入1346.90万元，其中本年收入994.73万元,</w:t>
      </w:r>
      <w:r>
        <w:rPr>
          <w:rFonts w:hint="eastAsia" w:ascii="仿宋_GB2312" w:hAnsi="黑体" w:eastAsia="仿宋_GB2312" w:cs="仿宋_GB2312"/>
          <w:kern w:val="0"/>
          <w:sz w:val="32"/>
          <w:szCs w:val="32"/>
        </w:rPr>
        <w:t>较2020年度决算数减少147.29万元，增长下降12.90%。</w:t>
      </w:r>
      <w:r>
        <w:rPr>
          <w:rFonts w:hint="eastAsia" w:ascii="仿宋_GB2312" w:eastAsia="仿宋_GB2312" w:cs="仿宋_GB2312"/>
          <w:kern w:val="0"/>
          <w:sz w:val="32"/>
          <w:szCs w:val="32"/>
        </w:rPr>
        <w:t>收入具体情况如下</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.一般公共预算财政拨款收入895.86万元，为财政当年拨付的资金。</w:t>
      </w:r>
      <w:r>
        <w:rPr>
          <w:rFonts w:hint="eastAsia" w:ascii="仿宋_GB2312" w:hAnsi="黑体" w:eastAsia="仿宋_GB2312" w:cs="仿宋_GB2312"/>
          <w:kern w:val="0"/>
          <w:sz w:val="32"/>
          <w:szCs w:val="32"/>
        </w:rPr>
        <w:t>较2020年度决算数减少11.68万元，下降1.29%，主要原因是：人员经费减少。</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较2020年度决算数增加0万元，增长0%。</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较2020年度决算数增加0万元，增长0%。</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kern w:val="0"/>
          <w:sz w:val="32"/>
          <w:szCs w:val="32"/>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较2020年度决算数增加0万元，增长0%。</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rPr>
        <w:t>0</w:t>
      </w:r>
      <w:r>
        <w:rPr>
          <w:rFonts w:hint="eastAsia" w:ascii="仿宋_GB2312" w:eastAsia="仿宋_GB2312" w:cs="仿宋_GB2312"/>
          <w:kern w:val="0"/>
          <w:sz w:val="32"/>
          <w:szCs w:val="32"/>
        </w:rPr>
        <w:t>万元，为事业单位在业务活动之外开展非独立核算经营活动取得的收入。</w:t>
      </w:r>
      <w:r>
        <w:rPr>
          <w:rFonts w:hint="eastAsia" w:ascii="仿宋_GB2312" w:hAnsi="黑体" w:eastAsia="仿宋_GB2312" w:cs="仿宋_GB2312"/>
          <w:kern w:val="0"/>
          <w:sz w:val="32"/>
          <w:szCs w:val="32"/>
        </w:rPr>
        <w:t>较2020年度决算数增加0万元，增长0%。</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rPr>
        <w:t>98.87</w:t>
      </w:r>
      <w:r>
        <w:rPr>
          <w:rFonts w:hint="eastAsia" w:ascii="仿宋_GB2312" w:eastAsia="仿宋_GB2312" w:cs="仿宋_GB2312"/>
          <w:kern w:val="0"/>
          <w:sz w:val="32"/>
          <w:szCs w:val="32"/>
        </w:rPr>
        <w:t>万元，为部门单位在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较2020年度决算数减少135.61万元，下降57.83%，主要原因是：由于疫情原因，科研培训专项活动减少，较上年市教育局拨款减少55.61万元，市人力资源</w:t>
      </w:r>
      <w:r>
        <w:rPr>
          <w:rFonts w:hint="eastAsia" w:ascii="仿宋_GB2312" w:hAnsi="黑体" w:eastAsia="仿宋_GB2312" w:cs="仿宋_GB2312"/>
          <w:kern w:val="0"/>
          <w:sz w:val="32"/>
          <w:szCs w:val="32"/>
          <w:lang w:val="en-US" w:eastAsia="zh-CN"/>
        </w:rPr>
        <w:t>和</w:t>
      </w:r>
      <w:r>
        <w:rPr>
          <w:rFonts w:hint="eastAsia" w:ascii="仿宋_GB2312" w:hAnsi="黑体" w:eastAsia="仿宋_GB2312" w:cs="仿宋_GB2312"/>
          <w:kern w:val="0"/>
          <w:sz w:val="32"/>
          <w:szCs w:val="32"/>
        </w:rPr>
        <w:t>社会保障局减少80万元。</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较2020年度决算数增加0万元，增长0%</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.年初结转和结余</w:t>
      </w:r>
      <w:r>
        <w:rPr>
          <w:rFonts w:hint="eastAsia" w:ascii="仿宋_GB2312" w:eastAsia="仿宋_GB2312"/>
          <w:kern w:val="0"/>
          <w:sz w:val="32"/>
          <w:szCs w:val="32"/>
        </w:rPr>
        <w:t>352.17</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较2020年度决算数增加62.71万元，增长21.66%，主要原因是：由于疫情原因，科研培训专项活动减少,支出减少，结转增加。</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（二）本单位2021年度总支出</w:t>
      </w:r>
      <w:r>
        <w:rPr>
          <w:rFonts w:hint="eastAsia" w:ascii="仿宋_GB2312" w:eastAsia="仿宋_GB2312"/>
          <w:kern w:val="0"/>
          <w:sz w:val="32"/>
          <w:szCs w:val="32"/>
        </w:rPr>
        <w:t>1346.90</w:t>
      </w:r>
      <w:r>
        <w:rPr>
          <w:rFonts w:hint="eastAsia" w:ascii="仿宋_GB2312" w:eastAsia="仿宋_GB2312" w:cs="仿宋_GB2312"/>
          <w:kern w:val="0"/>
          <w:sz w:val="32"/>
          <w:szCs w:val="32"/>
        </w:rPr>
        <w:t>万元，其中本年支出1075.35万元,</w:t>
      </w:r>
      <w:r>
        <w:rPr>
          <w:rFonts w:hint="eastAsia" w:ascii="仿宋_GB2312" w:hAnsi="黑体" w:eastAsia="仿宋_GB2312" w:cs="仿宋_GB2312"/>
          <w:kern w:val="0"/>
          <w:sz w:val="32"/>
          <w:szCs w:val="32"/>
        </w:rPr>
        <w:t>较2020年度决算数减少84.58万元，5.91%。</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.教育支出（类）882.50万元：主要用于职工工资支出，</w:t>
      </w:r>
    </w:p>
    <w:p>
      <w:pPr>
        <w:autoSpaceDE w:val="0"/>
        <w:autoSpaceDN w:val="0"/>
        <w:adjustRightInd w:val="0"/>
        <w:spacing w:line="560" w:lineRule="exact"/>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较2020年度决算数增加52.30万元，增长6.30%，主要原因是：年末决算按财政要求将社保和就业支出（类）49万调</w:t>
      </w:r>
      <w:r>
        <w:rPr>
          <w:rFonts w:hint="eastAsia" w:ascii="仿宋_GB2312" w:hAnsi="黑体" w:eastAsia="仿宋_GB2312" w:cs="仿宋_GB2312"/>
          <w:kern w:val="0"/>
          <w:sz w:val="32"/>
          <w:szCs w:val="32"/>
          <w:lang w:val="en-US" w:eastAsia="zh-CN"/>
        </w:rPr>
        <w:t>账</w:t>
      </w:r>
      <w:r>
        <w:rPr>
          <w:rFonts w:hint="eastAsia" w:ascii="仿宋_GB2312" w:hAnsi="黑体" w:eastAsia="仿宋_GB2312" w:cs="仿宋_GB2312"/>
          <w:kern w:val="0"/>
          <w:sz w:val="32"/>
          <w:szCs w:val="32"/>
        </w:rPr>
        <w:t>至教育支出（类）和职工工资晋级调资。</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2</w:t>
      </w:r>
      <w:r>
        <w:rPr>
          <w:rFonts w:hint="eastAsia" w:ascii="仿宋_GB2312" w:eastAsia="仿宋_GB2312" w:cs="仿宋_GB2312"/>
          <w:kern w:val="0"/>
          <w:sz w:val="32"/>
          <w:szCs w:val="32"/>
        </w:rPr>
        <w:t>.社会保障和就业支出（类）99.28万元：主要用于职工养老保险和年金缴费支出，</w:t>
      </w:r>
      <w:r>
        <w:rPr>
          <w:rFonts w:hint="eastAsia" w:ascii="仿宋_GB2312" w:hAnsi="黑体" w:eastAsia="仿宋_GB2312" w:cs="仿宋_GB2312"/>
          <w:kern w:val="0"/>
          <w:sz w:val="32"/>
          <w:szCs w:val="32"/>
        </w:rPr>
        <w:t>较2020年度决算数减少47.09万元，下降32.17%，主要原因是：年末决算按财政要求将社保和就业支出（类）49万调</w:t>
      </w:r>
      <w:r>
        <w:rPr>
          <w:rFonts w:hint="eastAsia" w:ascii="仿宋_GB2312" w:hAnsi="黑体" w:eastAsia="仿宋_GB2312" w:cs="仿宋_GB2312"/>
          <w:kern w:val="0"/>
          <w:sz w:val="32"/>
          <w:szCs w:val="32"/>
          <w:lang w:val="en-US" w:eastAsia="zh-CN"/>
        </w:rPr>
        <w:t>账</w:t>
      </w:r>
      <w:r>
        <w:rPr>
          <w:rFonts w:hint="eastAsia" w:ascii="仿宋_GB2312" w:hAnsi="黑体" w:eastAsia="仿宋_GB2312" w:cs="仿宋_GB2312"/>
          <w:kern w:val="0"/>
          <w:sz w:val="32"/>
          <w:szCs w:val="32"/>
        </w:rPr>
        <w:t>至教育支出（类）和职工社保缴费基数减少。</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3.卫生健康支出（类）37.16万元，主要用于职工医疗缴费支出，较2020年度决算数39.64万元减少2.48万元，下降6.3%，主要原因是：职工医保缴费基数减少</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4.住房保障支出（类）56.41万元：主要用于职工住房公积金缴费支出，较2020年决算数减少6.69万元，下降10.60%，主要原因是：职工住房公积金缴费基数减少。</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.结余分配</w:t>
      </w:r>
      <w:r>
        <w:rPr>
          <w:rFonts w:hint="eastAsia" w:ascii="仿宋_GB2312" w:eastAsia="仿宋_GB2312"/>
          <w:kern w:val="0"/>
          <w:sz w:val="32"/>
          <w:szCs w:val="32"/>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较2020年度决算数增加0万元，增长0%。</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kern w:val="0"/>
          <w:sz w:val="32"/>
          <w:szCs w:val="32"/>
        </w:rPr>
        <w:t>271.55</w:t>
      </w:r>
      <w:r>
        <w:rPr>
          <w:rFonts w:hint="eastAsia" w:ascii="仿宋_GB2312" w:eastAsia="仿宋_GB2312" w:cs="仿宋_GB2312"/>
          <w:kern w:val="0"/>
          <w:sz w:val="32"/>
          <w:szCs w:val="32"/>
        </w:rPr>
        <w:t>万元，为本年度或以前年度</w:t>
      </w:r>
    </w:p>
    <w:p>
      <w:pPr>
        <w:autoSpaceDE w:val="0"/>
        <w:autoSpaceDN w:val="0"/>
        <w:adjustRightInd w:val="0"/>
        <w:spacing w:line="560" w:lineRule="exact"/>
        <w:jc w:val="left"/>
        <w:rPr>
          <w:rFonts w:ascii="仿宋_GB2312" w:hAnsi="黑体" w:eastAsia="仿宋_GB2312" w:cs="仿宋_GB2312"/>
          <w:kern w:val="0"/>
          <w:sz w:val="32"/>
          <w:szCs w:val="32"/>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较2020年度决算数减少80.62万元，下降22.90%，主要原因是：由于疫情原因，科研培训专项活动减少,支出减少。</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895.86</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较2020年度决算数减少11.72万元，下降1.29%。</w:t>
      </w:r>
      <w:r>
        <w:rPr>
          <w:rFonts w:hint="eastAsia" w:ascii="仿宋_GB2312" w:eastAsia="仿宋_GB2312" w:cs="仿宋_GB2312"/>
          <w:kern w:val="0"/>
          <w:sz w:val="32"/>
          <w:szCs w:val="32"/>
        </w:rPr>
        <w:t>其中：基本支出</w:t>
      </w:r>
      <w:r>
        <w:rPr>
          <w:rFonts w:hint="eastAsia" w:ascii="仿宋_GB2312" w:eastAsia="仿宋_GB2312"/>
          <w:kern w:val="0"/>
          <w:sz w:val="32"/>
          <w:szCs w:val="32"/>
        </w:rPr>
        <w:t>803.73</w:t>
      </w:r>
      <w:r>
        <w:rPr>
          <w:rFonts w:hint="eastAsia" w:ascii="仿宋_GB2312" w:eastAsia="仿宋_GB2312" w:cs="仿宋_GB2312"/>
          <w:kern w:val="0"/>
          <w:sz w:val="32"/>
          <w:szCs w:val="32"/>
        </w:rPr>
        <w:t>万元，项目支出</w:t>
      </w:r>
      <w:r>
        <w:rPr>
          <w:rFonts w:hint="eastAsia" w:ascii="仿宋_GB2312" w:eastAsia="仿宋_GB2312"/>
          <w:kern w:val="0"/>
          <w:sz w:val="32"/>
          <w:szCs w:val="32"/>
        </w:rPr>
        <w:t>92.13</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hAnsi="黑体" w:eastAsia="仿宋_GB2312"/>
          <w:kern w:val="0"/>
          <w:sz w:val="32"/>
          <w:szCs w:val="32"/>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公共预算财政拨款支出年初预算为793.38万元，支出决算为895.86万元，完成年初预算的112.92%。其中：</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（一）教育支出</w:t>
      </w:r>
      <w:r>
        <w:rPr>
          <w:rFonts w:hint="eastAsia" w:ascii="仿宋_GB2312" w:eastAsia="仿宋_GB2312" w:cs="仿宋_GB2312"/>
          <w:bCs/>
          <w:kern w:val="0"/>
          <w:sz w:val="32"/>
          <w:szCs w:val="32"/>
        </w:rPr>
        <w:t>（类）教育管理事务（款）其他教育管理事务支出（项）</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年初预算为643.29万元，支出决算为703.01万元，完成年初预算的109.28%。</w:t>
      </w:r>
      <w:r>
        <w:rPr>
          <w:rFonts w:hint="eastAsia" w:ascii="仿宋_GB2312" w:eastAsia="仿宋_GB2312" w:cs="仿宋_GB2312"/>
          <w:kern w:val="0"/>
          <w:sz w:val="32"/>
          <w:szCs w:val="32"/>
        </w:rPr>
        <w:t>主要原因：</w:t>
      </w:r>
      <w:r>
        <w:rPr>
          <w:rFonts w:hint="eastAsia" w:ascii="仿宋_GB2312" w:hAnsi="黑体" w:eastAsia="仿宋_GB2312" w:cs="仿宋_GB2312"/>
          <w:kern w:val="0"/>
          <w:sz w:val="32"/>
          <w:szCs w:val="32"/>
        </w:rPr>
        <w:t>年末决算按财政要求将社保和就业支出（类）49万调</w:t>
      </w:r>
      <w:r>
        <w:rPr>
          <w:rFonts w:hint="eastAsia" w:ascii="仿宋_GB2312" w:hAnsi="黑体" w:eastAsia="仿宋_GB2312" w:cs="仿宋_GB2312"/>
          <w:kern w:val="0"/>
          <w:sz w:val="32"/>
          <w:szCs w:val="32"/>
          <w:lang w:val="en-US" w:eastAsia="zh-CN"/>
        </w:rPr>
        <w:t>账</w:t>
      </w:r>
      <w:bookmarkStart w:id="0" w:name="_GoBack"/>
      <w:bookmarkEnd w:id="0"/>
      <w:r>
        <w:rPr>
          <w:rFonts w:hint="eastAsia" w:ascii="仿宋_GB2312" w:hAnsi="黑体" w:eastAsia="仿宋_GB2312" w:cs="仿宋_GB2312"/>
          <w:kern w:val="0"/>
          <w:sz w:val="32"/>
          <w:szCs w:val="32"/>
        </w:rPr>
        <w:t>至教育支出（类），导致超出出预算数较大。</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bCs/>
          <w:kern w:val="0"/>
          <w:sz w:val="32"/>
          <w:szCs w:val="32"/>
        </w:rPr>
        <w:t>（二）</w:t>
      </w:r>
      <w:r>
        <w:rPr>
          <w:rFonts w:hint="eastAsia" w:ascii="仿宋_GB2312" w:eastAsia="仿宋_GB2312" w:cs="仿宋_GB2312"/>
          <w:kern w:val="0"/>
          <w:sz w:val="32"/>
          <w:szCs w:val="32"/>
        </w:rPr>
        <w:t>社会保障和就业支出</w:t>
      </w:r>
      <w:r>
        <w:rPr>
          <w:rFonts w:hint="eastAsia" w:ascii="仿宋_GB2312" w:eastAsia="仿宋_GB2312" w:cs="仿宋_GB2312"/>
          <w:bCs/>
          <w:kern w:val="0"/>
          <w:sz w:val="32"/>
          <w:szCs w:val="32"/>
        </w:rPr>
        <w:t>（类）行政事业单位养老支出（款）事业单位离退休（项）、机关事业单位基本养老保险缴费支出（项）、机关事业单位职业年金缴费支出（项）。</w:t>
      </w:r>
      <w:r>
        <w:rPr>
          <w:rFonts w:hint="eastAsia" w:ascii="仿宋_GB2312" w:hAnsi="黑体" w:eastAsia="仿宋_GB2312" w:cs="仿宋_GB2312"/>
          <w:kern w:val="0"/>
          <w:sz w:val="32"/>
          <w:szCs w:val="32"/>
        </w:rPr>
        <w:t>年初预算为66.75万元，支出决算为99.28万元，完成年初预算的148.73%。</w:t>
      </w:r>
      <w:r>
        <w:rPr>
          <w:rFonts w:hint="eastAsia" w:ascii="仿宋_GB2312" w:eastAsia="仿宋_GB2312" w:cs="仿宋_GB2312"/>
          <w:kern w:val="0"/>
          <w:sz w:val="32"/>
          <w:szCs w:val="32"/>
        </w:rPr>
        <w:t>主要原因：增人增资影响预算金额小于决算金额。</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kern w:val="0"/>
          <w:sz w:val="32"/>
          <w:szCs w:val="32"/>
        </w:rPr>
        <w:t>（三）卫生健康支出（类）行政事业单位医疗（款）事业单位医疗（项）、其他行政事业单位医疗支出（项）。年初预算为32.74万元，支出决算为37.16万元，完成年初预算的113.50%。主要原因：增人增资影响预算金额小于决算金额。</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（四）住房保障支出（类）住房改革支出（款）住房公积金（项）。年初预算为50.60</w:t>
      </w:r>
      <w:r>
        <w:rPr>
          <w:rFonts w:hint="eastAsia" w:ascii="宋体" w:hAnsi="宋体" w:cs="宋体"/>
          <w:kern w:val="0"/>
          <w:sz w:val="32"/>
          <w:szCs w:val="32"/>
        </w:rPr>
        <w:t>万元，</w:t>
      </w:r>
      <w:r>
        <w:rPr>
          <w:rFonts w:hint="eastAsia" w:ascii="仿宋_GB2312" w:eastAsia="仿宋_GB2312" w:cs="仿宋_GB2312"/>
          <w:kern w:val="0"/>
          <w:sz w:val="32"/>
          <w:szCs w:val="32"/>
        </w:rPr>
        <w:t>支出决算为56.41万元，完成年初预算的111.48%。主要原因：增人增资影响预算金额小于决算金额。</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三、2021年度一般公共预算财政拨款基本支出决算情况说明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公共预算财政拨款基本支出895.86万元，支出具体情况如下：</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（一）工资福利支出763.10万元，完成年初预算的117.51%。</w:t>
      </w:r>
      <w:r>
        <w:rPr>
          <w:rFonts w:hint="eastAsia" w:ascii="仿宋_GB2312" w:eastAsia="仿宋_GB2312" w:cs="仿宋_GB2312"/>
          <w:kern w:val="0"/>
          <w:sz w:val="32"/>
          <w:szCs w:val="32"/>
        </w:rPr>
        <w:t>主要原因：增人增资影响预算金额小于决算金额。</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bCs/>
          <w:kern w:val="0"/>
          <w:sz w:val="32"/>
          <w:szCs w:val="32"/>
        </w:rPr>
        <w:t>（二）商品和服务支出40.63万元，完成年初预算的78.13%。主要原因：</w:t>
      </w:r>
      <w:r>
        <w:rPr>
          <w:rFonts w:hint="eastAsia" w:ascii="仿宋_GB2312" w:hAnsi="黑体" w:eastAsia="仿宋_GB2312" w:cs="仿宋_GB2312"/>
          <w:kern w:val="0"/>
          <w:sz w:val="32"/>
          <w:szCs w:val="32"/>
        </w:rPr>
        <w:t>由于疫情原因，单位活动减少,支出较预算金额减少。</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四、2021年度政府性基金支出决算情况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柳州市教育科学研究所2</w:t>
      </w:r>
      <w:r>
        <w:rPr>
          <w:rFonts w:ascii="仿宋_GB2312" w:eastAsia="仿宋_GB2312" w:cs="仿宋_GB2312"/>
          <w:kern w:val="0"/>
          <w:sz w:val="32"/>
          <w:szCs w:val="32"/>
        </w:rPr>
        <w:t>02</w:t>
      </w:r>
      <w:r>
        <w:rPr>
          <w:rFonts w:hint="eastAsia" w:ascii="仿宋_GB2312" w:eastAsia="仿宋_GB2312" w:cs="仿宋_GB2312"/>
          <w:kern w:val="0"/>
          <w:sz w:val="32"/>
          <w:szCs w:val="32"/>
        </w:rPr>
        <w:t>1年度没有政府性基金收入，也没有政府性基金安排的支出，故无数据情况说明。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五、2021年度国有资本经营预算支出决算情况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柳州市教育科学研究所2</w:t>
      </w:r>
      <w:r>
        <w:rPr>
          <w:rFonts w:ascii="仿宋_GB2312" w:eastAsia="仿宋_GB2312" w:cs="仿宋_GB2312"/>
          <w:kern w:val="0"/>
          <w:sz w:val="32"/>
          <w:szCs w:val="32"/>
        </w:rPr>
        <w:t>02</w:t>
      </w:r>
      <w:r>
        <w:rPr>
          <w:rFonts w:hint="eastAsia" w:ascii="仿宋_GB2312" w:eastAsia="仿宋_GB2312" w:cs="仿宋_GB2312"/>
          <w:kern w:val="0"/>
          <w:sz w:val="32"/>
          <w:szCs w:val="32"/>
        </w:rPr>
        <w:t>1年度没有国有资本经营预算财政拨款收入，也没有国有资本经营预算财政拨款安排的支出，故无数据情况说明。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0.17万元，完成年初预算的100%，比上年减少0.03万元，主要原因是按厉行节约，减少接待支出。其中：因公出国（境）费支出决算0万元，公务用车购置及运行费支出决算0万元，公务接待费支出决算0.17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（一）因公出国（境）费支出0万元，完成年初预算的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与上年持平</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（二）公务用车购置及运行费支出0万元。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（三）公务接待费支出0.17万元，完成年初预算的100%，比上年减少0.03万元，原因是按厉行节约，减少接待支出。国内公务接待批次1次，人次13次，国（境）外公务接待批次0次，人次0次。</w:t>
      </w:r>
    </w:p>
    <w:p>
      <w:pPr>
        <w:autoSpaceDE w:val="0"/>
        <w:autoSpaceDN w:val="0"/>
        <w:adjustRightInd w:val="0"/>
        <w:spacing w:line="560" w:lineRule="exact"/>
        <w:ind w:firstLine="627" w:firstLineChars="196"/>
        <w:jc w:val="left"/>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本单位无机关运行经费支出。</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本单位无政府采购支出。</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截至2021年12月31日，本单位共有车辆0辆，其中：公务用车0辆；执法执勤用车0辆；专业技术用车0辆；其他用车0辆，其他用车主要是0；单价50万元以上通用设备0台（套），单价100万元以上专用设备0台（套）。</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本单位未开展预算绩效管理工作</w:t>
      </w:r>
      <w:r>
        <w:rPr>
          <w:rFonts w:hint="eastAsia" w:ascii="仿宋_GB2312" w:eastAsia="仿宋_GB2312" w:cs="仿宋_GB2312"/>
          <w:kern w:val="0"/>
          <w:sz w:val="32"/>
          <w:szCs w:val="32"/>
          <w:lang w:eastAsia="zh-CN"/>
        </w:rPr>
        <w:t>。</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lang w:eastAsia="zh-CN"/>
        </w:rPr>
      </w:pPr>
      <w:r>
        <w:rPr>
          <w:rFonts w:hint="eastAsia" w:ascii="仿宋_GB2312" w:eastAsia="仿宋_GB2312"/>
          <w:sz w:val="32"/>
          <w:szCs w:val="32"/>
        </w:rPr>
        <w:t>一、财政拨款收入：指柳州市财政部门当年拨付的资金。</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五、用事业基金弥补收支差额指事业单位在当年的“财政拨款收入”“事业收入”“经营收入”“其他收入”不足以安排当年支出的情况下，使用非财政拨款结余弥补本年度收支缺口的资金。</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六、年初结转和结余：指以前年度尚未完成、结转到本年按有关规定继续使用的资金。</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七、结余分配：指事业单位按规定提取的职工福利基金、事业基金和缴纳的所得税，以及建设单位按规定应交回的基本建设竣工项目结余资金。</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八、年末结转和结余：指本年度或以前年度预算安排、因客观条件发生变化无法按原计划实施，需要延迟到以后年度按有关规定继续使用的资金。</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九、基本支出：指为保障机构正常运转、完成日常工作任务而发生的人员支出和公用支出。</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十、项目支出：指在基本支出之外为完成特定行政任务和事业发展目标所发生的支出。</w:t>
      </w:r>
    </w:p>
    <w:p>
      <w:pPr>
        <w:ind w:firstLine="64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UnicodeM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75E8299A"/>
    <w:rsid w:val="0D6D4E3D"/>
    <w:rsid w:val="0FDB08EF"/>
    <w:rsid w:val="5AB73E7E"/>
    <w:rsid w:val="75E82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4181</Words>
  <Characters>4632</Characters>
  <Lines>0</Lines>
  <Paragraphs>0</Paragraphs>
  <TotalTime>0</TotalTime>
  <ScaleCrop>false</ScaleCrop>
  <LinksUpToDate>false</LinksUpToDate>
  <CharactersWithSpaces>4632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2022-08-10T09:32:00Z</dcterms:created>
  <dc:creator>唐菲</dc:creator>
  <cp:lastModifiedBy>哒哒陳</cp:lastModifiedBy>
  <dcterms:modified xsi:type="dcterms:W3CDTF">2022-09-19T07:08:04Z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8D3025D986264C8FA29939619A2C0E21</vt:lpwstr>
  </property>
</Properties>
</file>