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eastAsia="仿宋_GB2312" w:cs="ArialUnicodeMS"/>
          <w:kern w:val="0"/>
          <w:sz w:val="32"/>
          <w:szCs w:val="32"/>
        </w:rPr>
      </w:pPr>
    </w:p>
    <w:p>
      <w:pPr>
        <w:rPr>
          <w:rFonts w:ascii="黑体" w:eastAsia="黑体" w:cs="ArialUnicodeMS"/>
          <w:kern w:val="0"/>
          <w:sz w:val="72"/>
          <w:szCs w:val="72"/>
        </w:rPr>
      </w:pPr>
    </w:p>
    <w:p>
      <w:pPr>
        <w:rPr>
          <w:rFonts w:ascii="黑体" w:eastAsia="黑体" w:cs="ArialUnicodeMS"/>
          <w:kern w:val="0"/>
          <w:sz w:val="72"/>
          <w:szCs w:val="72"/>
        </w:rPr>
      </w:pPr>
    </w:p>
    <w:p>
      <w:pPr>
        <w:jc w:val="center"/>
        <w:rPr>
          <w:rFonts w:ascii="方正小标宋简体" w:hAnsi="方正小标宋简体" w:eastAsia="方正小标宋简体" w:cs="方正小标宋简体"/>
          <w:kern w:val="0"/>
          <w:sz w:val="52"/>
          <w:szCs w:val="52"/>
        </w:rPr>
      </w:pPr>
      <w:r>
        <w:rPr>
          <w:rFonts w:hint="eastAsia" w:ascii="方正小标宋简体" w:hAnsi="方正小标宋简体" w:eastAsia="方正小标宋简体" w:cs="方正小标宋简体"/>
          <w:kern w:val="0"/>
          <w:sz w:val="52"/>
          <w:szCs w:val="52"/>
        </w:rPr>
        <w:t>柳州科技馆</w:t>
      </w:r>
    </w:p>
    <w:p>
      <w:pPr>
        <w:jc w:val="center"/>
        <w:rPr>
          <w:rFonts w:ascii="方正小标宋简体" w:hAnsi="方正小标宋简体" w:eastAsia="方正小标宋简体" w:cs="方正小标宋简体"/>
          <w:kern w:val="0"/>
          <w:sz w:val="52"/>
          <w:szCs w:val="52"/>
        </w:rPr>
      </w:pPr>
      <w:r>
        <w:rPr>
          <w:rFonts w:hint="eastAsia" w:ascii="方正小标宋简体" w:hAnsi="方正小标宋简体" w:eastAsia="方正小标宋简体" w:cs="方正小标宋简体"/>
          <w:kern w:val="0"/>
          <w:sz w:val="52"/>
          <w:szCs w:val="52"/>
        </w:rPr>
        <w:t>2021年度单位决算</w:t>
      </w: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jc w:val="center"/>
        <w:rPr>
          <w:rFonts w:ascii="黑体" w:eastAsia="黑体" w:cs="黑体"/>
          <w:kern w:val="0"/>
          <w:sz w:val="44"/>
          <w:szCs w:val="44"/>
        </w:rPr>
      </w:pPr>
    </w:p>
    <w:p>
      <w:pPr>
        <w:ind w:firstLine="646"/>
        <w:jc w:val="center"/>
        <w:rPr>
          <w:rFonts w:ascii="方正小标宋简体" w:eastAsia="方正小标宋简体"/>
          <w:b/>
          <w:sz w:val="44"/>
          <w:szCs w:val="44"/>
        </w:rPr>
      </w:pPr>
      <w:r>
        <w:rPr>
          <w:rFonts w:hint="eastAsia" w:ascii="方正小标宋简体" w:eastAsia="方正小标宋简体"/>
          <w:b/>
          <w:sz w:val="44"/>
          <w:szCs w:val="44"/>
        </w:rPr>
        <w:t>目录</w:t>
      </w:r>
    </w:p>
    <w:p>
      <w:pPr>
        <w:ind w:firstLine="645"/>
        <w:rPr>
          <w:rFonts w:ascii="仿宋_GB2312" w:eastAsia="仿宋_GB2312"/>
          <w:b/>
          <w:sz w:val="32"/>
          <w:szCs w:val="32"/>
        </w:rPr>
      </w:pPr>
    </w:p>
    <w:p>
      <w:pPr>
        <w:autoSpaceDE w:val="0"/>
        <w:autoSpaceDN w:val="0"/>
        <w:adjustRightInd w:val="0"/>
        <w:spacing w:line="560" w:lineRule="exact"/>
        <w:ind w:firstLine="630" w:firstLineChars="196"/>
        <w:jc w:val="both"/>
        <w:rPr>
          <w:rFonts w:hint="eastAsia" w:ascii="仿宋_GB2312" w:eastAsia="仿宋_GB2312" w:cs="仿宋_GB2312"/>
          <w:kern w:val="0"/>
          <w:sz w:val="32"/>
          <w:szCs w:val="32"/>
          <w:lang w:eastAsia="zh-CN"/>
        </w:rPr>
      </w:pPr>
      <w:r>
        <w:rPr>
          <w:rFonts w:hint="eastAsia" w:ascii="仿宋_GB2312" w:eastAsia="仿宋_GB2312" w:cs="仿宋_GB2312"/>
          <w:b/>
          <w:bCs/>
          <w:kern w:val="0"/>
          <w:sz w:val="32"/>
          <w:szCs w:val="32"/>
          <w:lang w:eastAsia="zh-CN"/>
        </w:rPr>
        <w:t>第一部分：柳州科技馆概况</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一、主要职能</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二、单位机构设置情况</w:t>
      </w:r>
    </w:p>
    <w:p>
      <w:pPr>
        <w:autoSpaceDE w:val="0"/>
        <w:autoSpaceDN w:val="0"/>
        <w:adjustRightInd w:val="0"/>
        <w:spacing w:line="560" w:lineRule="exact"/>
        <w:ind w:firstLine="630" w:firstLineChars="196"/>
        <w:jc w:val="both"/>
        <w:rPr>
          <w:rFonts w:hint="eastAsia" w:ascii="仿宋_GB2312" w:eastAsia="仿宋_GB2312" w:cs="仿宋_GB2312"/>
          <w:kern w:val="0"/>
          <w:sz w:val="32"/>
          <w:szCs w:val="32"/>
          <w:lang w:eastAsia="zh-CN"/>
        </w:rPr>
      </w:pPr>
      <w:r>
        <w:rPr>
          <w:rFonts w:hint="eastAsia" w:ascii="仿宋_GB2312" w:eastAsia="仿宋_GB2312" w:cs="仿宋_GB2312"/>
          <w:b/>
          <w:bCs/>
          <w:kern w:val="0"/>
          <w:sz w:val="32"/>
          <w:szCs w:val="32"/>
          <w:lang w:eastAsia="zh-CN"/>
        </w:rPr>
        <w:t>第二部分：柳州科技馆2021年单位决算报表</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表一：收入支出决算总表</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表二：收入决算表</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表三：支出决算表</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表四：财政拨款收入支出决算总表</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表五：一般公共预算财政拨款支出决算表</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表六：一般公共预算财政拨款基本支出决算表</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表七：一般公共预算财政拨款“三公经费”支出决算表</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表八：政府性基金预算财政拨款收入支出决算表</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表九：国有资本经营预算财政拨款支出决算表</w:t>
      </w:r>
    </w:p>
    <w:p>
      <w:pPr>
        <w:autoSpaceDE w:val="0"/>
        <w:autoSpaceDN w:val="0"/>
        <w:adjustRightInd w:val="0"/>
        <w:spacing w:line="560" w:lineRule="exact"/>
        <w:ind w:firstLine="630" w:firstLineChars="196"/>
        <w:jc w:val="both"/>
        <w:rPr>
          <w:rFonts w:hint="eastAsia" w:ascii="仿宋_GB2312" w:eastAsia="仿宋_GB2312" w:cs="仿宋_GB2312"/>
          <w:b/>
          <w:bCs/>
          <w:kern w:val="0"/>
          <w:sz w:val="32"/>
          <w:szCs w:val="32"/>
          <w:lang w:eastAsia="zh-CN"/>
        </w:rPr>
      </w:pPr>
      <w:r>
        <w:rPr>
          <w:rFonts w:hint="eastAsia" w:ascii="仿宋_GB2312" w:eastAsia="仿宋_GB2312" w:cs="仿宋_GB2312"/>
          <w:b/>
          <w:bCs/>
          <w:kern w:val="0"/>
          <w:sz w:val="32"/>
          <w:szCs w:val="32"/>
          <w:lang w:eastAsia="zh-CN"/>
        </w:rPr>
        <w:t>第三部分：柳州科技馆2021年度单位决算情况说明</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一、2021年度收入支出决算总体情况。</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二、2021年度一般公共预算财政拨款支出决算情况。</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三、2021年度一般公共预算财政拨款基本支出决算情况说明。</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四、2021年度政府性基金支出决算情况。</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五、2021年度国有资本经营预算支出决算情况。</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六、一般公共预算财政拨款“三公经费”支出决算情况说明。</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七、其他重要事项情况说明。</w:t>
      </w:r>
    </w:p>
    <w:p>
      <w:pPr>
        <w:autoSpaceDE w:val="0"/>
        <w:autoSpaceDN w:val="0"/>
        <w:adjustRightInd w:val="0"/>
        <w:spacing w:line="560" w:lineRule="exact"/>
        <w:ind w:firstLine="630" w:firstLineChars="196"/>
        <w:jc w:val="both"/>
        <w:rPr>
          <w:rFonts w:hint="eastAsia" w:ascii="仿宋_GB2312" w:eastAsia="仿宋_GB2312" w:cs="仿宋_GB2312"/>
          <w:b/>
          <w:bCs/>
          <w:kern w:val="0"/>
          <w:sz w:val="32"/>
          <w:szCs w:val="32"/>
          <w:lang w:eastAsia="zh-CN"/>
        </w:rPr>
      </w:pPr>
      <w:r>
        <w:rPr>
          <w:rFonts w:hint="eastAsia" w:ascii="仿宋_GB2312" w:eastAsia="仿宋_GB2312" w:cs="仿宋_GB2312"/>
          <w:b/>
          <w:bCs/>
          <w:kern w:val="0"/>
          <w:sz w:val="32"/>
          <w:szCs w:val="32"/>
          <w:lang w:eastAsia="zh-CN"/>
        </w:rPr>
        <w:t>第四部分：名词解释</w:t>
      </w:r>
    </w:p>
    <w:p>
      <w:pPr>
        <w:autoSpaceDE w:val="0"/>
        <w:autoSpaceDN w:val="0"/>
        <w:adjustRightInd w:val="0"/>
        <w:spacing w:line="560" w:lineRule="exact"/>
        <w:ind w:firstLine="627" w:firstLineChars="196"/>
        <w:jc w:val="center"/>
        <w:rPr>
          <w:rFonts w:hint="eastAsia" w:ascii="仿宋_GB2312" w:eastAsia="仿宋_GB2312" w:cs="仿宋_GB2312"/>
          <w:b/>
          <w:bCs/>
          <w:kern w:val="0"/>
          <w:sz w:val="32"/>
          <w:szCs w:val="32"/>
          <w:lang w:eastAsia="zh-CN"/>
        </w:rPr>
      </w:pPr>
      <w:r>
        <w:rPr>
          <w:rFonts w:hint="eastAsia" w:ascii="仿宋_GB2312" w:eastAsia="仿宋_GB2312" w:cs="仿宋_GB2312"/>
          <w:kern w:val="0"/>
          <w:sz w:val="32"/>
          <w:szCs w:val="32"/>
          <w:lang w:eastAsia="zh-CN"/>
        </w:rPr>
        <w:br w:type="page"/>
      </w:r>
      <w:r>
        <w:rPr>
          <w:rFonts w:hint="eastAsia" w:ascii="仿宋_GB2312" w:eastAsia="仿宋_GB2312" w:cs="仿宋_GB2312"/>
          <w:b/>
          <w:bCs/>
          <w:kern w:val="0"/>
          <w:sz w:val="32"/>
          <w:szCs w:val="32"/>
          <w:lang w:eastAsia="zh-CN"/>
        </w:rPr>
        <w:t>第一部分：柳州科技馆概况</w:t>
      </w:r>
    </w:p>
    <w:p>
      <w:pPr>
        <w:autoSpaceDE w:val="0"/>
        <w:autoSpaceDN w:val="0"/>
        <w:adjustRightInd w:val="0"/>
        <w:spacing w:line="560" w:lineRule="exact"/>
        <w:ind w:firstLine="627" w:firstLineChars="196"/>
        <w:jc w:val="both"/>
        <w:rPr>
          <w:rFonts w:hint="eastAsia" w:ascii="仿宋_GB2312" w:eastAsia="仿宋_GB2312" w:cs="仿宋_GB2312"/>
          <w:b w:val="0"/>
          <w:bCs w:val="0"/>
          <w:kern w:val="0"/>
          <w:sz w:val="32"/>
          <w:szCs w:val="32"/>
          <w:lang w:eastAsia="zh-CN"/>
        </w:rPr>
      </w:pPr>
      <w:r>
        <w:rPr>
          <w:rFonts w:hint="eastAsia" w:ascii="仿宋_GB2312" w:eastAsia="仿宋_GB2312" w:cs="仿宋_GB2312"/>
          <w:b w:val="0"/>
          <w:bCs w:val="0"/>
          <w:kern w:val="0"/>
          <w:sz w:val="32"/>
          <w:szCs w:val="32"/>
          <w:lang w:eastAsia="zh-CN"/>
        </w:rPr>
        <w:t>一、主要职能</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（1）展示科技成果，促进经济发展。</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（2）科技展览，通过常设和短期展览，以参与、体验、互动性的展品及辅助性展示手段，以激发科学兴趣、启迪科学观念为目的，对公众进行科普教育。</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（3）举办其</w:t>
      </w:r>
      <w:r>
        <w:rPr>
          <w:rFonts w:hint="eastAsia" w:ascii="仿宋_GB2312" w:eastAsia="仿宋_GB2312" w:cs="仿宋_GB2312"/>
          <w:kern w:val="0"/>
          <w:sz w:val="32"/>
          <w:szCs w:val="32"/>
          <w:lang w:val="en-US" w:eastAsia="zh-CN"/>
        </w:rPr>
        <w:t>他</w:t>
      </w:r>
      <w:r>
        <w:rPr>
          <w:rFonts w:hint="eastAsia" w:ascii="仿宋_GB2312" w:eastAsia="仿宋_GB2312" w:cs="仿宋_GB2312"/>
          <w:kern w:val="0"/>
          <w:sz w:val="32"/>
          <w:szCs w:val="32"/>
          <w:lang w:eastAsia="zh-CN"/>
        </w:rPr>
        <w:t>科普教育、科技传播和科学文化交流活动。</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（4）承办市委、市人民政府交办的其他事项。</w:t>
      </w:r>
    </w:p>
    <w:p>
      <w:pPr>
        <w:autoSpaceDE w:val="0"/>
        <w:autoSpaceDN w:val="0"/>
        <w:adjustRightInd w:val="0"/>
        <w:spacing w:line="560" w:lineRule="exact"/>
        <w:ind w:firstLine="627" w:firstLineChars="196"/>
        <w:jc w:val="both"/>
        <w:rPr>
          <w:rFonts w:hint="eastAsia" w:ascii="仿宋_GB2312" w:eastAsia="仿宋_GB2312" w:cs="仿宋_GB2312"/>
          <w:b w:val="0"/>
          <w:bCs w:val="0"/>
          <w:kern w:val="0"/>
          <w:sz w:val="32"/>
          <w:szCs w:val="32"/>
          <w:lang w:eastAsia="zh-CN"/>
        </w:rPr>
      </w:pPr>
      <w:r>
        <w:rPr>
          <w:rFonts w:hint="eastAsia" w:ascii="仿宋_GB2312" w:eastAsia="仿宋_GB2312" w:cs="仿宋_GB2312"/>
          <w:b w:val="0"/>
          <w:bCs w:val="0"/>
          <w:kern w:val="0"/>
          <w:sz w:val="32"/>
          <w:szCs w:val="32"/>
          <w:lang w:eastAsia="zh-CN"/>
        </w:rPr>
        <w:t>二、单位机构设置情况</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（1）机构情况</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本单位属于全额拨款事业单位，内设7个部（室）：办公室、财务部、展教部、青少部、信息部、展技部、后勤保障部。</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（2）人员情况。</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单位人员编制总数为14人，其中：事业编制14人，编内在职13人，退休补助2人。</w:t>
      </w:r>
    </w:p>
    <w:p>
      <w:pPr>
        <w:autoSpaceDE w:val="0"/>
        <w:autoSpaceDN w:val="0"/>
        <w:adjustRightInd w:val="0"/>
        <w:spacing w:line="560" w:lineRule="exact"/>
        <w:ind w:firstLine="630" w:firstLineChars="196"/>
        <w:jc w:val="center"/>
        <w:rPr>
          <w:rFonts w:hint="eastAsia" w:ascii="仿宋_GB2312" w:eastAsia="仿宋_GB2312" w:cs="仿宋_GB2312"/>
          <w:b/>
          <w:bCs/>
          <w:kern w:val="0"/>
          <w:sz w:val="32"/>
          <w:szCs w:val="32"/>
          <w:lang w:eastAsia="zh-CN"/>
        </w:rPr>
      </w:pPr>
      <w:r>
        <w:rPr>
          <w:rFonts w:hint="eastAsia" w:ascii="仿宋_GB2312" w:eastAsia="仿宋_GB2312" w:cs="仿宋_GB2312"/>
          <w:b/>
          <w:bCs/>
          <w:kern w:val="0"/>
          <w:sz w:val="32"/>
          <w:szCs w:val="32"/>
          <w:lang w:eastAsia="zh-CN"/>
        </w:rPr>
        <w:t>第二部分：柳州科技馆2021年度单位决算报表</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详见附表：柳州科技馆2021年度单位决算公开表</w:t>
      </w:r>
    </w:p>
    <w:p>
      <w:pPr>
        <w:autoSpaceDE w:val="0"/>
        <w:autoSpaceDN w:val="0"/>
        <w:adjustRightInd w:val="0"/>
        <w:spacing w:line="560" w:lineRule="exact"/>
        <w:ind w:firstLine="630" w:firstLineChars="196"/>
        <w:jc w:val="center"/>
        <w:rPr>
          <w:rFonts w:hint="eastAsia" w:ascii="仿宋_GB2312" w:eastAsia="仿宋_GB2312" w:cs="仿宋_GB2312"/>
          <w:b/>
          <w:bCs/>
          <w:kern w:val="0"/>
          <w:sz w:val="32"/>
          <w:szCs w:val="32"/>
          <w:lang w:eastAsia="zh-CN"/>
        </w:rPr>
      </w:pPr>
      <w:r>
        <w:rPr>
          <w:rFonts w:hint="eastAsia" w:ascii="仿宋_GB2312" w:eastAsia="仿宋_GB2312" w:cs="仿宋_GB2312"/>
          <w:b/>
          <w:bCs/>
          <w:kern w:val="0"/>
          <w:sz w:val="32"/>
          <w:szCs w:val="32"/>
          <w:lang w:eastAsia="zh-CN"/>
        </w:rPr>
        <w:t>第三部分：柳州科技馆2021年度单位决算情况说明</w:t>
      </w:r>
    </w:p>
    <w:p>
      <w:pPr>
        <w:autoSpaceDE w:val="0"/>
        <w:autoSpaceDN w:val="0"/>
        <w:adjustRightInd w:val="0"/>
        <w:spacing w:line="560" w:lineRule="exact"/>
        <w:ind w:firstLine="630" w:firstLineChars="196"/>
        <w:jc w:val="both"/>
        <w:rPr>
          <w:rFonts w:hint="eastAsia" w:ascii="仿宋_GB2312" w:eastAsia="仿宋_GB2312" w:cs="仿宋_GB2312"/>
          <w:b/>
          <w:bCs/>
          <w:kern w:val="0"/>
          <w:sz w:val="32"/>
          <w:szCs w:val="32"/>
          <w:lang w:eastAsia="zh-CN"/>
        </w:rPr>
      </w:pPr>
      <w:r>
        <w:rPr>
          <w:rFonts w:hint="eastAsia" w:ascii="仿宋_GB2312" w:eastAsia="仿宋_GB2312" w:cs="仿宋_GB2312"/>
          <w:b/>
          <w:bCs/>
          <w:kern w:val="0"/>
          <w:sz w:val="32"/>
          <w:szCs w:val="32"/>
          <w:lang w:eastAsia="zh-CN"/>
        </w:rPr>
        <w:t>一、2021年度收入支出决算总体情况</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（一）本单位2021年度总收入1376.35万元，其中本年收入1311.36万元, 较2020年度决算数增加684.67万元，增长98.99%。收入具体情况如下。</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1.一般公共预算财政拨款收入1134.70万元，为财政当年拨付的资金。较2020年度决算数增加725.26万元，增长177.13 %，主要原因是：柳州科技馆新馆建成，规模扩大，故经费增加。</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2.政府性基金预算财政拨款收入0万元，支出4.62万元。与2021年相比，收入总计持平，支出总计增加4.30万元，增长1243.75%。主要原因是：使用以前年度财政拨款结转资金。</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3.其他收入176.66万元，为单位在“财政拨款收入”</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“事业收入”“经营收入”之外取得的收入。较2020年度决算数增加126.97万元，增长255.52%，主要原因是：柳州科技馆收到中国科学技术协会、柳州市科学技术协会、柳州市宣传部等单位拨入活动经费增加。</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4.上年结转和结余64.99万元，为以前年度支出预算因客观条件变化未执行完毕、结转到本年度按有关规定继续使用的资金。较2020年度决算数减少167.56万元，下降72.05 %，主要原因是：财政收回结余资金。</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（二）本单位2021年度总支出1376.35万元，其中本年支出1268.51万元, 较2020年度决算数增加684.67万元，增长98.99%。支出具体情况如下：</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1.科学技术支出（206类）1069.11万元，主要用于在职人员工资、绩效、一般公用经费支出、聘用人员经费支出、科技馆活动进基层、学生校外活动中心运营、展厅免费开放运营等。较2020年度决算数增加538.75万元，增长101.58%，主要原因是：科技馆新馆建成，规模扩大，日常公用经费增加。</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2.社会保障和就业支出（208类）34.37万元，主要用于行政事业单位养老支出、机关事业单位职业年金缴费支出。较2020年度决算数增加5.75万元，增长20.09%，主要原因是：人员变动及社保基数调整。</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3.卫生健康支出（210类）9.74万元，主要用于行政事业单位医疗支出。较2020年度决算数增加2.92万元，增长42.2%，主要原因是：人员变动及医疗保险基数调整。</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4.住房保障支出（221类）15.50万元，主要用于住房公积金支出。较2020年度决算数增加2.14万元，增长6.18%，主要原因是：人员变动及住房公积金基数调整。</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5.其他支出（229类）139.79万元，主要用于为部门在“财政拨款支出”之外的支出，较2020年度决算数增105.97万元，增长313.34%，主要原因是：科技馆利用市科协下拨经费举办科学素质竞赛、开展科技课堂、新建科学探究实验工作室；利用中科协下拨经费承办全国科技馆辅导员大赛中南赛区赛事等。</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6.年末结转和结余107.84万元，为本年度或以前年度</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预算安排、因客观条件发生变化无法按原计划实施，需要延迟到以后年度按有关规定继续使用的资金。较2020年度决算数增加29.14万元，增长37.03%，主要原因是：科技馆进校园活动经费、省级青少年工作室经费、科技课堂经费、新建科学探究实验工作室经费有结余。</w:t>
      </w:r>
    </w:p>
    <w:p>
      <w:pPr>
        <w:autoSpaceDE w:val="0"/>
        <w:autoSpaceDN w:val="0"/>
        <w:adjustRightInd w:val="0"/>
        <w:spacing w:line="560" w:lineRule="exact"/>
        <w:ind w:firstLine="630" w:firstLineChars="196"/>
        <w:jc w:val="both"/>
        <w:rPr>
          <w:rFonts w:hint="eastAsia" w:ascii="仿宋_GB2312" w:eastAsia="仿宋_GB2312" w:cs="仿宋_GB2312"/>
          <w:kern w:val="0"/>
          <w:sz w:val="32"/>
          <w:szCs w:val="32"/>
          <w:lang w:eastAsia="zh-CN"/>
        </w:rPr>
      </w:pPr>
      <w:r>
        <w:rPr>
          <w:rFonts w:hint="eastAsia" w:ascii="仿宋_GB2312" w:eastAsia="仿宋_GB2312" w:cs="仿宋_GB2312"/>
          <w:b/>
          <w:bCs/>
          <w:kern w:val="0"/>
          <w:sz w:val="32"/>
          <w:szCs w:val="32"/>
          <w:lang w:eastAsia="zh-CN"/>
        </w:rPr>
        <w:t>二、2021年度一般公共预算财政拨款支出决算情况</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本单位2021年度一般公共预算财政拨款支出1128.72万元，较2020年度决算数增加549.56万元，增长94.89%。其中：基本支出263.27万元，项目支出865.45万元。</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本单位2021年度一般公共预算财政拨款支出年初预算为1134.70万元，支出决算为 1128.72万元，完成年初预算的99.47%。其中：</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一）科学技术支出（206类）科学技术普及（07款）科技馆站（05项）。年初预算为1454.97万元，支出决算为1069.11万元，完成年初预算的73.45%。决算数小于预算数的主要原因：年初预算包含2021年水电物业费，因市财政未确定支付方案未支付。</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二）社会保障和就业支出（208类）行政事业单位养老支出（05款）机关事业单位职业年金缴费支出（06项）。年初预算为32.17万元，支出决算为34.37万元，完成年初预算的106.84%。决算数大于预算数的主要原因是：年中追加安排财政拨款支出预算。</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（三）卫生健康支出（210类）行政事业单位医疗（11款）事业单位医疗（02项）。年初预算为9.81万元，支出决算为9.74万元，完成年初预算的99.29%。决算数小于预算数的主要原因是：已按规定支付，经费有结余。</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（四）住房保障支出（221类）住房改革支出（02款）住房公积金（01项）。年初预算为14.95万元，支出决算为15.50万元，完成年初预算的103.68%。决算数大于预算数的原因是：追加2021年人员变动经费预算。</w:t>
      </w:r>
    </w:p>
    <w:p>
      <w:pPr>
        <w:autoSpaceDE w:val="0"/>
        <w:autoSpaceDN w:val="0"/>
        <w:adjustRightInd w:val="0"/>
        <w:spacing w:line="560" w:lineRule="exact"/>
        <w:ind w:firstLine="630" w:firstLineChars="196"/>
        <w:jc w:val="both"/>
        <w:rPr>
          <w:rFonts w:hint="eastAsia" w:ascii="仿宋_GB2312" w:eastAsia="仿宋_GB2312" w:cs="仿宋_GB2312"/>
          <w:b/>
          <w:bCs/>
          <w:kern w:val="0"/>
          <w:sz w:val="32"/>
          <w:szCs w:val="32"/>
          <w:lang w:eastAsia="zh-CN"/>
        </w:rPr>
      </w:pPr>
      <w:r>
        <w:rPr>
          <w:rFonts w:hint="eastAsia" w:ascii="仿宋_GB2312" w:eastAsia="仿宋_GB2312" w:cs="仿宋_GB2312"/>
          <w:b/>
          <w:bCs/>
          <w:kern w:val="0"/>
          <w:sz w:val="32"/>
          <w:szCs w:val="32"/>
          <w:lang w:eastAsia="zh-CN"/>
        </w:rPr>
        <w:t>三、2021年度一般公共预算财政拨款基本支出决算情况说明</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本单位2021年度一般公共预算财政拨款基本支出263.27万元，支出具体情况如下：</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（一）工资福利支出241.22万元，完成年初预算131.30%。决算数大于预算数的主要原因是年中追加安排补发2020年度绩效工资、职工基本养老保险、医疗保险等财政拨款支出预算。</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（二）对个人和家庭的补助支出2.50万元，完成初预算的110.62%。决算数大于预算数的主要原因是年中追加安排退休人员财政拨款支出预算。</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（三）商品和服务支出19.55万元，完成年初预算的100%。决算数等于预算数的主要原因是按规定支付，秉持节约原则使用公用经费，经费不超预算。</w:t>
      </w:r>
    </w:p>
    <w:p>
      <w:pPr>
        <w:autoSpaceDE w:val="0"/>
        <w:autoSpaceDN w:val="0"/>
        <w:adjustRightInd w:val="0"/>
        <w:spacing w:line="560" w:lineRule="exact"/>
        <w:ind w:firstLine="630" w:firstLineChars="196"/>
        <w:jc w:val="both"/>
        <w:rPr>
          <w:rFonts w:hint="eastAsia" w:ascii="仿宋_GB2312" w:eastAsia="仿宋_GB2312" w:cs="仿宋_GB2312"/>
          <w:b/>
          <w:bCs/>
          <w:kern w:val="0"/>
          <w:sz w:val="32"/>
          <w:szCs w:val="32"/>
          <w:lang w:eastAsia="zh-CN"/>
        </w:rPr>
      </w:pPr>
      <w:r>
        <w:rPr>
          <w:rFonts w:hint="eastAsia" w:ascii="仿宋_GB2312" w:eastAsia="仿宋_GB2312" w:cs="仿宋_GB2312"/>
          <w:b/>
          <w:bCs/>
          <w:kern w:val="0"/>
          <w:sz w:val="32"/>
          <w:szCs w:val="32"/>
          <w:lang w:eastAsia="zh-CN"/>
        </w:rPr>
        <w:t>四、2021年度政府性基金支出决算情况。</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本单位2021年度政府性基金支出4.62万元，较2020年度决算数增加4.30万元，增长1343.75%。其中：基本支出0万元，项目支出4.62万元。</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本单位2021年度政府性基金支出年初预算为0万元，支出决算为4.62万元，决算数大于预算数的主要原因：通过使用以前年度财政拨款结转资金解决。其中：</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其他支出（229类）彩票公益金安排的支出用于教育事业的彩票公益金支出（04项）。年初预算为0万元，支出决算为4.62万元。决算数大于预算数的主要原因：通过使用以前年度财政拨款结转资金解决，主要用于开展研学实践活动、夏令营活动和建党百年活动的费用支出。</w:t>
      </w:r>
    </w:p>
    <w:p>
      <w:pPr>
        <w:autoSpaceDE w:val="0"/>
        <w:autoSpaceDN w:val="0"/>
        <w:adjustRightInd w:val="0"/>
        <w:spacing w:line="560" w:lineRule="exact"/>
        <w:ind w:firstLine="630" w:firstLineChars="196"/>
        <w:jc w:val="both"/>
        <w:rPr>
          <w:rFonts w:hint="eastAsia" w:ascii="仿宋_GB2312" w:eastAsia="仿宋_GB2312" w:cs="仿宋_GB2312"/>
          <w:b/>
          <w:bCs/>
          <w:kern w:val="0"/>
          <w:sz w:val="32"/>
          <w:szCs w:val="32"/>
          <w:lang w:eastAsia="zh-CN"/>
        </w:rPr>
      </w:pPr>
      <w:r>
        <w:rPr>
          <w:rFonts w:hint="eastAsia" w:ascii="仿宋_GB2312" w:eastAsia="仿宋_GB2312" w:cs="仿宋_GB2312"/>
          <w:b/>
          <w:bCs/>
          <w:kern w:val="0"/>
          <w:sz w:val="32"/>
          <w:szCs w:val="32"/>
          <w:lang w:eastAsia="zh-CN"/>
        </w:rPr>
        <w:t>五、2021年度国有资本经营预算支出决算情况</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柳州科技馆2021年度没有国有资本经营预算财政拨款收入，也没有国有资本经营预算财政拨款安排的支出，故无数据情况说明。</w:t>
      </w:r>
    </w:p>
    <w:p>
      <w:pPr>
        <w:autoSpaceDE w:val="0"/>
        <w:autoSpaceDN w:val="0"/>
        <w:adjustRightInd w:val="0"/>
        <w:spacing w:line="560" w:lineRule="exact"/>
        <w:ind w:firstLine="630" w:firstLineChars="196"/>
        <w:jc w:val="both"/>
        <w:rPr>
          <w:rFonts w:hint="eastAsia" w:ascii="仿宋_GB2312" w:eastAsia="仿宋_GB2312" w:cs="仿宋_GB2312"/>
          <w:b/>
          <w:bCs/>
          <w:kern w:val="0"/>
          <w:sz w:val="32"/>
          <w:szCs w:val="32"/>
          <w:lang w:eastAsia="zh-CN"/>
        </w:rPr>
      </w:pPr>
      <w:r>
        <w:rPr>
          <w:rFonts w:hint="eastAsia" w:ascii="仿宋_GB2312" w:eastAsia="仿宋_GB2312" w:cs="仿宋_GB2312"/>
          <w:b/>
          <w:bCs/>
          <w:kern w:val="0"/>
          <w:sz w:val="32"/>
          <w:szCs w:val="32"/>
          <w:lang w:eastAsia="zh-CN"/>
        </w:rPr>
        <w:t>六、一般公共预算财政拨款“三公经费”支出决算情况说明。</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本单位2021年度一般公共预算财政拨款安排的“三公经费”支出0.28万元，完成年初预算的66.67%，比上年减少0.09万元，主要原因是认真贯彻落实中央八项规定</w:t>
      </w:r>
      <w:bookmarkStart w:id="0" w:name="_GoBack"/>
      <w:bookmarkEnd w:id="0"/>
      <w:r>
        <w:rPr>
          <w:rFonts w:hint="eastAsia" w:ascii="仿宋_GB2312" w:eastAsia="仿宋_GB2312" w:cs="仿宋_GB2312"/>
          <w:kern w:val="0"/>
          <w:sz w:val="32"/>
          <w:szCs w:val="32"/>
          <w:lang w:eastAsia="zh-CN"/>
        </w:rPr>
        <w:t>精神和厉行节约要求，进一步从严控制“三公”经费开支。其中：因公出国（境）费支出决算0万元，公务用车购置及运行费支出决算0万元，公务接待费支出决算0.28万元。</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具体情况如下：</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（一）国（境）费支出0万元，与上年持平，原因是无计划安排因公出国（境），厉行勤俭节约、严控无实质的公务出国计划。</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（二）公务用车购置及运行费支出0万元，与上年持平，本单位无公务用车购置支出。</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（三）公务接待费支出0.28万元，完成年初预算的66.67%，比上年减少0.09万元，原因是厉行勤俭节约，严控公务接待标准及次数。国内公务接待批次2次，人次24次，国（境）外公务接待批次0次，人次0次。</w:t>
      </w:r>
    </w:p>
    <w:p>
      <w:pPr>
        <w:autoSpaceDE w:val="0"/>
        <w:autoSpaceDN w:val="0"/>
        <w:adjustRightInd w:val="0"/>
        <w:spacing w:line="560" w:lineRule="exact"/>
        <w:ind w:firstLine="630" w:firstLineChars="196"/>
        <w:jc w:val="both"/>
        <w:rPr>
          <w:rFonts w:hint="eastAsia" w:ascii="仿宋_GB2312" w:eastAsia="仿宋_GB2312" w:cs="仿宋_GB2312"/>
          <w:kern w:val="0"/>
          <w:sz w:val="32"/>
          <w:szCs w:val="32"/>
          <w:lang w:eastAsia="zh-CN"/>
        </w:rPr>
      </w:pPr>
      <w:r>
        <w:rPr>
          <w:rFonts w:hint="eastAsia" w:ascii="仿宋_GB2312" w:eastAsia="仿宋_GB2312" w:cs="仿宋_GB2312"/>
          <w:b/>
          <w:bCs/>
          <w:kern w:val="0"/>
          <w:sz w:val="32"/>
          <w:szCs w:val="32"/>
          <w:lang w:eastAsia="zh-CN"/>
        </w:rPr>
        <w:t>七、其他重要事项的情况</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（一）机关运行经费支出情况说明。</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本单位无机关运行经费支出</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（二）政府采购支出情况说明。</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本单位2021年度政府采购支出总额265.31万元，其中：政府采购货物支出167.53万元、政府采购工程支出0万元、政府采购服务支出97.78万元。授予中小企业合同金265.31万元，占政府采购支出总额的100%，其中：授予小微企业合同金额265.31万元，占政府采购支出总额的100%。</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（三）国有资产占用情况说明。</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截至2021年12月31日，本单位共有车辆0辆，其中：公务用车0辆；执法执勤用车0辆；专业技术用车0辆；其他用车0  辆；单价50万元 以上通用设备0台（套），单价100万元以上专用设备0台（套）。</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（四）预算绩效管理工作开展情况。</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根据财政预算管理要求，我单位组织对2021年度一般公共预算项目支出全面开展绩效自评。共涉及资金1306.40万元，占一般公共预算项目支出总额的 86.41%。共组织对科技馆活动进基层（社区、乡镇）、聘用人员经费、物业管理费、水电能耗费等4个项目进行了单位评价，涉及一般公共预算支出1299.4万元，政府性基金预算支出0万元。从评价情况来看，资金到位及时，组织制度管理健全，有项目申报管理办法，项目合同完整，验收报告齐全，项目资金使用符合国家法律法规，各项数量指标都能按要求完成，项目都能根据时效来完成，自评得分均超过95分。</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组织对柳州科技馆开展整体支出绩效评价试点，涉及一般公共预算支出1306.40万元，政府性基金预算支出0万元。从评价情况来看，资金到位及时，组织制度管理健全，项目支出有申报管理办法，项目合同完整，验收报告齐全，资金使用符合国家法律法规，都能高效出色的完成年初设置的产出指标、效益指标和满意度指标，自评得分均超过95分。</w:t>
      </w:r>
    </w:p>
    <w:p>
      <w:pPr>
        <w:autoSpaceDE w:val="0"/>
        <w:autoSpaceDN w:val="0"/>
        <w:adjustRightInd w:val="0"/>
        <w:spacing w:line="560" w:lineRule="exact"/>
        <w:ind w:firstLine="630" w:firstLineChars="196"/>
        <w:jc w:val="center"/>
        <w:rPr>
          <w:rFonts w:hint="eastAsia" w:ascii="仿宋_GB2312" w:eastAsia="仿宋_GB2312" w:cs="仿宋_GB2312"/>
          <w:kern w:val="0"/>
          <w:sz w:val="32"/>
          <w:szCs w:val="32"/>
          <w:lang w:eastAsia="zh-CN"/>
        </w:rPr>
      </w:pPr>
      <w:r>
        <w:rPr>
          <w:rFonts w:hint="eastAsia" w:ascii="仿宋_GB2312" w:eastAsia="仿宋_GB2312" w:cs="仿宋_GB2312"/>
          <w:b/>
          <w:bCs/>
          <w:kern w:val="0"/>
          <w:sz w:val="32"/>
          <w:szCs w:val="32"/>
          <w:lang w:eastAsia="zh-CN"/>
        </w:rPr>
        <w:t>第四部分：名词解释</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一、财政拨款收入：指市本级财政当年拨付的资金。</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二、事业收入：指事业单位开展专业活动用辅助活动所取得的收入。</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三、经营收入：指事业单位在专业业务活动及辅助活动之外开展非独立核算经营活动取得的收入。</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四、其他收入：指除上述“财政拨款收入”、“事业收入”、“经营收入”等以外的收入。</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五、使用非财政拨款结余：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六、年初结转和结余：指以前年度尚未完成、结转到本年按规定继续使用的资金。</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七、结余分配：指事业单位按规定提取的职工福利基金、事业基金和缴纳的所得税，以及建设单位按规定应交回的基本建设竣工项目结余资金。</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八、年末结转和结余：指本年度或以前年度预算安排、因客观条件发生变化无法按原计划实施，需延迟到以后年度按有关规定继续使用的资金。</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九、基本支出：指为保障机构正常运转、完成日常工作任务而发生的人员支出和公用支出。</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十、项目支出：指在基本支出之外为完成特定行政任务和事业发展目标所发生的支出。</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十一、经营支出：指事业单位在专业业务活动及其辅助活动之外开展非独立核算经营活动发生的支出。</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十二、“三公”经费：纳入市本级财政预决算管理的“三公”经费，是指市本级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十三、机关运行经费：为保障行政单位（含参照公务员法管理的事业）运行用于购买货物和服务的各项资金，包括办公及印刷费、邮电费、差旅费、会议费、福利费、日常维修费、专用材料及一般设备购置费、办公用房物业管理费、公务用车运行维护费以及其他费用。</w:t>
      </w:r>
    </w:p>
    <w:sectPr>
      <w:footerReference r:id="rId3" w:type="default"/>
      <w:pgSz w:w="11906" w:h="16838"/>
      <w:pgMar w:top="1440" w:right="1797" w:bottom="1440" w:left="179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UnicodeMS">
    <w:altName w:val="宋体"/>
    <w:panose1 w:val="00000000000000000000"/>
    <w:charset w:val="86"/>
    <w:family w:val="auto"/>
    <w:pitch w:val="default"/>
    <w:sig w:usb0="00000000" w:usb1="00000000" w:usb2="00000010" w:usb3="00000000" w:csb0="00040000" w:csb1="00000000"/>
  </w:font>
  <w:font w:name="方正小标宋简体">
    <w:altName w:val="黑体"/>
    <w:panose1 w:val="02010601030101010101"/>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sz w:val="30"/>
        <w:szCs w:val="30"/>
      </w:rPr>
    </w:pPr>
    <w:r>
      <w:rPr>
        <w:sz w:val="30"/>
        <w:szCs w:val="30"/>
      </w:rPr>
      <w:fldChar w:fldCharType="begin"/>
    </w:r>
    <w:r>
      <w:rPr>
        <w:rStyle w:val="8"/>
        <w:sz w:val="30"/>
        <w:szCs w:val="30"/>
      </w:rPr>
      <w:instrText xml:space="preserve">PAGE  </w:instrText>
    </w:r>
    <w:r>
      <w:rPr>
        <w:sz w:val="30"/>
        <w:szCs w:val="30"/>
      </w:rPr>
      <w:fldChar w:fldCharType="separate"/>
    </w:r>
    <w:r>
      <w:rPr>
        <w:rStyle w:val="8"/>
        <w:sz w:val="30"/>
        <w:szCs w:val="30"/>
      </w:rPr>
      <w:t>- 1 -</w:t>
    </w:r>
    <w:r>
      <w:rPr>
        <w:sz w:val="30"/>
        <w:szCs w:val="30"/>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DhjNDNkODRjZTUyODY5NDBlZDQxOWMwN2RjODhiODIifQ=="/>
  </w:docVars>
  <w:rsids>
    <w:rsidRoot w:val="4C256E3D"/>
    <w:rsid w:val="00053E73"/>
    <w:rsid w:val="00066CA3"/>
    <w:rsid w:val="000D5841"/>
    <w:rsid w:val="001C4EE4"/>
    <w:rsid w:val="001D7D62"/>
    <w:rsid w:val="002108B1"/>
    <w:rsid w:val="002311E8"/>
    <w:rsid w:val="002631ED"/>
    <w:rsid w:val="002808E0"/>
    <w:rsid w:val="00290EC8"/>
    <w:rsid w:val="00293538"/>
    <w:rsid w:val="00396EC5"/>
    <w:rsid w:val="00471B76"/>
    <w:rsid w:val="0051031A"/>
    <w:rsid w:val="00552275"/>
    <w:rsid w:val="00593490"/>
    <w:rsid w:val="005D751A"/>
    <w:rsid w:val="00634B31"/>
    <w:rsid w:val="00673DF6"/>
    <w:rsid w:val="006C1367"/>
    <w:rsid w:val="00715385"/>
    <w:rsid w:val="0075416C"/>
    <w:rsid w:val="00865F6F"/>
    <w:rsid w:val="009A1B06"/>
    <w:rsid w:val="00A4042D"/>
    <w:rsid w:val="00BF6E33"/>
    <w:rsid w:val="00C6664C"/>
    <w:rsid w:val="00F66C5B"/>
    <w:rsid w:val="00F733D4"/>
    <w:rsid w:val="00F96426"/>
    <w:rsid w:val="012429CF"/>
    <w:rsid w:val="01883901"/>
    <w:rsid w:val="018D09BD"/>
    <w:rsid w:val="01B81850"/>
    <w:rsid w:val="01DD24FC"/>
    <w:rsid w:val="020A2568"/>
    <w:rsid w:val="021A09FD"/>
    <w:rsid w:val="029838ED"/>
    <w:rsid w:val="030C3A20"/>
    <w:rsid w:val="030F42DA"/>
    <w:rsid w:val="03231B33"/>
    <w:rsid w:val="03826887"/>
    <w:rsid w:val="03AD01A4"/>
    <w:rsid w:val="03DF7E09"/>
    <w:rsid w:val="03E93705"/>
    <w:rsid w:val="03FA6D4A"/>
    <w:rsid w:val="045B52FD"/>
    <w:rsid w:val="04724A6E"/>
    <w:rsid w:val="047734F5"/>
    <w:rsid w:val="04EB77A2"/>
    <w:rsid w:val="050E2771"/>
    <w:rsid w:val="05502988"/>
    <w:rsid w:val="05557F9E"/>
    <w:rsid w:val="05926416"/>
    <w:rsid w:val="06623078"/>
    <w:rsid w:val="06CD24E2"/>
    <w:rsid w:val="06F22DC2"/>
    <w:rsid w:val="07110BD5"/>
    <w:rsid w:val="0756648F"/>
    <w:rsid w:val="075E138C"/>
    <w:rsid w:val="07772251"/>
    <w:rsid w:val="07B14D57"/>
    <w:rsid w:val="07B8785D"/>
    <w:rsid w:val="07E143CD"/>
    <w:rsid w:val="07F341CA"/>
    <w:rsid w:val="07F4291F"/>
    <w:rsid w:val="07FE6F31"/>
    <w:rsid w:val="08075052"/>
    <w:rsid w:val="083A1D61"/>
    <w:rsid w:val="08561C73"/>
    <w:rsid w:val="0881692B"/>
    <w:rsid w:val="08DE4D4C"/>
    <w:rsid w:val="0904260E"/>
    <w:rsid w:val="09085AD7"/>
    <w:rsid w:val="09217962"/>
    <w:rsid w:val="09330F29"/>
    <w:rsid w:val="09962C69"/>
    <w:rsid w:val="09A76BCA"/>
    <w:rsid w:val="09BE02A4"/>
    <w:rsid w:val="09FD74B3"/>
    <w:rsid w:val="0A2C794A"/>
    <w:rsid w:val="0A856C30"/>
    <w:rsid w:val="0AA06F94"/>
    <w:rsid w:val="0ABF65E6"/>
    <w:rsid w:val="0AE27405"/>
    <w:rsid w:val="0B0F3D37"/>
    <w:rsid w:val="0B2F0C42"/>
    <w:rsid w:val="0B7C5683"/>
    <w:rsid w:val="0B9E7266"/>
    <w:rsid w:val="0BCD6AE0"/>
    <w:rsid w:val="0C104FD7"/>
    <w:rsid w:val="0C411A85"/>
    <w:rsid w:val="0C670D5F"/>
    <w:rsid w:val="0CC05F8C"/>
    <w:rsid w:val="0CE966D4"/>
    <w:rsid w:val="0D087452"/>
    <w:rsid w:val="0D516DCE"/>
    <w:rsid w:val="0DA86951"/>
    <w:rsid w:val="0DAD3D76"/>
    <w:rsid w:val="0DFF63C6"/>
    <w:rsid w:val="0E074DDF"/>
    <w:rsid w:val="0E2055ED"/>
    <w:rsid w:val="0EA24691"/>
    <w:rsid w:val="0EA578A0"/>
    <w:rsid w:val="0EB7277D"/>
    <w:rsid w:val="0EFA4090"/>
    <w:rsid w:val="0F0E18EA"/>
    <w:rsid w:val="0F4D2EA3"/>
    <w:rsid w:val="0F6752CB"/>
    <w:rsid w:val="0F783207"/>
    <w:rsid w:val="0FC95811"/>
    <w:rsid w:val="0FF00FEF"/>
    <w:rsid w:val="10831EF8"/>
    <w:rsid w:val="108F6A5A"/>
    <w:rsid w:val="10C66FE1"/>
    <w:rsid w:val="10D557A7"/>
    <w:rsid w:val="10E20609"/>
    <w:rsid w:val="10E30523"/>
    <w:rsid w:val="1113476D"/>
    <w:rsid w:val="1118198E"/>
    <w:rsid w:val="111C7A98"/>
    <w:rsid w:val="114011A5"/>
    <w:rsid w:val="11406CB5"/>
    <w:rsid w:val="114F73FA"/>
    <w:rsid w:val="118D6B52"/>
    <w:rsid w:val="11FF26E2"/>
    <w:rsid w:val="120F5188"/>
    <w:rsid w:val="121976AB"/>
    <w:rsid w:val="121D1E44"/>
    <w:rsid w:val="12262671"/>
    <w:rsid w:val="123F4338"/>
    <w:rsid w:val="124204B5"/>
    <w:rsid w:val="126348FF"/>
    <w:rsid w:val="12857E62"/>
    <w:rsid w:val="129B3A1C"/>
    <w:rsid w:val="12A6008B"/>
    <w:rsid w:val="12A83EAE"/>
    <w:rsid w:val="12B74FE3"/>
    <w:rsid w:val="12C95B8F"/>
    <w:rsid w:val="135649E8"/>
    <w:rsid w:val="1356560D"/>
    <w:rsid w:val="138F0B1F"/>
    <w:rsid w:val="13D053C0"/>
    <w:rsid w:val="13D5739C"/>
    <w:rsid w:val="142119EC"/>
    <w:rsid w:val="142676F3"/>
    <w:rsid w:val="145F2D71"/>
    <w:rsid w:val="146C03AC"/>
    <w:rsid w:val="147026FF"/>
    <w:rsid w:val="147C7CD1"/>
    <w:rsid w:val="14E336EA"/>
    <w:rsid w:val="15040223"/>
    <w:rsid w:val="15675C2F"/>
    <w:rsid w:val="15C34129"/>
    <w:rsid w:val="15C85BD1"/>
    <w:rsid w:val="15E21660"/>
    <w:rsid w:val="15F87315"/>
    <w:rsid w:val="15FF4F0D"/>
    <w:rsid w:val="16270D12"/>
    <w:rsid w:val="163A6EF0"/>
    <w:rsid w:val="164C5BCF"/>
    <w:rsid w:val="165A51BF"/>
    <w:rsid w:val="1695392A"/>
    <w:rsid w:val="16B63740"/>
    <w:rsid w:val="16B82628"/>
    <w:rsid w:val="16CB4564"/>
    <w:rsid w:val="16CD5090"/>
    <w:rsid w:val="16CE51C1"/>
    <w:rsid w:val="16DB6457"/>
    <w:rsid w:val="16EF112C"/>
    <w:rsid w:val="17194D75"/>
    <w:rsid w:val="175956CC"/>
    <w:rsid w:val="17A70626"/>
    <w:rsid w:val="17CE35EE"/>
    <w:rsid w:val="18171EF1"/>
    <w:rsid w:val="181B7450"/>
    <w:rsid w:val="182962AB"/>
    <w:rsid w:val="182B1250"/>
    <w:rsid w:val="18365A0D"/>
    <w:rsid w:val="185D0392"/>
    <w:rsid w:val="18D70F9E"/>
    <w:rsid w:val="19166F60"/>
    <w:rsid w:val="19571481"/>
    <w:rsid w:val="196418F4"/>
    <w:rsid w:val="196A6847"/>
    <w:rsid w:val="19835000"/>
    <w:rsid w:val="19B65135"/>
    <w:rsid w:val="19D073EB"/>
    <w:rsid w:val="19E90D9B"/>
    <w:rsid w:val="1A053883"/>
    <w:rsid w:val="1A0821B3"/>
    <w:rsid w:val="1A217907"/>
    <w:rsid w:val="1A2C1275"/>
    <w:rsid w:val="1A313D76"/>
    <w:rsid w:val="1A6E76E0"/>
    <w:rsid w:val="1A7341D9"/>
    <w:rsid w:val="1A9650A4"/>
    <w:rsid w:val="1AB7270D"/>
    <w:rsid w:val="1ABA5040"/>
    <w:rsid w:val="1B304996"/>
    <w:rsid w:val="1B3E51A1"/>
    <w:rsid w:val="1B5B7877"/>
    <w:rsid w:val="1B7B0BA2"/>
    <w:rsid w:val="1B803350"/>
    <w:rsid w:val="1B9A2F7B"/>
    <w:rsid w:val="1BCC7896"/>
    <w:rsid w:val="1BF754B3"/>
    <w:rsid w:val="1C175F2C"/>
    <w:rsid w:val="1C7D584F"/>
    <w:rsid w:val="1CB87AD2"/>
    <w:rsid w:val="1CC31F67"/>
    <w:rsid w:val="1D025890"/>
    <w:rsid w:val="1D1A03CB"/>
    <w:rsid w:val="1D3A1AFC"/>
    <w:rsid w:val="1D62366E"/>
    <w:rsid w:val="1D6347DD"/>
    <w:rsid w:val="1D666A48"/>
    <w:rsid w:val="1DC928BA"/>
    <w:rsid w:val="1E5A164B"/>
    <w:rsid w:val="1ECC2C27"/>
    <w:rsid w:val="1ECE699F"/>
    <w:rsid w:val="1EF22CF6"/>
    <w:rsid w:val="1EF96D1E"/>
    <w:rsid w:val="1F0776F5"/>
    <w:rsid w:val="1F13117C"/>
    <w:rsid w:val="1F2B3400"/>
    <w:rsid w:val="1FD20711"/>
    <w:rsid w:val="1FE02E2E"/>
    <w:rsid w:val="2029483D"/>
    <w:rsid w:val="208E6B6B"/>
    <w:rsid w:val="20A83220"/>
    <w:rsid w:val="20CB266F"/>
    <w:rsid w:val="20D255C9"/>
    <w:rsid w:val="20D31D9A"/>
    <w:rsid w:val="20FB47E7"/>
    <w:rsid w:val="20FB672E"/>
    <w:rsid w:val="21A34005"/>
    <w:rsid w:val="21A70F1A"/>
    <w:rsid w:val="21B31E9C"/>
    <w:rsid w:val="21E9718A"/>
    <w:rsid w:val="21EB4FE0"/>
    <w:rsid w:val="21F4496F"/>
    <w:rsid w:val="21FB01ED"/>
    <w:rsid w:val="22115474"/>
    <w:rsid w:val="22180181"/>
    <w:rsid w:val="221A3776"/>
    <w:rsid w:val="22277733"/>
    <w:rsid w:val="22431452"/>
    <w:rsid w:val="22995516"/>
    <w:rsid w:val="229D7E72"/>
    <w:rsid w:val="22E67CC3"/>
    <w:rsid w:val="22EF0FE9"/>
    <w:rsid w:val="230F0E82"/>
    <w:rsid w:val="23377387"/>
    <w:rsid w:val="23793BBC"/>
    <w:rsid w:val="238503D1"/>
    <w:rsid w:val="23AA14C4"/>
    <w:rsid w:val="243270F8"/>
    <w:rsid w:val="243D1AF9"/>
    <w:rsid w:val="244B310C"/>
    <w:rsid w:val="24663E5E"/>
    <w:rsid w:val="2468737F"/>
    <w:rsid w:val="24861ACA"/>
    <w:rsid w:val="248E1E38"/>
    <w:rsid w:val="2491511F"/>
    <w:rsid w:val="24B708CC"/>
    <w:rsid w:val="24CF0473"/>
    <w:rsid w:val="24D337DC"/>
    <w:rsid w:val="24D81156"/>
    <w:rsid w:val="25280939"/>
    <w:rsid w:val="254257CF"/>
    <w:rsid w:val="25430C36"/>
    <w:rsid w:val="25575AC1"/>
    <w:rsid w:val="256A6BFB"/>
    <w:rsid w:val="25D725DE"/>
    <w:rsid w:val="26062EC3"/>
    <w:rsid w:val="26460DBA"/>
    <w:rsid w:val="265678DB"/>
    <w:rsid w:val="26574FB2"/>
    <w:rsid w:val="26B76965"/>
    <w:rsid w:val="26D74285"/>
    <w:rsid w:val="270B7B1E"/>
    <w:rsid w:val="27565784"/>
    <w:rsid w:val="275E65E5"/>
    <w:rsid w:val="27790ED8"/>
    <w:rsid w:val="277E03B4"/>
    <w:rsid w:val="27C40177"/>
    <w:rsid w:val="27EC2648"/>
    <w:rsid w:val="28045AF5"/>
    <w:rsid w:val="285957C5"/>
    <w:rsid w:val="28AD2335"/>
    <w:rsid w:val="28F26CC9"/>
    <w:rsid w:val="28F92530"/>
    <w:rsid w:val="29567CBD"/>
    <w:rsid w:val="29656D42"/>
    <w:rsid w:val="29865CAE"/>
    <w:rsid w:val="29A61BD7"/>
    <w:rsid w:val="29B90ED0"/>
    <w:rsid w:val="29C664FC"/>
    <w:rsid w:val="29C73A43"/>
    <w:rsid w:val="29CE1F49"/>
    <w:rsid w:val="29F44C41"/>
    <w:rsid w:val="2ADC743D"/>
    <w:rsid w:val="2B16254C"/>
    <w:rsid w:val="2B345DDC"/>
    <w:rsid w:val="2B45448D"/>
    <w:rsid w:val="2B5B68C1"/>
    <w:rsid w:val="2B6F74EB"/>
    <w:rsid w:val="2BC45374"/>
    <w:rsid w:val="2BD76164"/>
    <w:rsid w:val="2BEA0B91"/>
    <w:rsid w:val="2C0743D9"/>
    <w:rsid w:val="2C1C537D"/>
    <w:rsid w:val="2C2926EE"/>
    <w:rsid w:val="2C4219FE"/>
    <w:rsid w:val="2C5B5691"/>
    <w:rsid w:val="2C69557F"/>
    <w:rsid w:val="2C8B242B"/>
    <w:rsid w:val="2C974875"/>
    <w:rsid w:val="2CA041D6"/>
    <w:rsid w:val="2D0143E4"/>
    <w:rsid w:val="2D2047A2"/>
    <w:rsid w:val="2D320A41"/>
    <w:rsid w:val="2D6D3827"/>
    <w:rsid w:val="2D9F016F"/>
    <w:rsid w:val="2DD81342"/>
    <w:rsid w:val="2DDA5441"/>
    <w:rsid w:val="2E166456"/>
    <w:rsid w:val="2E1F500D"/>
    <w:rsid w:val="2E3C3753"/>
    <w:rsid w:val="2E597764"/>
    <w:rsid w:val="2E820847"/>
    <w:rsid w:val="2E8B4D57"/>
    <w:rsid w:val="2E9C42F7"/>
    <w:rsid w:val="2EB10352"/>
    <w:rsid w:val="2F1C38BF"/>
    <w:rsid w:val="2F3960B7"/>
    <w:rsid w:val="2F697F69"/>
    <w:rsid w:val="2F7844DC"/>
    <w:rsid w:val="2F9679A7"/>
    <w:rsid w:val="2F975959"/>
    <w:rsid w:val="2FA87CC8"/>
    <w:rsid w:val="2FAF0736"/>
    <w:rsid w:val="30246FD7"/>
    <w:rsid w:val="30B55019"/>
    <w:rsid w:val="311E47AB"/>
    <w:rsid w:val="315B61CA"/>
    <w:rsid w:val="316C231A"/>
    <w:rsid w:val="318B706D"/>
    <w:rsid w:val="31981057"/>
    <w:rsid w:val="31B54DDA"/>
    <w:rsid w:val="324F2715"/>
    <w:rsid w:val="32D0288E"/>
    <w:rsid w:val="32E072A1"/>
    <w:rsid w:val="336210F0"/>
    <w:rsid w:val="336851BD"/>
    <w:rsid w:val="338F5B5C"/>
    <w:rsid w:val="33A37FA3"/>
    <w:rsid w:val="33A52278"/>
    <w:rsid w:val="33A53B88"/>
    <w:rsid w:val="33CC13E1"/>
    <w:rsid w:val="33D33F41"/>
    <w:rsid w:val="34020F86"/>
    <w:rsid w:val="344352E2"/>
    <w:rsid w:val="34530098"/>
    <w:rsid w:val="34583378"/>
    <w:rsid w:val="34A052A6"/>
    <w:rsid w:val="34A5706F"/>
    <w:rsid w:val="34EC3BCC"/>
    <w:rsid w:val="34F73FBF"/>
    <w:rsid w:val="350E33C4"/>
    <w:rsid w:val="351E53F3"/>
    <w:rsid w:val="3531715A"/>
    <w:rsid w:val="355402F5"/>
    <w:rsid w:val="35596600"/>
    <w:rsid w:val="358E6996"/>
    <w:rsid w:val="35B5692B"/>
    <w:rsid w:val="36050506"/>
    <w:rsid w:val="36C721FA"/>
    <w:rsid w:val="36D7555E"/>
    <w:rsid w:val="36E028EB"/>
    <w:rsid w:val="37203B76"/>
    <w:rsid w:val="37216791"/>
    <w:rsid w:val="374623A2"/>
    <w:rsid w:val="37B1760E"/>
    <w:rsid w:val="37C742FF"/>
    <w:rsid w:val="37C93D50"/>
    <w:rsid w:val="381645AF"/>
    <w:rsid w:val="3848360F"/>
    <w:rsid w:val="385655DC"/>
    <w:rsid w:val="387E5C45"/>
    <w:rsid w:val="38FB43DD"/>
    <w:rsid w:val="391334D5"/>
    <w:rsid w:val="39210CD9"/>
    <w:rsid w:val="392E3A34"/>
    <w:rsid w:val="39483A14"/>
    <w:rsid w:val="39A63F06"/>
    <w:rsid w:val="39B051C8"/>
    <w:rsid w:val="39C94707"/>
    <w:rsid w:val="39CC413E"/>
    <w:rsid w:val="39E62ED1"/>
    <w:rsid w:val="3A046F91"/>
    <w:rsid w:val="3A233939"/>
    <w:rsid w:val="3A2A2F94"/>
    <w:rsid w:val="3A2B2B31"/>
    <w:rsid w:val="3A4B4EF0"/>
    <w:rsid w:val="3A557B1D"/>
    <w:rsid w:val="3A632EB1"/>
    <w:rsid w:val="3A667F7C"/>
    <w:rsid w:val="3A6E4A31"/>
    <w:rsid w:val="3A90258F"/>
    <w:rsid w:val="3A9C399E"/>
    <w:rsid w:val="3AB23F42"/>
    <w:rsid w:val="3AF15ABD"/>
    <w:rsid w:val="3AFE51EF"/>
    <w:rsid w:val="3B3E64B9"/>
    <w:rsid w:val="3B6F069F"/>
    <w:rsid w:val="3C412FB4"/>
    <w:rsid w:val="3CD64F45"/>
    <w:rsid w:val="3CEB25CF"/>
    <w:rsid w:val="3D0B6BD5"/>
    <w:rsid w:val="3D6805FB"/>
    <w:rsid w:val="3D6E0FAC"/>
    <w:rsid w:val="3D915293"/>
    <w:rsid w:val="3DBB04D0"/>
    <w:rsid w:val="3DC079A3"/>
    <w:rsid w:val="3DD1570D"/>
    <w:rsid w:val="3DD31485"/>
    <w:rsid w:val="3E4D7489"/>
    <w:rsid w:val="3E833187"/>
    <w:rsid w:val="3E91465F"/>
    <w:rsid w:val="3E99430E"/>
    <w:rsid w:val="3E9B4698"/>
    <w:rsid w:val="3EA97ECC"/>
    <w:rsid w:val="3ED1439F"/>
    <w:rsid w:val="3ED86169"/>
    <w:rsid w:val="3F176140"/>
    <w:rsid w:val="3F3E1275"/>
    <w:rsid w:val="3F627826"/>
    <w:rsid w:val="3FC027A5"/>
    <w:rsid w:val="3FF8219A"/>
    <w:rsid w:val="404E573A"/>
    <w:rsid w:val="40747150"/>
    <w:rsid w:val="408F54DB"/>
    <w:rsid w:val="409C1494"/>
    <w:rsid w:val="40BC6B48"/>
    <w:rsid w:val="40CA790B"/>
    <w:rsid w:val="40CF75CA"/>
    <w:rsid w:val="410E4FCC"/>
    <w:rsid w:val="41401527"/>
    <w:rsid w:val="419125F7"/>
    <w:rsid w:val="41C07F72"/>
    <w:rsid w:val="420821A7"/>
    <w:rsid w:val="42672AE3"/>
    <w:rsid w:val="42871914"/>
    <w:rsid w:val="42A467A2"/>
    <w:rsid w:val="42CD2946"/>
    <w:rsid w:val="42D56D8F"/>
    <w:rsid w:val="43366FB3"/>
    <w:rsid w:val="433A39F6"/>
    <w:rsid w:val="437A184F"/>
    <w:rsid w:val="438C0E6B"/>
    <w:rsid w:val="438C2802"/>
    <w:rsid w:val="43EB7C16"/>
    <w:rsid w:val="44026F1A"/>
    <w:rsid w:val="441676D3"/>
    <w:rsid w:val="44500BF5"/>
    <w:rsid w:val="448C2F37"/>
    <w:rsid w:val="44A27E03"/>
    <w:rsid w:val="44CB3B1B"/>
    <w:rsid w:val="44CC2916"/>
    <w:rsid w:val="44E001FA"/>
    <w:rsid w:val="44ED7FE5"/>
    <w:rsid w:val="45321187"/>
    <w:rsid w:val="453D2C3B"/>
    <w:rsid w:val="45591D46"/>
    <w:rsid w:val="45912351"/>
    <w:rsid w:val="45AA51C1"/>
    <w:rsid w:val="45D548B1"/>
    <w:rsid w:val="45DB1A69"/>
    <w:rsid w:val="462121E3"/>
    <w:rsid w:val="463D1604"/>
    <w:rsid w:val="464D3052"/>
    <w:rsid w:val="468A3BF9"/>
    <w:rsid w:val="46CE6DE3"/>
    <w:rsid w:val="46F70311"/>
    <w:rsid w:val="46FD7BD1"/>
    <w:rsid w:val="473B694B"/>
    <w:rsid w:val="47A8795E"/>
    <w:rsid w:val="47AE1D22"/>
    <w:rsid w:val="47DF07F9"/>
    <w:rsid w:val="47F248F9"/>
    <w:rsid w:val="47FA1A8C"/>
    <w:rsid w:val="480756DE"/>
    <w:rsid w:val="481D7FF7"/>
    <w:rsid w:val="483346DB"/>
    <w:rsid w:val="48374EDC"/>
    <w:rsid w:val="484A4BB0"/>
    <w:rsid w:val="48934C8A"/>
    <w:rsid w:val="48942C59"/>
    <w:rsid w:val="48BA659D"/>
    <w:rsid w:val="492E3101"/>
    <w:rsid w:val="494349AE"/>
    <w:rsid w:val="49686FE1"/>
    <w:rsid w:val="49C36851"/>
    <w:rsid w:val="4A02381D"/>
    <w:rsid w:val="4A060968"/>
    <w:rsid w:val="4A2F3EE7"/>
    <w:rsid w:val="4A91694F"/>
    <w:rsid w:val="4AF03C67"/>
    <w:rsid w:val="4B775C9B"/>
    <w:rsid w:val="4B9009B5"/>
    <w:rsid w:val="4BA36B0E"/>
    <w:rsid w:val="4BB1718C"/>
    <w:rsid w:val="4BE304B3"/>
    <w:rsid w:val="4BF11A5C"/>
    <w:rsid w:val="4C256E3D"/>
    <w:rsid w:val="4C67640A"/>
    <w:rsid w:val="4CA706AC"/>
    <w:rsid w:val="4CB52F0F"/>
    <w:rsid w:val="4CFF02BF"/>
    <w:rsid w:val="4D295350"/>
    <w:rsid w:val="4D2A444B"/>
    <w:rsid w:val="4D384097"/>
    <w:rsid w:val="4D3E0700"/>
    <w:rsid w:val="4D5B2DE2"/>
    <w:rsid w:val="4D77685C"/>
    <w:rsid w:val="4E032729"/>
    <w:rsid w:val="4E481A1B"/>
    <w:rsid w:val="4E5136F0"/>
    <w:rsid w:val="4E67269F"/>
    <w:rsid w:val="4E7903B6"/>
    <w:rsid w:val="4EE76B20"/>
    <w:rsid w:val="4EF56647"/>
    <w:rsid w:val="4F064C9D"/>
    <w:rsid w:val="4F10289C"/>
    <w:rsid w:val="4F8824AD"/>
    <w:rsid w:val="4F96027C"/>
    <w:rsid w:val="4FAD5AB8"/>
    <w:rsid w:val="4FB706EC"/>
    <w:rsid w:val="50031757"/>
    <w:rsid w:val="500D7FDC"/>
    <w:rsid w:val="50681F00"/>
    <w:rsid w:val="509245F6"/>
    <w:rsid w:val="50A2159F"/>
    <w:rsid w:val="50FE6D07"/>
    <w:rsid w:val="510702CC"/>
    <w:rsid w:val="511468C3"/>
    <w:rsid w:val="513E19F2"/>
    <w:rsid w:val="518F540D"/>
    <w:rsid w:val="51A37F71"/>
    <w:rsid w:val="51A9215F"/>
    <w:rsid w:val="51C727E3"/>
    <w:rsid w:val="51D231B3"/>
    <w:rsid w:val="52036385"/>
    <w:rsid w:val="52353CFE"/>
    <w:rsid w:val="52756880"/>
    <w:rsid w:val="52C6254C"/>
    <w:rsid w:val="52CE1BE0"/>
    <w:rsid w:val="53050CBC"/>
    <w:rsid w:val="532F1F9A"/>
    <w:rsid w:val="53604495"/>
    <w:rsid w:val="5397660A"/>
    <w:rsid w:val="53AC65A8"/>
    <w:rsid w:val="53D67A1E"/>
    <w:rsid w:val="53E61ABA"/>
    <w:rsid w:val="54421D89"/>
    <w:rsid w:val="544E00BC"/>
    <w:rsid w:val="547215A0"/>
    <w:rsid w:val="54E1529D"/>
    <w:rsid w:val="54F664EA"/>
    <w:rsid w:val="5503044A"/>
    <w:rsid w:val="55075368"/>
    <w:rsid w:val="550A5A33"/>
    <w:rsid w:val="55472A2C"/>
    <w:rsid w:val="55556BA2"/>
    <w:rsid w:val="5563538C"/>
    <w:rsid w:val="556763F9"/>
    <w:rsid w:val="559B2D78"/>
    <w:rsid w:val="55C25436"/>
    <w:rsid w:val="55DC22F6"/>
    <w:rsid w:val="55DF12DC"/>
    <w:rsid w:val="55E86A08"/>
    <w:rsid w:val="56384123"/>
    <w:rsid w:val="563A0830"/>
    <w:rsid w:val="56486B81"/>
    <w:rsid w:val="569D0F3C"/>
    <w:rsid w:val="56C615F8"/>
    <w:rsid w:val="56E214CC"/>
    <w:rsid w:val="57013D70"/>
    <w:rsid w:val="570F62F3"/>
    <w:rsid w:val="571D4704"/>
    <w:rsid w:val="5780407B"/>
    <w:rsid w:val="57AF2B0B"/>
    <w:rsid w:val="57B85D90"/>
    <w:rsid w:val="57C12D81"/>
    <w:rsid w:val="57DB6ACC"/>
    <w:rsid w:val="57EF13D0"/>
    <w:rsid w:val="581E7EFF"/>
    <w:rsid w:val="583F0B59"/>
    <w:rsid w:val="58410FB0"/>
    <w:rsid w:val="5847723B"/>
    <w:rsid w:val="5897676A"/>
    <w:rsid w:val="58CF2798"/>
    <w:rsid w:val="58E81D8F"/>
    <w:rsid w:val="590B4EF9"/>
    <w:rsid w:val="593746D3"/>
    <w:rsid w:val="593A1B73"/>
    <w:rsid w:val="59785FB8"/>
    <w:rsid w:val="59A321FB"/>
    <w:rsid w:val="59B54E40"/>
    <w:rsid w:val="5AD82CDC"/>
    <w:rsid w:val="5AF5778B"/>
    <w:rsid w:val="5B2B33A6"/>
    <w:rsid w:val="5B3442C7"/>
    <w:rsid w:val="5B973EA3"/>
    <w:rsid w:val="5BCE6989"/>
    <w:rsid w:val="5BDA5B01"/>
    <w:rsid w:val="5BDE6C6B"/>
    <w:rsid w:val="5C0B5ADB"/>
    <w:rsid w:val="5C725C94"/>
    <w:rsid w:val="5C8C4EB0"/>
    <w:rsid w:val="5CA36F0F"/>
    <w:rsid w:val="5CA42512"/>
    <w:rsid w:val="5CBF559E"/>
    <w:rsid w:val="5CDD0DB5"/>
    <w:rsid w:val="5CE13766"/>
    <w:rsid w:val="5D1D22C5"/>
    <w:rsid w:val="5D2667F5"/>
    <w:rsid w:val="5D283ED1"/>
    <w:rsid w:val="5D660083"/>
    <w:rsid w:val="5DCE3B07"/>
    <w:rsid w:val="5DD0112E"/>
    <w:rsid w:val="5DF873E8"/>
    <w:rsid w:val="5E322D3C"/>
    <w:rsid w:val="5E4F53CA"/>
    <w:rsid w:val="5E995A3E"/>
    <w:rsid w:val="5EC24ED2"/>
    <w:rsid w:val="5EED770D"/>
    <w:rsid w:val="5EFD0E9F"/>
    <w:rsid w:val="5F1C13A1"/>
    <w:rsid w:val="5F2B6F9C"/>
    <w:rsid w:val="5F4D1485"/>
    <w:rsid w:val="5F743144"/>
    <w:rsid w:val="5F824661"/>
    <w:rsid w:val="5FA32F55"/>
    <w:rsid w:val="5FB8795D"/>
    <w:rsid w:val="5FC54ED5"/>
    <w:rsid w:val="602B0D84"/>
    <w:rsid w:val="6057789C"/>
    <w:rsid w:val="605D208E"/>
    <w:rsid w:val="609A4F4C"/>
    <w:rsid w:val="60CD2082"/>
    <w:rsid w:val="60F065EA"/>
    <w:rsid w:val="611E349A"/>
    <w:rsid w:val="61450556"/>
    <w:rsid w:val="616C5A49"/>
    <w:rsid w:val="6185405E"/>
    <w:rsid w:val="61F730E4"/>
    <w:rsid w:val="62163194"/>
    <w:rsid w:val="624D024D"/>
    <w:rsid w:val="6278743F"/>
    <w:rsid w:val="62B5543C"/>
    <w:rsid w:val="62B8502A"/>
    <w:rsid w:val="62C54F90"/>
    <w:rsid w:val="62FA09B4"/>
    <w:rsid w:val="634D356F"/>
    <w:rsid w:val="63903B99"/>
    <w:rsid w:val="639318CD"/>
    <w:rsid w:val="63AD4290"/>
    <w:rsid w:val="63C87F2B"/>
    <w:rsid w:val="63FC70D8"/>
    <w:rsid w:val="640D03F6"/>
    <w:rsid w:val="641F5CF2"/>
    <w:rsid w:val="64292D35"/>
    <w:rsid w:val="644C332E"/>
    <w:rsid w:val="648D6947"/>
    <w:rsid w:val="649B5496"/>
    <w:rsid w:val="64CF7C2A"/>
    <w:rsid w:val="650E086A"/>
    <w:rsid w:val="651153BE"/>
    <w:rsid w:val="65313143"/>
    <w:rsid w:val="65C050C6"/>
    <w:rsid w:val="65C804CA"/>
    <w:rsid w:val="65D5198E"/>
    <w:rsid w:val="66344907"/>
    <w:rsid w:val="66462042"/>
    <w:rsid w:val="665E24E3"/>
    <w:rsid w:val="666A4020"/>
    <w:rsid w:val="66A83CDB"/>
    <w:rsid w:val="66AD46B9"/>
    <w:rsid w:val="66CF0999"/>
    <w:rsid w:val="67571E81"/>
    <w:rsid w:val="676254A4"/>
    <w:rsid w:val="676B00C2"/>
    <w:rsid w:val="67831F5C"/>
    <w:rsid w:val="67FA5636"/>
    <w:rsid w:val="68045FAD"/>
    <w:rsid w:val="681C0943"/>
    <w:rsid w:val="68235932"/>
    <w:rsid w:val="68A5389A"/>
    <w:rsid w:val="68CC39ED"/>
    <w:rsid w:val="68D4264D"/>
    <w:rsid w:val="68D511B8"/>
    <w:rsid w:val="68F465CF"/>
    <w:rsid w:val="691C1C20"/>
    <w:rsid w:val="69391502"/>
    <w:rsid w:val="69676D44"/>
    <w:rsid w:val="698A2A90"/>
    <w:rsid w:val="69AC0C58"/>
    <w:rsid w:val="69E7283D"/>
    <w:rsid w:val="6A265EE8"/>
    <w:rsid w:val="6A5F0B0B"/>
    <w:rsid w:val="6A9F17ED"/>
    <w:rsid w:val="6AB300F5"/>
    <w:rsid w:val="6ABE0C43"/>
    <w:rsid w:val="6AC06444"/>
    <w:rsid w:val="6B090C2D"/>
    <w:rsid w:val="6B334E14"/>
    <w:rsid w:val="6B5873C5"/>
    <w:rsid w:val="6B6C68F1"/>
    <w:rsid w:val="6B7632CC"/>
    <w:rsid w:val="6BAA0708"/>
    <w:rsid w:val="6BFE0F8C"/>
    <w:rsid w:val="6C327B3B"/>
    <w:rsid w:val="6C3B62C3"/>
    <w:rsid w:val="6C802F20"/>
    <w:rsid w:val="6CA5277D"/>
    <w:rsid w:val="6CB542C8"/>
    <w:rsid w:val="6CB71DEE"/>
    <w:rsid w:val="6CD02EB0"/>
    <w:rsid w:val="6D1A237D"/>
    <w:rsid w:val="6D686492"/>
    <w:rsid w:val="6D7568EB"/>
    <w:rsid w:val="6D984E0E"/>
    <w:rsid w:val="6D9E4D5C"/>
    <w:rsid w:val="6DDC5607"/>
    <w:rsid w:val="6DDF7425"/>
    <w:rsid w:val="6DEB44AA"/>
    <w:rsid w:val="6E1B45FE"/>
    <w:rsid w:val="6E24531F"/>
    <w:rsid w:val="6EFA4214"/>
    <w:rsid w:val="6F4A51A8"/>
    <w:rsid w:val="6F505F2A"/>
    <w:rsid w:val="6FA04DBB"/>
    <w:rsid w:val="6FAC23FE"/>
    <w:rsid w:val="6FEE1FCA"/>
    <w:rsid w:val="702932C7"/>
    <w:rsid w:val="70AE4AC4"/>
    <w:rsid w:val="70FA4895"/>
    <w:rsid w:val="71101112"/>
    <w:rsid w:val="71174061"/>
    <w:rsid w:val="71246F9A"/>
    <w:rsid w:val="718524BB"/>
    <w:rsid w:val="718A4B06"/>
    <w:rsid w:val="718C4D82"/>
    <w:rsid w:val="72064B6E"/>
    <w:rsid w:val="725F44B4"/>
    <w:rsid w:val="7271413D"/>
    <w:rsid w:val="727B3DF0"/>
    <w:rsid w:val="7285473C"/>
    <w:rsid w:val="72906134"/>
    <w:rsid w:val="72B87DB7"/>
    <w:rsid w:val="72EB481A"/>
    <w:rsid w:val="73386C49"/>
    <w:rsid w:val="733A19B1"/>
    <w:rsid w:val="739C277B"/>
    <w:rsid w:val="739E5AB6"/>
    <w:rsid w:val="73CD0982"/>
    <w:rsid w:val="73D6524F"/>
    <w:rsid w:val="73E3796C"/>
    <w:rsid w:val="73F12089"/>
    <w:rsid w:val="73F73418"/>
    <w:rsid w:val="7413559F"/>
    <w:rsid w:val="74590BD5"/>
    <w:rsid w:val="74B135C7"/>
    <w:rsid w:val="74D70BCA"/>
    <w:rsid w:val="74FA4F6E"/>
    <w:rsid w:val="750A1CA2"/>
    <w:rsid w:val="751A6FA8"/>
    <w:rsid w:val="7533222E"/>
    <w:rsid w:val="75422471"/>
    <w:rsid w:val="75481ADD"/>
    <w:rsid w:val="754E4555"/>
    <w:rsid w:val="755D4B73"/>
    <w:rsid w:val="75B26D71"/>
    <w:rsid w:val="75EE0C3D"/>
    <w:rsid w:val="761B3739"/>
    <w:rsid w:val="764319D1"/>
    <w:rsid w:val="76671C70"/>
    <w:rsid w:val="76843A93"/>
    <w:rsid w:val="76C95C2C"/>
    <w:rsid w:val="76F15BBF"/>
    <w:rsid w:val="772023AE"/>
    <w:rsid w:val="774626EC"/>
    <w:rsid w:val="774812A8"/>
    <w:rsid w:val="77897621"/>
    <w:rsid w:val="77AF64E3"/>
    <w:rsid w:val="77ED2B68"/>
    <w:rsid w:val="78155E4C"/>
    <w:rsid w:val="78240345"/>
    <w:rsid w:val="78751ECA"/>
    <w:rsid w:val="78772AF5"/>
    <w:rsid w:val="79497D7E"/>
    <w:rsid w:val="796072F5"/>
    <w:rsid w:val="798B5490"/>
    <w:rsid w:val="79C417C3"/>
    <w:rsid w:val="79C630A1"/>
    <w:rsid w:val="79F428CC"/>
    <w:rsid w:val="79F90076"/>
    <w:rsid w:val="7A1151B0"/>
    <w:rsid w:val="7A4F7BFE"/>
    <w:rsid w:val="7A5A7428"/>
    <w:rsid w:val="7A650E37"/>
    <w:rsid w:val="7A6E7058"/>
    <w:rsid w:val="7A8B1BC8"/>
    <w:rsid w:val="7AAA283A"/>
    <w:rsid w:val="7AE85868"/>
    <w:rsid w:val="7AFC76ED"/>
    <w:rsid w:val="7B02692A"/>
    <w:rsid w:val="7B2B4F1E"/>
    <w:rsid w:val="7B402CBA"/>
    <w:rsid w:val="7B591869"/>
    <w:rsid w:val="7B6A4AB5"/>
    <w:rsid w:val="7B772AEB"/>
    <w:rsid w:val="7B9D14FB"/>
    <w:rsid w:val="7BD51C58"/>
    <w:rsid w:val="7BD57F1A"/>
    <w:rsid w:val="7BF3250D"/>
    <w:rsid w:val="7C152CAD"/>
    <w:rsid w:val="7C1977B6"/>
    <w:rsid w:val="7C6E40A4"/>
    <w:rsid w:val="7CA331DB"/>
    <w:rsid w:val="7CFC460C"/>
    <w:rsid w:val="7D0E396F"/>
    <w:rsid w:val="7D553405"/>
    <w:rsid w:val="7D6B24DA"/>
    <w:rsid w:val="7DCC2BB0"/>
    <w:rsid w:val="7DDA77B6"/>
    <w:rsid w:val="7DE859ED"/>
    <w:rsid w:val="7DEF0220"/>
    <w:rsid w:val="7E1A042F"/>
    <w:rsid w:val="7E526B6F"/>
    <w:rsid w:val="7E551467"/>
    <w:rsid w:val="7E5955D5"/>
    <w:rsid w:val="7E600829"/>
    <w:rsid w:val="7E617E0B"/>
    <w:rsid w:val="7E6D40BC"/>
    <w:rsid w:val="7EA206A2"/>
    <w:rsid w:val="7EAE7E54"/>
    <w:rsid w:val="7EFE2B2B"/>
    <w:rsid w:val="7F184274"/>
    <w:rsid w:val="7F821DC4"/>
    <w:rsid w:val="7F99710E"/>
    <w:rsid w:val="7FAC7419"/>
    <w:rsid w:val="7FCF26F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8">
    <w:name w:val="page number"/>
    <w:basedOn w:val="7"/>
    <w:qFormat/>
    <w:uiPriority w:val="0"/>
  </w:style>
  <w:style w:type="character" w:customStyle="1" w:styleId="9">
    <w:name w:val="批注框文本 Char"/>
    <w:basedOn w:val="7"/>
    <w:link w:val="2"/>
    <w:qFormat/>
    <w:uiPriority w:val="0"/>
    <w:rPr>
      <w:kern w:val="2"/>
      <w:sz w:val="18"/>
      <w:szCs w:val="18"/>
    </w:rPr>
  </w:style>
  <w:style w:type="character" w:customStyle="1" w:styleId="10">
    <w:name w:val="font11"/>
    <w:basedOn w:val="7"/>
    <w:qFormat/>
    <w:uiPriority w:val="0"/>
    <w:rPr>
      <w:rFonts w:hint="eastAsia" w:ascii="宋体" w:hAnsi="宋体" w:eastAsia="宋体" w:cs="宋体"/>
      <w:color w:val="000000"/>
      <w:sz w:val="22"/>
      <w:szCs w:val="22"/>
      <w:u w:val="none"/>
    </w:rPr>
  </w:style>
  <w:style w:type="character" w:customStyle="1" w:styleId="11">
    <w:name w:val="font01"/>
    <w:basedOn w:val="7"/>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12</Pages>
  <Words>4782</Words>
  <Characters>5379</Characters>
  <Lines>39</Lines>
  <Paragraphs>11</Paragraphs>
  <TotalTime>1</TotalTime>
  <ScaleCrop>false</ScaleCrop>
  <LinksUpToDate>false</LinksUpToDate>
  <CharactersWithSpaces>5388</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2022-08-01T07:55:00Z</dcterms:created>
  <dc:creator>陈冬雪</dc:creator>
  <cp:lastModifiedBy>哒哒陳</cp:lastModifiedBy>
  <cp:lastPrinted>2021-07-07T01:10:00Z</cp:lastPrinted>
  <dcterms:modified xsi:type="dcterms:W3CDTF">2022-09-19T03:43:52Z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C6D540C8938D48E293CCC654E4A9D12E</vt:lpwstr>
  </property>
</Properties>
</file>