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cs="ArialUnicodeMS"/>
          <w:kern w:val="0"/>
          <w:sz w:val="32"/>
          <w:szCs w:val="32"/>
        </w:rPr>
      </w:pPr>
    </w:p>
    <w:p>
      <w:pPr>
        <w:spacing w:line="560" w:lineRule="exact"/>
        <w:rPr>
          <w:rFonts w:ascii="黑体" w:eastAsia="黑体" w:cs="ArialUnicodeMS"/>
          <w:kern w:val="0"/>
          <w:sz w:val="72"/>
          <w:szCs w:val="72"/>
        </w:rPr>
      </w:pPr>
    </w:p>
    <w:p>
      <w:pPr>
        <w:spacing w:line="560" w:lineRule="exact"/>
        <w:rPr>
          <w:rFonts w:hint="eastAsia" w:ascii="黑体" w:eastAsia="黑体" w:cs="ArialUnicodeMS"/>
          <w:kern w:val="0"/>
          <w:sz w:val="72"/>
          <w:szCs w:val="72"/>
        </w:rPr>
      </w:pPr>
    </w:p>
    <w:p>
      <w:pPr>
        <w:spacing w:line="560" w:lineRule="exact"/>
        <w:rPr>
          <w:rFonts w:hint="eastAsia" w:ascii="黑体" w:eastAsia="黑体" w:cs="ArialUnicodeMS"/>
          <w:kern w:val="0"/>
          <w:sz w:val="72"/>
          <w:szCs w:val="72"/>
        </w:rPr>
      </w:pPr>
    </w:p>
    <w:p>
      <w:pPr>
        <w:spacing w:line="560" w:lineRule="exact"/>
        <w:rPr>
          <w:rFonts w:hint="eastAsia" w:ascii="黑体" w:eastAsia="黑体" w:cs="ArialUnicodeMS"/>
          <w:kern w:val="0"/>
          <w:sz w:val="72"/>
          <w:szCs w:val="72"/>
        </w:rPr>
      </w:pPr>
    </w:p>
    <w:p>
      <w:pPr>
        <w:spacing w:line="560" w:lineRule="exact"/>
        <w:rPr>
          <w:rFonts w:hint="eastAsia" w:ascii="黑体" w:eastAsia="黑体" w:cs="ArialUnicodeMS"/>
          <w:kern w:val="0"/>
          <w:sz w:val="72"/>
          <w:szCs w:val="72"/>
        </w:rPr>
      </w:pPr>
    </w:p>
    <w:p>
      <w:pPr>
        <w:spacing w:line="560" w:lineRule="exact"/>
        <w:rPr>
          <w:rFonts w:ascii="黑体" w:eastAsia="黑体" w:cs="ArialUnicodeMS"/>
          <w:kern w:val="0"/>
          <w:sz w:val="72"/>
          <w:szCs w:val="72"/>
        </w:rPr>
      </w:pPr>
    </w:p>
    <w:p>
      <w:pPr>
        <w:spacing w:line="560" w:lineRule="exact"/>
        <w:jc w:val="center"/>
        <w:rPr>
          <w:rFonts w:ascii="黑体" w:hAnsi="黑体" w:eastAsia="黑体"/>
          <w:bCs/>
          <w:color w:val="000000"/>
          <w:sz w:val="52"/>
          <w:szCs w:val="52"/>
        </w:rPr>
      </w:pPr>
      <w:r>
        <w:rPr>
          <w:rFonts w:hint="eastAsia" w:ascii="黑体" w:eastAsia="黑体" w:cs="ArialUnicodeMS"/>
          <w:kern w:val="0"/>
          <w:sz w:val="52"/>
          <w:szCs w:val="52"/>
        </w:rPr>
        <w:t>柳州市不动产登记中心</w:t>
      </w:r>
    </w:p>
    <w:p>
      <w:pPr>
        <w:spacing w:line="560" w:lineRule="exact"/>
        <w:jc w:val="center"/>
        <w:rPr>
          <w:rFonts w:ascii="黑体" w:eastAsia="黑体" w:cs="ArialUnicodeMS"/>
          <w:kern w:val="0"/>
          <w:sz w:val="52"/>
          <w:szCs w:val="52"/>
        </w:rPr>
      </w:pPr>
      <w:r>
        <w:rPr>
          <w:rFonts w:hint="eastAsia" w:ascii="黑体" w:eastAsia="黑体"/>
          <w:kern w:val="0"/>
          <w:sz w:val="52"/>
          <w:szCs w:val="52"/>
        </w:rPr>
        <w:t>2021</w:t>
      </w:r>
      <w:r>
        <w:rPr>
          <w:rFonts w:hint="eastAsia" w:ascii="黑体" w:eastAsia="黑体" w:cs="ArialUnicodeMS"/>
          <w:kern w:val="0"/>
          <w:sz w:val="52"/>
          <w:szCs w:val="52"/>
        </w:rPr>
        <w:t>年度单位决算</w:t>
      </w:r>
    </w:p>
    <w:p>
      <w:pPr>
        <w:spacing w:line="560" w:lineRule="exact"/>
        <w:rPr>
          <w:rFonts w:ascii="ArialUnicodeMS" w:eastAsia="ArialUnicodeMS" w:cs="ArialUnicodeMS"/>
          <w:kern w:val="0"/>
          <w:sz w:val="84"/>
          <w:szCs w:val="84"/>
        </w:rPr>
      </w:pPr>
    </w:p>
    <w:p>
      <w:pPr>
        <w:spacing w:line="560" w:lineRule="exact"/>
        <w:rPr>
          <w:rFonts w:ascii="ArialUnicodeMS" w:eastAsia="ArialUnicodeMS" w:cs="ArialUnicodeMS"/>
          <w:kern w:val="0"/>
          <w:sz w:val="84"/>
          <w:szCs w:val="84"/>
        </w:rPr>
      </w:pPr>
    </w:p>
    <w:p>
      <w:pPr>
        <w:spacing w:line="560" w:lineRule="exact"/>
        <w:rPr>
          <w:rFonts w:ascii="ArialUnicodeMS" w:eastAsia="ArialUnicodeMS" w:cs="ArialUnicodeMS"/>
          <w:kern w:val="0"/>
          <w:sz w:val="84"/>
          <w:szCs w:val="84"/>
        </w:rPr>
      </w:pPr>
    </w:p>
    <w:p>
      <w:pPr>
        <w:spacing w:line="560" w:lineRule="exact"/>
        <w:rPr>
          <w:rFonts w:ascii="ArialUnicodeMS" w:eastAsia="ArialUnicodeMS" w:cs="ArialUnicodeMS"/>
          <w:kern w:val="0"/>
          <w:sz w:val="84"/>
          <w:szCs w:val="84"/>
        </w:rPr>
      </w:pPr>
    </w:p>
    <w:p>
      <w:pPr>
        <w:spacing w:line="560" w:lineRule="exact"/>
        <w:rPr>
          <w:rFonts w:hint="eastAsia" w:ascii="ArialUnicodeMS" w:eastAsia="ArialUnicodeMS" w:cs="ArialUnicodeMS"/>
          <w:kern w:val="0"/>
          <w:sz w:val="84"/>
          <w:szCs w:val="84"/>
        </w:rPr>
      </w:pPr>
    </w:p>
    <w:p>
      <w:pPr>
        <w:spacing w:line="560" w:lineRule="exact"/>
        <w:rPr>
          <w:rFonts w:hint="eastAsia" w:ascii="ArialUnicodeMS" w:eastAsia="ArialUnicodeMS" w:cs="ArialUnicodeMS"/>
          <w:kern w:val="0"/>
          <w:sz w:val="84"/>
          <w:szCs w:val="84"/>
        </w:rPr>
      </w:pPr>
    </w:p>
    <w:p>
      <w:pPr>
        <w:spacing w:line="560" w:lineRule="exact"/>
        <w:rPr>
          <w:rFonts w:hint="eastAsia" w:ascii="ArialUnicodeMS" w:eastAsia="ArialUnicodeMS" w:cs="ArialUnicodeMS"/>
          <w:kern w:val="0"/>
          <w:sz w:val="84"/>
          <w:szCs w:val="84"/>
        </w:rPr>
      </w:pPr>
    </w:p>
    <w:p>
      <w:pPr>
        <w:spacing w:line="560" w:lineRule="exact"/>
        <w:rPr>
          <w:rFonts w:hint="eastAsia" w:ascii="ArialUnicodeMS" w:eastAsia="ArialUnicodeMS" w:cs="ArialUnicodeMS"/>
          <w:kern w:val="0"/>
          <w:sz w:val="84"/>
          <w:szCs w:val="84"/>
        </w:rPr>
      </w:pPr>
    </w:p>
    <w:p>
      <w:pPr>
        <w:spacing w:line="560" w:lineRule="exact"/>
        <w:rPr>
          <w:rFonts w:hint="eastAsia" w:ascii="ArialUnicodeMS" w:eastAsia="ArialUnicodeMS" w:cs="ArialUnicodeMS"/>
          <w:kern w:val="0"/>
          <w:sz w:val="84"/>
          <w:szCs w:val="84"/>
        </w:rPr>
      </w:pPr>
    </w:p>
    <w:p>
      <w:pPr>
        <w:spacing w:line="560" w:lineRule="exact"/>
        <w:rPr>
          <w:rFonts w:hint="eastAsia" w:ascii="ArialUnicodeMS" w:eastAsia="ArialUnicodeMS" w:cs="ArialUnicodeMS"/>
          <w:kern w:val="0"/>
          <w:sz w:val="84"/>
          <w:szCs w:val="84"/>
        </w:rPr>
      </w:pPr>
    </w:p>
    <w:p>
      <w:pPr>
        <w:spacing w:line="560" w:lineRule="exact"/>
        <w:rPr>
          <w:rFonts w:hint="eastAsia" w:ascii="ArialUnicodeMS" w:eastAsia="ArialUnicodeMS" w:cs="ArialUnicodeMS"/>
          <w:kern w:val="0"/>
          <w:sz w:val="84"/>
          <w:szCs w:val="84"/>
        </w:rPr>
      </w:pPr>
    </w:p>
    <w:p>
      <w:pPr>
        <w:spacing w:line="560" w:lineRule="exact"/>
        <w:rPr>
          <w:rFonts w:ascii="ArialUnicodeMS" w:eastAsia="ArialUnicodeMS" w:cs="ArialUnicodeMS"/>
          <w:kern w:val="0"/>
          <w:sz w:val="84"/>
          <w:szCs w:val="84"/>
        </w:rPr>
      </w:pPr>
    </w:p>
    <w:p>
      <w:pPr>
        <w:spacing w:line="560" w:lineRule="exact"/>
        <w:rPr>
          <w:rFonts w:ascii="ArialUnicodeMS" w:eastAsia="ArialUnicodeMS" w:cs="ArialUnicodeMS"/>
          <w:kern w:val="0"/>
          <w:sz w:val="84"/>
          <w:szCs w:val="84"/>
        </w:rPr>
      </w:pPr>
    </w:p>
    <w:p>
      <w:pPr>
        <w:spacing w:line="560" w:lineRule="exact"/>
        <w:rPr>
          <w:rFonts w:ascii="ArialUnicodeMS" w:eastAsia="ArialUnicodeMS" w:cs="ArialUnicodeMS"/>
          <w:kern w:val="0"/>
          <w:sz w:val="84"/>
          <w:szCs w:val="84"/>
        </w:rPr>
      </w:pPr>
    </w:p>
    <w:p>
      <w:pPr>
        <w:spacing w:line="560" w:lineRule="exact"/>
        <w:jc w:val="center"/>
        <w:rPr>
          <w:rFonts w:ascii="黑体" w:eastAsia="黑体" w:cs="黑体"/>
          <w:kern w:val="0"/>
          <w:sz w:val="44"/>
          <w:szCs w:val="44"/>
        </w:rPr>
      </w:pPr>
    </w:p>
    <w:p>
      <w:pPr>
        <w:spacing w:line="560" w:lineRule="exact"/>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spacing w:line="560" w:lineRule="exact"/>
        <w:ind w:firstLine="645"/>
        <w:rPr>
          <w:rFonts w:ascii="仿宋_GB2312" w:eastAsia="仿宋_GB2312"/>
          <w:b/>
          <w:sz w:val="32"/>
          <w:szCs w:val="32"/>
        </w:rPr>
      </w:pPr>
    </w:p>
    <w:p>
      <w:pPr>
        <w:spacing w:line="560" w:lineRule="exact"/>
        <w:ind w:firstLine="645"/>
        <w:rPr>
          <w:rFonts w:ascii="仿宋_GB2312" w:eastAsia="仿宋_GB2312"/>
          <w:b/>
          <w:sz w:val="32"/>
          <w:szCs w:val="32"/>
        </w:rPr>
      </w:pPr>
      <w:r>
        <w:rPr>
          <w:rFonts w:hint="eastAsia" w:ascii="仿宋_GB2312" w:eastAsia="仿宋_GB2312"/>
          <w:b/>
          <w:sz w:val="32"/>
          <w:szCs w:val="32"/>
        </w:rPr>
        <w:t>第一部分：柳州市不动产登记中心概况</w:t>
      </w:r>
    </w:p>
    <w:p>
      <w:pPr>
        <w:spacing w:line="560" w:lineRule="exact"/>
        <w:ind w:firstLine="645"/>
        <w:rPr>
          <w:rFonts w:ascii="仿宋_GB2312" w:eastAsia="仿宋_GB2312"/>
          <w:sz w:val="32"/>
          <w:szCs w:val="32"/>
        </w:rPr>
      </w:pPr>
      <w:r>
        <w:rPr>
          <w:rFonts w:hint="eastAsia" w:ascii="仿宋_GB2312" w:eastAsia="仿宋_GB2312"/>
          <w:sz w:val="32"/>
          <w:szCs w:val="32"/>
        </w:rPr>
        <w:t>一、主要职能</w:t>
      </w:r>
    </w:p>
    <w:p>
      <w:pPr>
        <w:spacing w:line="560" w:lineRule="exact"/>
        <w:ind w:firstLine="645"/>
        <w:rPr>
          <w:rFonts w:ascii="仿宋_GB2312" w:eastAsia="仿宋_GB2312"/>
          <w:sz w:val="32"/>
          <w:szCs w:val="32"/>
        </w:rPr>
      </w:pPr>
      <w:r>
        <w:rPr>
          <w:rFonts w:hint="eastAsia" w:ascii="仿宋_GB2312" w:eastAsia="仿宋_GB2312"/>
          <w:sz w:val="32"/>
          <w:szCs w:val="32"/>
        </w:rPr>
        <w:t>二、单位机构设置情况</w:t>
      </w:r>
    </w:p>
    <w:p>
      <w:pPr>
        <w:spacing w:line="560" w:lineRule="exact"/>
        <w:ind w:firstLine="645"/>
        <w:rPr>
          <w:rFonts w:ascii="仿宋_GB2312" w:eastAsia="仿宋_GB2312"/>
          <w:b/>
          <w:sz w:val="32"/>
          <w:szCs w:val="32"/>
        </w:rPr>
      </w:pPr>
      <w:r>
        <w:rPr>
          <w:rFonts w:hint="eastAsia" w:ascii="仿宋_GB2312" w:eastAsia="仿宋_GB2312"/>
          <w:b/>
          <w:sz w:val="32"/>
          <w:szCs w:val="32"/>
        </w:rPr>
        <w:t>第二部分：柳州市不动产登记中心2021年部门决算报表</w:t>
      </w:r>
    </w:p>
    <w:p>
      <w:pPr>
        <w:spacing w:line="560" w:lineRule="exact"/>
        <w:ind w:left="645"/>
        <w:rPr>
          <w:rFonts w:ascii="仿宋_GB2312" w:eastAsia="仿宋_GB2312"/>
          <w:sz w:val="32"/>
          <w:szCs w:val="32"/>
        </w:rPr>
      </w:pPr>
      <w:r>
        <w:rPr>
          <w:rFonts w:hint="eastAsia" w:ascii="仿宋_GB2312" w:eastAsia="仿宋_GB2312"/>
          <w:sz w:val="32"/>
          <w:szCs w:val="32"/>
        </w:rPr>
        <w:t>表一：收入支出决算总表</w:t>
      </w:r>
    </w:p>
    <w:p>
      <w:pPr>
        <w:spacing w:line="560" w:lineRule="exact"/>
        <w:ind w:left="645"/>
        <w:rPr>
          <w:rFonts w:ascii="仿宋_GB2312" w:eastAsia="仿宋_GB2312"/>
          <w:sz w:val="32"/>
          <w:szCs w:val="32"/>
        </w:rPr>
      </w:pPr>
      <w:r>
        <w:rPr>
          <w:rFonts w:hint="eastAsia" w:ascii="仿宋_GB2312" w:eastAsia="仿宋_GB2312"/>
          <w:sz w:val="32"/>
          <w:szCs w:val="32"/>
        </w:rPr>
        <w:t>表二：收入决算表</w:t>
      </w:r>
    </w:p>
    <w:p>
      <w:pPr>
        <w:spacing w:line="560" w:lineRule="exact"/>
        <w:ind w:left="645"/>
        <w:rPr>
          <w:rFonts w:ascii="仿宋_GB2312" w:eastAsia="仿宋_GB2312"/>
          <w:sz w:val="32"/>
          <w:szCs w:val="32"/>
        </w:rPr>
      </w:pPr>
      <w:r>
        <w:rPr>
          <w:rFonts w:hint="eastAsia" w:ascii="仿宋_GB2312" w:eastAsia="仿宋_GB2312"/>
          <w:sz w:val="32"/>
          <w:szCs w:val="32"/>
        </w:rPr>
        <w:t>表三：支出决算表</w:t>
      </w:r>
    </w:p>
    <w:p>
      <w:pPr>
        <w:spacing w:line="560" w:lineRule="exact"/>
        <w:ind w:left="645"/>
        <w:rPr>
          <w:rFonts w:ascii="仿宋_GB2312" w:eastAsia="仿宋_GB2312"/>
          <w:sz w:val="32"/>
          <w:szCs w:val="32"/>
        </w:rPr>
      </w:pPr>
      <w:r>
        <w:rPr>
          <w:rFonts w:hint="eastAsia" w:ascii="仿宋_GB2312" w:eastAsia="仿宋_GB2312"/>
          <w:sz w:val="32"/>
          <w:szCs w:val="32"/>
        </w:rPr>
        <w:t>表四：财政拨款收入支出决算总表</w:t>
      </w:r>
    </w:p>
    <w:p>
      <w:pPr>
        <w:spacing w:line="560" w:lineRule="exact"/>
        <w:ind w:left="645"/>
        <w:rPr>
          <w:rFonts w:ascii="仿宋_GB2312" w:eastAsia="仿宋_GB2312"/>
          <w:sz w:val="32"/>
          <w:szCs w:val="32"/>
        </w:rPr>
      </w:pPr>
      <w:r>
        <w:rPr>
          <w:rFonts w:hint="eastAsia" w:ascii="仿宋_GB2312" w:eastAsia="仿宋_GB2312"/>
          <w:sz w:val="32"/>
          <w:szCs w:val="32"/>
        </w:rPr>
        <w:t>表五：一般公共预算财政拨款支出决算表</w:t>
      </w:r>
    </w:p>
    <w:p>
      <w:pPr>
        <w:spacing w:line="560" w:lineRule="exact"/>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spacing w:line="560" w:lineRule="exact"/>
        <w:ind w:left="645"/>
        <w:rPr>
          <w:rFonts w:ascii="仿宋_GB2312" w:eastAsia="仿宋_GB2312"/>
          <w:sz w:val="32"/>
          <w:szCs w:val="32"/>
        </w:rPr>
      </w:pPr>
      <w:r>
        <w:rPr>
          <w:rFonts w:hint="eastAsia" w:ascii="仿宋_GB2312" w:eastAsia="仿宋_GB2312"/>
          <w:sz w:val="32"/>
          <w:szCs w:val="32"/>
        </w:rPr>
        <w:t>表七：一般公共预算财政拨款安排的“三公”经费支出决算表</w:t>
      </w:r>
    </w:p>
    <w:p>
      <w:pPr>
        <w:spacing w:line="560" w:lineRule="exact"/>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spacing w:line="560" w:lineRule="exact"/>
        <w:ind w:firstLine="645"/>
        <w:rPr>
          <w:rFonts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spacing w:line="560" w:lineRule="exact"/>
        <w:ind w:firstLine="645"/>
        <w:rPr>
          <w:rFonts w:ascii="仿宋_GB2312" w:eastAsia="仿宋_GB2312"/>
          <w:b/>
          <w:sz w:val="32"/>
          <w:szCs w:val="32"/>
        </w:rPr>
      </w:pPr>
      <w:r>
        <w:rPr>
          <w:rFonts w:hint="eastAsia" w:ascii="仿宋_GB2312" w:eastAsia="仿宋_GB2312"/>
          <w:b/>
          <w:sz w:val="32"/>
          <w:szCs w:val="32"/>
        </w:rPr>
        <w:t>第三部分：柳州市不动产登记中心2021年度部门决算情况说明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三、2021年度一般公共预算财政拨款基本支出决算情况说明。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年度政府性基金支出决算情况。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五、2021年度国有资本经营预算支出决算情况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spacing w:line="560" w:lineRule="exact"/>
        <w:ind w:firstLine="645"/>
        <w:rPr>
          <w:rFonts w:ascii="仿宋_GB2312" w:eastAsia="仿宋_GB2312"/>
          <w:b/>
          <w:sz w:val="32"/>
          <w:szCs w:val="32"/>
        </w:rPr>
      </w:pPr>
      <w:r>
        <w:rPr>
          <w:rFonts w:hint="eastAsia" w:ascii="仿宋_GB2312" w:eastAsia="仿宋_GB2312"/>
          <w:b/>
          <w:sz w:val="32"/>
          <w:szCs w:val="32"/>
        </w:rPr>
        <w:t>第四部分：名词解释</w:t>
      </w:r>
    </w:p>
    <w:p>
      <w:pPr>
        <w:spacing w:line="560" w:lineRule="exact"/>
        <w:ind w:firstLine="646"/>
        <w:jc w:val="left"/>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第一部分：柳州市不动产登记中心概况</w:t>
      </w:r>
    </w:p>
    <w:p>
      <w:pPr>
        <w:spacing w:line="560" w:lineRule="exact"/>
        <w:ind w:firstLine="646"/>
        <w:rPr>
          <w:rFonts w:ascii="黑体" w:hAnsi="黑体" w:eastAsia="黑体"/>
          <w:sz w:val="32"/>
          <w:szCs w:val="32"/>
        </w:rPr>
      </w:pPr>
      <w:r>
        <w:rPr>
          <w:rFonts w:hint="eastAsia" w:ascii="黑体" w:hAnsi="黑体" w:eastAsia="黑体"/>
          <w:sz w:val="32"/>
          <w:szCs w:val="32"/>
        </w:rPr>
        <w:t>一、主要职能</w:t>
      </w:r>
    </w:p>
    <w:p>
      <w:pPr>
        <w:spacing w:line="560" w:lineRule="exact"/>
        <w:ind w:firstLine="640" w:firstLineChars="200"/>
        <w:rPr>
          <w:rFonts w:eastAsia="仿宋_GB2312"/>
          <w:bCs/>
          <w:kern w:val="0"/>
          <w:sz w:val="32"/>
          <w:szCs w:val="32"/>
        </w:rPr>
      </w:pPr>
      <w:r>
        <w:rPr>
          <w:rFonts w:hint="eastAsia" w:eastAsia="仿宋_GB2312"/>
          <w:bCs/>
          <w:kern w:val="0"/>
          <w:sz w:val="32"/>
          <w:szCs w:val="32"/>
        </w:rPr>
        <w:t>我中心承办市本级国有土地、集体土地、房屋等建筑物及构筑物不动产登记业务。负责法律规定需要登记的其他不动产权利登记工作。负责市本级不动产登记信息的收集、统计、汇总、分析及报送等工作。负责市本级不动产登记数据库、不动产登记信息基础平台的建设和管理。负责不动产登记数据的整理、保管、备份及日常维护工作。</w:t>
      </w:r>
    </w:p>
    <w:p>
      <w:pPr>
        <w:spacing w:line="560" w:lineRule="exact"/>
        <w:ind w:firstLine="645"/>
        <w:rPr>
          <w:rFonts w:ascii="黑体" w:hAnsi="黑体" w:eastAsia="黑体"/>
          <w:sz w:val="32"/>
          <w:szCs w:val="32"/>
        </w:rPr>
      </w:pPr>
      <w:r>
        <w:rPr>
          <w:rFonts w:hint="eastAsia" w:ascii="黑体" w:hAnsi="黑体" w:eastAsia="黑体"/>
          <w:sz w:val="32"/>
          <w:szCs w:val="32"/>
        </w:rPr>
        <w:t>二、单位机构设置情况</w:t>
      </w:r>
    </w:p>
    <w:p>
      <w:pPr>
        <w:adjustRightInd w:val="0"/>
        <w:snapToGrid w:val="0"/>
        <w:spacing w:line="560" w:lineRule="exact"/>
        <w:ind w:right="-218" w:rightChars="-104" w:firstLine="640" w:firstLineChars="200"/>
        <w:rPr>
          <w:rFonts w:ascii="仿宋_GB2312" w:eastAsia="仿宋_GB2312"/>
          <w:color w:val="000000" w:themeColor="text1"/>
          <w:sz w:val="32"/>
          <w:szCs w:val="32"/>
        </w:rPr>
      </w:pPr>
      <w:r>
        <w:rPr>
          <w:rFonts w:hint="eastAsia" w:eastAsia="仿宋_GB2312"/>
          <w:bCs/>
          <w:kern w:val="0"/>
          <w:sz w:val="32"/>
          <w:szCs w:val="32"/>
        </w:rPr>
        <w:t>柳州市不动产登记中心为柳州市自然资源和规划局管理的副处级公益一类全额拨款事业单位。</w:t>
      </w:r>
      <w:r>
        <w:rPr>
          <w:rFonts w:hint="eastAsia" w:eastAsia="仿宋_GB2312"/>
          <w:bCs/>
          <w:color w:val="000000" w:themeColor="text1"/>
          <w:kern w:val="0"/>
          <w:sz w:val="32"/>
          <w:szCs w:val="32"/>
        </w:rPr>
        <w:t>本单位内设十个科室，分别为：办公室、财务科、受理科、审核一科、审核二科、审核三科、审核四科、发证科、信息科、监察法规科。</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第二部分：柳州市不动产登记中心 2021年部门决算报表</w:t>
      </w:r>
    </w:p>
    <w:p>
      <w:pPr>
        <w:spacing w:line="560" w:lineRule="exact"/>
        <w:ind w:firstLine="640" w:firstLineChars="200"/>
        <w:rPr>
          <w:rFonts w:ascii="仿宋_GB2312" w:hAnsi="黑体" w:eastAsia="仿宋_GB2312"/>
          <w:b/>
          <w:sz w:val="32"/>
          <w:szCs w:val="32"/>
        </w:rPr>
      </w:pPr>
      <w:r>
        <w:rPr>
          <w:rFonts w:hint="eastAsia" w:ascii="仿宋_GB2312" w:hAnsi="黑体" w:eastAsia="仿宋_GB2312"/>
          <w:sz w:val="32"/>
          <w:szCs w:val="32"/>
        </w:rPr>
        <w:t>《收入决算表》《支出决算表》《一般公共预算财政拨款支出决算表》、《政府性基金预算财政拨款收入支出决算表》和《</w:t>
      </w:r>
      <w:r>
        <w:rPr>
          <w:rFonts w:hint="eastAsia" w:ascii="仿宋_GB2312" w:eastAsia="仿宋_GB2312"/>
          <w:sz w:val="32"/>
          <w:szCs w:val="32"/>
        </w:rPr>
        <w:t>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r>
        <w:rPr>
          <w:rFonts w:hint="eastAsia" w:ascii="仿宋_GB2312" w:hAnsi="黑体" w:eastAsia="仿宋_GB2312"/>
          <w:sz w:val="32"/>
          <w:szCs w:val="32"/>
        </w:rPr>
        <w:t>》应当细化公开到支出功能分类项级科目，《一般公共预算财政拨款基本支出决算表》应当细化公开到经济分类款级科目。</w:t>
      </w:r>
    </w:p>
    <w:p>
      <w:pPr>
        <w:spacing w:line="560" w:lineRule="exact"/>
        <w:jc w:val="center"/>
      </w:pPr>
    </w:p>
    <w:p>
      <w:pPr>
        <w:spacing w:line="560" w:lineRule="exact"/>
      </w:pPr>
    </w:p>
    <w:p>
      <w:pPr>
        <w:spacing w:line="560" w:lineRule="exact"/>
        <w:jc w:val="right"/>
        <w:rPr>
          <w:sz w:val="22"/>
          <w:szCs w:val="22"/>
        </w:rPr>
      </w:pPr>
      <w:r>
        <w:rPr>
          <w:rFonts w:hint="eastAsia"/>
          <w:sz w:val="22"/>
          <w:szCs w:val="22"/>
        </w:rPr>
        <w:t xml:space="preserve">                    </w:t>
      </w:r>
    </w:p>
    <w:p>
      <w:pPr>
        <w:spacing w:line="560" w:lineRule="exact"/>
      </w:pPr>
    </w:p>
    <w:p>
      <w:pPr>
        <w:spacing w:line="560" w:lineRule="exact"/>
      </w:pPr>
    </w:p>
    <w:p>
      <w:pPr>
        <w:spacing w:line="560" w:lineRule="exact"/>
      </w:pPr>
    </w:p>
    <w:p>
      <w:pPr>
        <w:spacing w:line="560" w:lineRule="exact"/>
        <w:ind w:firstLine="640"/>
        <w:rPr>
          <w:rFonts w:ascii="黑体" w:hAnsi="黑体" w:eastAsia="黑体"/>
          <w:sz w:val="32"/>
          <w:szCs w:val="32"/>
        </w:rPr>
      </w:pPr>
      <w:r>
        <w:rPr>
          <w:rFonts w:hint="eastAsia" w:ascii="黑体" w:hAnsi="黑体" w:eastAsia="黑体"/>
          <w:sz w:val="32"/>
          <w:szCs w:val="32"/>
        </w:rPr>
        <w:t>(此部分另附表格，详见附件3：柳州市不动产登记中心2021年度单位决算公开表)</w:t>
      </w:r>
    </w:p>
    <w:p>
      <w:pPr>
        <w:spacing w:line="560" w:lineRule="exact"/>
      </w:pPr>
    </w:p>
    <w:p>
      <w:pPr>
        <w:spacing w:line="560" w:lineRule="exact"/>
      </w:pPr>
    </w:p>
    <w:p>
      <w:pPr>
        <w:spacing w:line="560" w:lineRule="exact"/>
      </w:pPr>
    </w:p>
    <w:p>
      <w:pPr>
        <w:spacing w:line="560" w:lineRule="exact"/>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第三部分：柳州市不动产登记中心2021年度单位决算情况说明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（一）本单位2021年度总收入3298.97万元，其中本年收入3297.18万元, </w:t>
      </w:r>
      <w:r>
        <w:rPr>
          <w:rFonts w:hint="eastAsia" w:ascii="仿宋_GB2312" w:hAnsi="黑体" w:eastAsia="仿宋_GB2312" w:cs="仿宋_GB2312"/>
          <w:kern w:val="0"/>
          <w:sz w:val="32"/>
          <w:szCs w:val="32"/>
        </w:rPr>
        <w:t>较2020年度决算数增加378.8万元，增长13 %。</w:t>
      </w:r>
      <w:r>
        <w:rPr>
          <w:rFonts w:hint="eastAsia" w:ascii="仿宋_GB2312" w:eastAsia="仿宋_GB2312" w:cs="仿宋_GB2312"/>
          <w:kern w:val="0"/>
          <w:sz w:val="32"/>
          <w:szCs w:val="32"/>
        </w:rPr>
        <w:t>收入具体情况如下。</w:t>
      </w:r>
    </w:p>
    <w:p>
      <w:pPr>
        <w:spacing w:line="560" w:lineRule="exact"/>
        <w:ind w:firstLine="480" w:firstLineChars="150"/>
        <w:rPr>
          <w:rFonts w:ascii="仿宋" w:hAnsi="仿宋" w:eastAsia="仿宋" w:cs="仿宋"/>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.一般公共预算财政拨款收入3237.18万元，为财政当年拨付的资金。</w:t>
      </w:r>
      <w:r>
        <w:rPr>
          <w:rFonts w:hint="eastAsia" w:ascii="仿宋_GB2312" w:hAnsi="黑体" w:eastAsia="仿宋_GB2312" w:cs="仿宋_GB2312"/>
          <w:kern w:val="0"/>
          <w:sz w:val="32"/>
          <w:szCs w:val="32"/>
        </w:rPr>
        <w:t>较2020年度决算数增加349.22万元，增长12 %，主要原因是：</w:t>
      </w:r>
      <w:r>
        <w:rPr>
          <w:rFonts w:hint="eastAsia" w:ascii="仿宋" w:hAnsi="仿宋" w:eastAsia="仿宋" w:cs="仿宋"/>
          <w:kern w:val="0"/>
          <w:sz w:val="32"/>
          <w:szCs w:val="32"/>
        </w:rPr>
        <w:t>在职人员增加及增资32.15</w:t>
      </w:r>
      <w:r>
        <w:rPr>
          <w:rFonts w:hint="eastAsia" w:ascii="仿宋" w:hAnsi="仿宋" w:eastAsia="仿宋" w:cs="仿宋"/>
          <w:sz w:val="32"/>
          <w:szCs w:val="32"/>
        </w:rPr>
        <w:t>万元;</w:t>
      </w:r>
      <w:r>
        <w:rPr>
          <w:rFonts w:hint="eastAsia" w:ascii="仿宋" w:hAnsi="仿宋" w:eastAsia="仿宋" w:cs="仿宋"/>
          <w:kern w:val="0"/>
          <w:sz w:val="32"/>
          <w:szCs w:val="32"/>
        </w:rPr>
        <w:t>事业单位绩效工资总量补差</w:t>
      </w:r>
      <w:r>
        <w:rPr>
          <w:rFonts w:hint="eastAsia" w:ascii="仿宋" w:hAnsi="仿宋" w:eastAsia="仿宋" w:cs="仿宋"/>
          <w:sz w:val="32"/>
          <w:szCs w:val="32"/>
        </w:rPr>
        <w:t>102.33万元;追加搬迁市民服务中心办公场地升级改造预算支出301.84万元</w:t>
      </w:r>
      <w:r>
        <w:rPr>
          <w:rFonts w:hint="eastAsia" w:ascii="仿宋" w:hAnsi="仿宋" w:eastAsia="仿宋" w:cs="仿宋"/>
          <w:kern w:val="0"/>
          <w:sz w:val="32"/>
          <w:szCs w:val="32"/>
        </w:rPr>
        <w:t>;其他9.41万元。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rPr>
        <w:t xml:space="preserve"> 0 万元，</w:t>
      </w:r>
      <w:r>
        <w:rPr>
          <w:rFonts w:hint="eastAsia" w:ascii="仿宋_GB2312" w:eastAsia="仿宋_GB2312" w:cs="仿宋_GB2312"/>
          <w:kern w:val="0"/>
          <w:sz w:val="32"/>
          <w:szCs w:val="32"/>
        </w:rPr>
        <w:t>为财政当年拨付的资金。</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rPr>
        <w:t xml:space="preserve"> 0 万元,</w:t>
      </w:r>
      <w:r>
        <w:rPr>
          <w:rFonts w:hint="eastAsia" w:ascii="仿宋_GB2312" w:eastAsia="仿宋_GB2312" w:cs="仿宋_GB2312"/>
          <w:kern w:val="0"/>
          <w:sz w:val="32"/>
          <w:szCs w:val="32"/>
        </w:rPr>
        <w:t>为财政当年拨付的资金。</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4.事业收入 0 万元为事业单位开展业务活动取得的收入。</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rPr>
        <w:t xml:space="preserve"> 0 万元，</w:t>
      </w:r>
      <w:r>
        <w:rPr>
          <w:rFonts w:hint="eastAsia" w:ascii="仿宋_GB2312" w:eastAsia="仿宋_GB2312" w:cs="仿宋_GB2312"/>
          <w:kern w:val="0"/>
          <w:sz w:val="32"/>
          <w:szCs w:val="32"/>
        </w:rPr>
        <w:t>为事业单位在业务活动之外开展非独立核算经营活动取得的收入。</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rPr>
        <w:t xml:space="preserve"> 60.00</w:t>
      </w:r>
      <w:r>
        <w:rPr>
          <w:rFonts w:hint="eastAsia" w:ascii="仿宋_GB2312" w:eastAsia="仿宋_GB2312" w:cs="仿宋_GB2312"/>
          <w:kern w:val="0"/>
          <w:sz w:val="32"/>
          <w:szCs w:val="32"/>
        </w:rPr>
        <w:t>万元，为鱼峰区政府给本单位经费补助取得的收入。</w:t>
      </w:r>
      <w:r>
        <w:rPr>
          <w:rFonts w:hint="eastAsia" w:ascii="仿宋_GB2312" w:hAnsi="黑体" w:eastAsia="仿宋_GB2312" w:cs="仿宋_GB2312"/>
          <w:kern w:val="0"/>
          <w:sz w:val="32"/>
          <w:szCs w:val="32"/>
        </w:rPr>
        <w:t>较2020年度决算数增加30万元，增长 100 %，主要原因是：2021年鱼峰区政府工作经费增加拨款30万元。</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 0 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2020年度使用非财政拨款结余 0 万元。</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rPr>
        <w:t>1.79</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较2020年度决算数减少0.37万元，下降17%，主要原因是：养老保险结余减少。</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（二）本单位2021年度总支出3225.61万元，其中本年支出3225.61万元, </w:t>
      </w:r>
      <w:r>
        <w:rPr>
          <w:rFonts w:hint="eastAsia" w:ascii="仿宋_GB2312" w:hAnsi="黑体" w:eastAsia="仿宋_GB2312" w:cs="仿宋_GB2312"/>
          <w:kern w:val="0"/>
          <w:sz w:val="32"/>
          <w:szCs w:val="32"/>
        </w:rPr>
        <w:t>较2020年度决算数增加337.28万元，增长12 %。</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.教育支出（类）17.50万元：本单位预算无教育支出，原是成本性项目支出，用于办公经费的补充项目。是因为实行预算一体化转换时预算科误用功能分类科目。</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2.社会保障和就业支出180.43万元。主要是用于机关事业单位基本养老保险缴费支出、单位退休职工及遗属生活补助支出。</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3.卫生健康支出64.71万元。主要用于职工医疗保险缴费支出。</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4.城乡社区支出301.84万元。主要用于单位整体搬迁新办公楼改造及购置设备支出。</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5.自然资源海洋气象等支出2541.85万元。主要用于在职人员工资、办公经费及其他运行支出。</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6.住房保障支出97.63万元。主要用于职工公积金缴费支出。</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7.其他支出21.65万元。主要用于弥补办公经费的不足。</w:t>
      </w:r>
    </w:p>
    <w:p>
      <w:pPr>
        <w:autoSpaceDE w:val="0"/>
        <w:autoSpaceDN w:val="0"/>
        <w:adjustRightInd w:val="0"/>
        <w:spacing w:line="560" w:lineRule="exact"/>
        <w:ind w:firstLine="320" w:firstLineChars="100"/>
        <w:jc w:val="left"/>
        <w:rPr>
          <w:rFonts w:ascii="仿宋_GB2312" w:hAnsi="黑体" w:eastAsia="仿宋_GB2312" w:cs="仿宋_GB2312"/>
          <w:kern w:val="0"/>
          <w:sz w:val="32"/>
          <w:szCs w:val="32"/>
        </w:rPr>
      </w:pPr>
      <w:r>
        <w:rPr>
          <w:rFonts w:hint="eastAsia" w:ascii="仿宋_GB2312" w:eastAsia="仿宋_GB2312" w:cs="仿宋_GB2312"/>
          <w:kern w:val="0"/>
          <w:sz w:val="32"/>
          <w:szCs w:val="32"/>
        </w:rPr>
        <w:t>（三）结余分配38.36万元为事业单位事业基金。</w:t>
      </w:r>
      <w:r>
        <w:rPr>
          <w:rFonts w:hint="eastAsia" w:ascii="仿宋_GB2312" w:hAnsi="黑体" w:eastAsia="仿宋_GB2312" w:cs="仿宋_GB2312"/>
          <w:kern w:val="0"/>
          <w:sz w:val="32"/>
          <w:szCs w:val="32"/>
        </w:rPr>
        <w:t>较2020年度决算数增加8.3万元，增长27%，主要原因是：鱼锋区工作经费比上年增长。</w:t>
      </w:r>
    </w:p>
    <w:p>
      <w:pPr>
        <w:autoSpaceDE w:val="0"/>
        <w:autoSpaceDN w:val="0"/>
        <w:adjustRightInd w:val="0"/>
        <w:spacing w:line="560" w:lineRule="exact"/>
        <w:ind w:firstLine="320" w:firstLineChars="100"/>
        <w:jc w:val="left"/>
        <w:rPr>
          <w:rFonts w:ascii="仿宋_GB2312" w:hAnsi="黑体" w:eastAsia="仿宋_GB2312" w:cs="仿宋_GB2312"/>
          <w:kern w:val="0"/>
          <w:sz w:val="32"/>
          <w:szCs w:val="32"/>
        </w:rPr>
      </w:pPr>
      <w:r>
        <w:rPr>
          <w:rFonts w:hint="eastAsia" w:ascii="仿宋_GB2312" w:eastAsia="仿宋_GB2312" w:cs="仿宋_GB2312"/>
          <w:kern w:val="0"/>
          <w:sz w:val="32"/>
          <w:szCs w:val="32"/>
        </w:rPr>
        <w:t>（四）年末结转和结余35万元，为本年度预算安排、因客观条件发生变化无法按原计划实施，需要延迟到下年度按有关规定继续使用的资金。</w:t>
      </w:r>
      <w:r>
        <w:rPr>
          <w:rFonts w:hint="eastAsia" w:ascii="仿宋_GB2312" w:hAnsi="黑体" w:eastAsia="仿宋_GB2312" w:cs="仿宋_GB2312"/>
          <w:kern w:val="0"/>
          <w:sz w:val="32"/>
          <w:szCs w:val="32"/>
        </w:rPr>
        <w:t>较2020年度决算数增加33.21万元，增长1855%，主要原因是：因本年财政年末停止办理支付业务截止日期提前，社保缴费没能及时划转。</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公共预算财政拨款支出3203.96万元，</w:t>
      </w:r>
      <w:r>
        <w:rPr>
          <w:rFonts w:hint="eastAsia" w:ascii="仿宋_GB2312" w:hAnsi="黑体" w:eastAsia="仿宋_GB2312" w:cs="仿宋_GB2312"/>
          <w:kern w:val="0"/>
          <w:sz w:val="32"/>
          <w:szCs w:val="32"/>
        </w:rPr>
        <w:t>较2020年度决算数增加315.63万元，增长11 %。</w:t>
      </w:r>
      <w:r>
        <w:rPr>
          <w:rFonts w:hint="eastAsia" w:ascii="仿宋_GB2312" w:eastAsia="仿宋_GB2312" w:cs="仿宋_GB2312"/>
          <w:kern w:val="0"/>
          <w:sz w:val="32"/>
          <w:szCs w:val="32"/>
        </w:rPr>
        <w:t>其中：基本支出1300.38万元，项目支出1903.58万元。</w:t>
      </w:r>
    </w:p>
    <w:p>
      <w:pPr>
        <w:autoSpaceDE w:val="0"/>
        <w:autoSpaceDN w:val="0"/>
        <w:adjustRightInd w:val="0"/>
        <w:spacing w:line="560" w:lineRule="exact"/>
        <w:ind w:firstLine="640" w:firstLineChars="200"/>
        <w:jc w:val="left"/>
        <w:rPr>
          <w:rFonts w:ascii="仿宋_GB2312" w:hAnsi="黑体"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hAnsi="黑体" w:eastAsia="仿宋_GB2312"/>
          <w:kern w:val="0"/>
          <w:sz w:val="32"/>
          <w:szCs w:val="32"/>
        </w:rPr>
        <w:t xml:space="preserve">2021 </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公共预算财政拨款支出年初预算为2854.62万元，支出决算为3203.96万元，完成年初预算的 112%。其中：</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（一）</w:t>
      </w:r>
      <w:r>
        <w:rPr>
          <w:rFonts w:hint="eastAsia" w:ascii="仿宋_GB2312" w:eastAsia="仿宋_GB2312" w:cs="仿宋_GB2312"/>
          <w:kern w:val="0"/>
          <w:sz w:val="32"/>
          <w:szCs w:val="32"/>
        </w:rPr>
        <w:t>教育支出（类）17.5万元。本单位预算无教育支出，原是成本性项目支出，用于办公经费的补充项目。是因为实行预算一体化转换时预算科误用功能分类科目。</w:t>
      </w:r>
    </w:p>
    <w:p>
      <w:pPr>
        <w:autoSpaceDE w:val="0"/>
        <w:autoSpaceDN w:val="0"/>
        <w:adjustRightInd w:val="0"/>
        <w:spacing w:line="560" w:lineRule="exact"/>
        <w:ind w:firstLine="640" w:firstLineChars="200"/>
        <w:jc w:val="left"/>
        <w:rPr>
          <w:rFonts w:ascii="仿宋_GB2312" w:hAnsi="黑体" w:eastAsia="仿宋_GB2312" w:cs="仿宋_GB2312"/>
          <w:kern w:val="0"/>
          <w:sz w:val="32"/>
          <w:szCs w:val="32"/>
        </w:rPr>
      </w:pPr>
      <w:r>
        <w:rPr>
          <w:rFonts w:hint="eastAsia" w:ascii="仿宋_GB2312" w:eastAsia="仿宋_GB2312" w:cs="仿宋_GB2312"/>
          <w:kern w:val="0"/>
          <w:sz w:val="32"/>
          <w:szCs w:val="32"/>
        </w:rPr>
        <w:t>（二）社会保障和就业支出。</w:t>
      </w:r>
      <w:r>
        <w:rPr>
          <w:rFonts w:hint="eastAsia" w:ascii="仿宋_GB2312" w:hAnsi="黑体" w:eastAsia="仿宋_GB2312" w:cs="仿宋_GB2312"/>
          <w:kern w:val="0"/>
          <w:sz w:val="32"/>
          <w:szCs w:val="32"/>
        </w:rPr>
        <w:t>年初预算为 191.63万元，支出决算为180.43万元，完成年初预算的94%。差异的</w:t>
      </w:r>
      <w:r>
        <w:rPr>
          <w:rFonts w:hint="eastAsia" w:ascii="仿宋_GB2312" w:eastAsia="仿宋_GB2312" w:cs="仿宋_GB2312"/>
          <w:kern w:val="0"/>
          <w:sz w:val="32"/>
          <w:szCs w:val="32"/>
        </w:rPr>
        <w:t>主要原因是</w:t>
      </w:r>
      <w:bookmarkStart w:id="0" w:name="_GoBack"/>
      <w:bookmarkEnd w:id="0"/>
      <w:r>
        <w:rPr>
          <w:rFonts w:hint="eastAsia" w:ascii="仿宋_GB2312" w:hAnsi="黑体" w:eastAsia="仿宋_GB2312" w:cs="仿宋_GB2312"/>
          <w:kern w:val="0"/>
          <w:sz w:val="32"/>
          <w:szCs w:val="32"/>
        </w:rPr>
        <w:t>本年财政年末停止办理支付业务截止日期提前，社保缴费没能及时划转。</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（三）卫生健康支出。</w:t>
      </w:r>
      <w:r>
        <w:rPr>
          <w:rFonts w:hint="eastAsia" w:ascii="仿宋_GB2312" w:hAnsi="黑体" w:eastAsia="仿宋_GB2312" w:cs="仿宋_GB2312"/>
          <w:kern w:val="0"/>
          <w:sz w:val="32"/>
          <w:szCs w:val="32"/>
        </w:rPr>
        <w:t>年初预算为58.58万元，支出决算为 64.71万元，完成年初预算的110%。差异的</w:t>
      </w:r>
      <w:r>
        <w:rPr>
          <w:rFonts w:hint="eastAsia" w:ascii="仿宋_GB2312" w:eastAsia="仿宋_GB2312" w:cs="仿宋_GB2312"/>
          <w:kern w:val="0"/>
          <w:sz w:val="32"/>
          <w:szCs w:val="32"/>
        </w:rPr>
        <w:t>主要原因是在职人员增加。</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（四）城乡社区支出301.84万元。</w:t>
      </w:r>
      <w:r>
        <w:rPr>
          <w:rFonts w:hint="eastAsia" w:ascii="仿宋_GB2312" w:hAnsi="黑体" w:eastAsia="仿宋_GB2312" w:cs="仿宋_GB2312"/>
          <w:kern w:val="0"/>
          <w:sz w:val="32"/>
          <w:szCs w:val="32"/>
        </w:rPr>
        <w:t>年初预算为 0万元，支出决算为301.84万元。差异的</w:t>
      </w:r>
      <w:r>
        <w:rPr>
          <w:rFonts w:hint="eastAsia" w:ascii="仿宋_GB2312" w:eastAsia="仿宋_GB2312" w:cs="仿宋_GB2312"/>
          <w:kern w:val="0"/>
          <w:sz w:val="32"/>
          <w:szCs w:val="32"/>
        </w:rPr>
        <w:t>主要原因是。主要用于单位整体搬迁新办公楼改造及购置设备支出。</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（五）自然资源海洋气象等支出。</w:t>
      </w:r>
      <w:r>
        <w:rPr>
          <w:rFonts w:hint="eastAsia" w:ascii="仿宋_GB2312" w:hAnsi="黑体" w:eastAsia="仿宋_GB2312" w:cs="仿宋_GB2312"/>
          <w:kern w:val="0"/>
          <w:sz w:val="32"/>
          <w:szCs w:val="32"/>
        </w:rPr>
        <w:t>年初预算为2514.98万元，支出决算为2541.85万元，完成年初预算的101%，差异的</w:t>
      </w:r>
      <w:r>
        <w:rPr>
          <w:rFonts w:hint="eastAsia" w:ascii="仿宋_GB2312" w:eastAsia="仿宋_GB2312" w:cs="仿宋_GB2312"/>
          <w:kern w:val="0"/>
          <w:sz w:val="32"/>
          <w:szCs w:val="32"/>
        </w:rPr>
        <w:t>主要原因是在职人员增加及工资调增。</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（六）住房保障支出。</w:t>
      </w:r>
      <w:r>
        <w:rPr>
          <w:rFonts w:hint="eastAsia" w:ascii="仿宋_GB2312" w:hAnsi="黑体" w:eastAsia="仿宋_GB2312" w:cs="仿宋_GB2312"/>
          <w:kern w:val="0"/>
          <w:sz w:val="32"/>
          <w:szCs w:val="32"/>
        </w:rPr>
        <w:t>年初预算为89.43万元，支出决算为97.63万元，完成年初预算的109%。差异的</w:t>
      </w:r>
      <w:r>
        <w:rPr>
          <w:rFonts w:hint="eastAsia" w:ascii="仿宋_GB2312" w:eastAsia="仿宋_GB2312" w:cs="仿宋_GB2312"/>
          <w:kern w:val="0"/>
          <w:sz w:val="32"/>
          <w:szCs w:val="32"/>
        </w:rPr>
        <w:t>主要原因是在职人员增加相应缴纳公积金增加。</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三、2021年度一般公共预算财政拨款基本支出决算情况说明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 1300.38万元，支出具体情况如下：</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（一）工资福利支出1226.02万元，完成年初预算的112%。原因是在职职工人数增加及正常调资。</w:t>
      </w:r>
    </w:p>
    <w:p>
      <w:pPr>
        <w:autoSpaceDE w:val="0"/>
        <w:autoSpaceDN w:val="0"/>
        <w:adjustRightInd w:val="0"/>
        <w:spacing w:line="560" w:lineRule="exact"/>
        <w:ind w:firstLine="640" w:firstLineChars="200"/>
        <w:jc w:val="left"/>
        <w:rPr>
          <w:rFonts w:hint="eastAsia" w:ascii="仿宋" w:hAnsi="仿宋" w:eastAsia="仿宋" w:cs="仿宋"/>
          <w:bCs/>
          <w:kern w:val="0"/>
          <w:sz w:val="32"/>
          <w:szCs w:val="32"/>
        </w:rPr>
      </w:pPr>
      <w:r>
        <w:rPr>
          <w:rFonts w:hint="eastAsia" w:ascii="仿宋_GB2312" w:eastAsia="仿宋_GB2312"/>
          <w:bCs/>
          <w:kern w:val="0"/>
          <w:sz w:val="32"/>
          <w:szCs w:val="32"/>
        </w:rPr>
        <w:t>（二）商品和服务支出62.65万元，完成年初预算的 55%。完成率低的原因是</w:t>
      </w:r>
      <w:r>
        <w:rPr>
          <w:rFonts w:hint="eastAsia" w:ascii="仿宋" w:hAnsi="仿宋" w:eastAsia="仿宋" w:cs="仿宋"/>
          <w:sz w:val="32"/>
          <w:szCs w:val="32"/>
        </w:rPr>
        <w:t>我单位严格控制“三公”经费及其他公用支出。</w:t>
      </w:r>
    </w:p>
    <w:p>
      <w:pPr>
        <w:autoSpaceDE w:val="0"/>
        <w:autoSpaceDN w:val="0"/>
        <w:adjustRightInd w:val="0"/>
        <w:spacing w:line="560" w:lineRule="exact"/>
        <w:ind w:firstLine="640" w:firstLineChars="200"/>
        <w:jc w:val="left"/>
        <w:rPr>
          <w:rFonts w:ascii="仿宋" w:hAnsi="仿宋" w:eastAsia="仿宋" w:cs="仿宋"/>
          <w:bCs/>
          <w:kern w:val="0"/>
          <w:sz w:val="32"/>
          <w:szCs w:val="32"/>
        </w:rPr>
      </w:pPr>
      <w:r>
        <w:rPr>
          <w:rFonts w:hint="eastAsia" w:ascii="仿宋_GB2312" w:eastAsia="仿宋_GB2312"/>
          <w:bCs/>
          <w:kern w:val="0"/>
          <w:sz w:val="32"/>
          <w:szCs w:val="32"/>
        </w:rPr>
        <w:t>（三）对个人和家庭和补助支出11.71，完成年初预算的116%，原因是单位退休人员增加。</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四、2021年度政府性基金支出决算情况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柳州市不动产登记中心2</w:t>
      </w:r>
      <w:r>
        <w:rPr>
          <w:rFonts w:ascii="仿宋_GB2312" w:eastAsia="仿宋_GB2312" w:cs="仿宋_GB2312"/>
          <w:kern w:val="0"/>
          <w:sz w:val="32"/>
          <w:szCs w:val="32"/>
        </w:rPr>
        <w:t>02</w:t>
      </w:r>
      <w:r>
        <w:rPr>
          <w:rFonts w:hint="eastAsia" w:ascii="仿宋_GB2312" w:eastAsia="仿宋_GB2312" w:cs="仿宋_GB2312"/>
          <w:kern w:val="0"/>
          <w:sz w:val="32"/>
          <w:szCs w:val="32"/>
        </w:rPr>
        <w:t>1年度没有政府性基金收入，也没有政府性基金安排的支出，故无数据情况说明。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五、2021年度国有资本经营预算支出决算情况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柳州市不动产登记中心2</w:t>
      </w:r>
      <w:r>
        <w:rPr>
          <w:rFonts w:ascii="仿宋_GB2312" w:eastAsia="仿宋_GB2312" w:cs="仿宋_GB2312"/>
          <w:kern w:val="0"/>
          <w:sz w:val="32"/>
          <w:szCs w:val="32"/>
        </w:rPr>
        <w:t>02</w:t>
      </w:r>
      <w:r>
        <w:rPr>
          <w:rFonts w:hint="eastAsia" w:ascii="仿宋_GB2312" w:eastAsia="仿宋_GB2312" w:cs="仿宋_GB2312"/>
          <w:kern w:val="0"/>
          <w:sz w:val="32"/>
          <w:szCs w:val="32"/>
        </w:rPr>
        <w:t>1年度没有</w:t>
      </w:r>
      <w:r>
        <w:rPr>
          <w:rFonts w:hint="eastAsia" w:ascii="仿宋_GB2312" w:eastAsia="仿宋_GB2312"/>
          <w:kern w:val="0"/>
          <w:sz w:val="32"/>
          <w:szCs w:val="32"/>
        </w:rPr>
        <w:t>国有资本经营预算财政拨款</w:t>
      </w:r>
      <w:r>
        <w:rPr>
          <w:rFonts w:hint="eastAsia" w:ascii="仿宋_GB2312" w:eastAsia="仿宋_GB2312" w:cs="仿宋_GB2312"/>
          <w:kern w:val="0"/>
          <w:sz w:val="32"/>
          <w:szCs w:val="32"/>
        </w:rPr>
        <w:t>收入，也没有</w:t>
      </w:r>
      <w:r>
        <w:rPr>
          <w:rFonts w:hint="eastAsia" w:ascii="仿宋_GB2312" w:eastAsia="仿宋_GB2312"/>
          <w:kern w:val="0"/>
          <w:sz w:val="32"/>
          <w:szCs w:val="32"/>
        </w:rPr>
        <w:t>国有资本经营预算财政拨款安排</w:t>
      </w:r>
      <w:r>
        <w:rPr>
          <w:rFonts w:hint="eastAsia" w:ascii="仿宋_GB2312" w:eastAsia="仿宋_GB2312" w:cs="仿宋_GB2312"/>
          <w:kern w:val="0"/>
          <w:sz w:val="32"/>
          <w:szCs w:val="32"/>
        </w:rPr>
        <w:t>的支出，故无数据情况说明。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公共预算财政拨款安排的“三公”经费支出2.6万元，完成年初预算的21%，比上年增加0.24    万元，主要原因是车辆运行费随着年限增长增加。其中：因公出国（境）费支出决算0万元，公务用车购置及运行费支出决算2.5万元，公务接待费支出决算0.1万元。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（一）因公出国（境）费支出0万元，本单位无因公出国经费安排。</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 2.5万元。其中：</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公务用车购置支出0万元，本单位无公务用车购置费预算资金安排。</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运行支出2.5万元，完成年初预算的25 %，比上年增加0.52万元，原因是单位搬迁后离市区较远，电费、燃油费增多。主要用于机要文件交换、市内因公出行以及开展业务所需车辆燃料费、维修费、过路过桥费、保险费等。2021年，柳州市不动产登记中心</w:t>
      </w:r>
      <w:r>
        <w:rPr>
          <w:rFonts w:hint="eastAsia" w:ascii="仿宋_GB2312" w:hAnsi="黑体" w:eastAsia="仿宋_GB2312"/>
          <w:bCs/>
          <w:color w:val="000000"/>
          <w:sz w:val="32"/>
          <w:szCs w:val="32"/>
        </w:rPr>
        <w:t>所属单位开支财政拨款的公务用车保有量为5 辆</w:t>
      </w:r>
      <w:r>
        <w:rPr>
          <w:rFonts w:hint="eastAsia" w:ascii="仿宋_GB2312" w:hAnsi="黑体" w:eastAsia="仿宋_GB2312"/>
          <w:b/>
          <w:color w:val="000000"/>
          <w:sz w:val="32"/>
          <w:szCs w:val="32"/>
        </w:rPr>
        <w:t>，</w:t>
      </w:r>
      <w:r>
        <w:rPr>
          <w:rFonts w:hint="eastAsia" w:ascii="仿宋_GB2312" w:hAnsi="黑体" w:eastAsia="仿宋_GB2312"/>
          <w:bCs/>
          <w:color w:val="000000"/>
          <w:sz w:val="32"/>
          <w:szCs w:val="32"/>
        </w:rPr>
        <w:t>全年运行费支出 2.5 万元，平均每辆 0.5 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（三）公务接待费支出 0.1万元，完成年初预算的 5 %， 比上年减少 0.28万元，原因是疫情影响，公务来访人员减少。国内公务接待批次1 次，6人/次 ，国（境）外公务接待批次 0次。</w:t>
      </w:r>
    </w:p>
    <w:p>
      <w:pPr>
        <w:autoSpaceDE w:val="0"/>
        <w:autoSpaceDN w:val="0"/>
        <w:adjustRightInd w:val="0"/>
        <w:spacing w:line="560" w:lineRule="exact"/>
        <w:ind w:firstLine="627" w:firstLineChars="196"/>
        <w:jc w:val="left"/>
        <w:rPr>
          <w:rFonts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本单位无机关运行经费支出</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本单位2021年度政府采购支出总额322.59万元，其中：政府采购货物支出38.78万元、政府采购工程支出276.81万元、政府采购服务支出 7.0万元。授予中小企业合同金额  97.46万元，占政府采购支出总额的 30%，其中：授予小微企业合同金额97.46万元，占政府采购支出总额的30 %。</w:t>
      </w:r>
    </w:p>
    <w:p>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（三）国有资产占用情况说明。</w:t>
      </w:r>
    </w:p>
    <w:p>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 xml:space="preserve">截至2021年12月31日，本单位共有车辆 5 辆，其中：5辆全部是公务用车。单价50万元 以上通用设备0台（套），单价100 万元以上专用设备2套。 </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根据财政预算管理要求，我单位组织对2021年度一般公共预算项目支出全面开展绩效自评。共涉及资金 1470.15万元，占一般公共预算项目支出总额的77 %。</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共组织对“登记大厅运行费”等4个项目进行了部门评价，涉及一般公共预算支出1470.15万元。</w:t>
      </w:r>
    </w:p>
    <w:p>
      <w:pPr>
        <w:spacing w:line="56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sz w:val="32"/>
          <w:szCs w:val="32"/>
        </w:rPr>
        <w:t>2021年，登记中心依法、依规认真履职，</w:t>
      </w:r>
      <w:r>
        <w:rPr>
          <w:rFonts w:hint="eastAsia" w:ascii="仿宋_GB2312" w:hAnsi="仿宋" w:eastAsia="仿宋_GB2312" w:cs="仿宋"/>
          <w:bCs/>
          <w:sz w:val="32"/>
          <w:szCs w:val="32"/>
        </w:rPr>
        <w:t>继续做好工作场所疫情防控，保障线下、线上业务办理有序高效，根据市政府统一部署，完成新办公场所柳州市民服务中心搬迁并保证登记业务正常有序运行。</w:t>
      </w:r>
      <w:r>
        <w:rPr>
          <w:rFonts w:hint="eastAsia" w:ascii="仿宋_GB2312" w:hAnsi="仿宋" w:eastAsia="仿宋_GB2312" w:cs="仿宋"/>
          <w:sz w:val="32"/>
          <w:szCs w:val="32"/>
        </w:rPr>
        <w:t>为不断优化营商环境、提升服务质量，保障不动产登记顺利进行，实现成本性支出、登记大厅运行费等项目的总体目标。</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组织对本单位开展整体支出绩效评价试点，涉及一般公共预算支出 3203.96 万元。</w:t>
      </w:r>
    </w:p>
    <w:p>
      <w:pPr>
        <w:spacing w:line="56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2021年，</w:t>
      </w:r>
      <w:r>
        <w:rPr>
          <w:rFonts w:hint="eastAsia" w:ascii="仿宋_GB2312" w:hAnsi="仿宋" w:eastAsia="仿宋_GB2312" w:cs="仿宋"/>
          <w:sz w:val="32"/>
          <w:szCs w:val="32"/>
        </w:rPr>
        <w:t>我中心办公室联合财务科、监察法规科开展预算支出绩效自评，对照2021年初设定的绩效指标及指标值，严格检查预算执行情况</w:t>
      </w:r>
      <w:r>
        <w:rPr>
          <w:rFonts w:hint="eastAsia" w:ascii="仿宋_GB2312" w:hAnsi="仿宋" w:eastAsia="仿宋_GB2312" w:cs="仿宋"/>
          <w:bCs/>
          <w:sz w:val="32"/>
          <w:szCs w:val="32"/>
        </w:rPr>
        <w:t>登记中心继续做好工作场所疫情防控，保障线下、线上业务办理有序高效，同时开展了为期2个月的《民法典》系列培训，提升干部职工业务知识水平。根据市政府统一部署，完成新办公场所柳州市民服务中心搬迁并保证登记业务正常有序运行。认真研究落实2021年广西持续优化营商环境行动方案任务，开展“我为群众办实事”工作，积极对接房企拓展“交房即交证”覆盖面以及新建商品房网上自助办证等。通过一系列提速增效、便民利民举措，登记中心工作获得上级领导和社会各界认可，荣获2020年优化营商环境第三方评估全区排名第三，推进我市营商环境优化，助力我市工业高质量发展。登记中心2021年收到群众企业赠送感谢信、锦旗共计9份。我中心依法依规正常开展不动产登记工作，合法合规使用资金严格执行市财政局批复的2021年部门预算。</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2.单位决算中项目绩效自评结果。</w:t>
      </w:r>
    </w:p>
    <w:p>
      <w:pPr>
        <w:spacing w:line="560" w:lineRule="exact"/>
        <w:ind w:firstLine="640" w:firstLineChars="200"/>
        <w:rPr>
          <w:rFonts w:hint="eastAsia" w:ascii="仿宋_GB2312" w:hAnsi="仿宋" w:eastAsia="仿宋_GB2312" w:cs="仿宋"/>
          <w:sz w:val="32"/>
          <w:szCs w:val="32"/>
        </w:rPr>
      </w:pPr>
      <w:r>
        <w:rPr>
          <w:rFonts w:hint="eastAsia" w:ascii="仿宋_GB2312" w:eastAsia="仿宋_GB2312" w:cs="仿宋_GB2312"/>
          <w:kern w:val="0"/>
          <w:sz w:val="32"/>
          <w:szCs w:val="32"/>
        </w:rPr>
        <w:t>我单位根据年初设定的绩效目标，登记大厅运行费项目自评得分为10分。成本性支出项目自评得分为10分。聘用人员经费自评得分为10分。继承、受遗赠查验项目项目自评得分为10 分。</w:t>
      </w:r>
      <w:r>
        <w:rPr>
          <w:rFonts w:hint="eastAsia" w:ascii="仿宋_GB2312" w:hAnsi="仿宋" w:eastAsia="仿宋_GB2312" w:cs="仿宋"/>
          <w:sz w:val="32"/>
          <w:szCs w:val="32"/>
        </w:rPr>
        <w:t>项目实施中遵守项目管理制度、预算绩效目标管理办法，确定专项执行科室，专项实施按月度消耗成本实施开支。专项管理过程资料齐全并归档，设置有质量检查及验收；预算成本控制率100%；生态效益方面方便了人民群众办理不动产登记，保护了权利人合法利益，促进社会经济秩序良好发展，服务对象满意度达100%</w:t>
      </w:r>
      <w:r>
        <w:rPr>
          <w:rFonts w:hint="eastAsia" w:ascii="仿宋_GB2312" w:hAnsi="仿宋" w:eastAsia="仿宋_GB2312" w:cs="仿宋"/>
          <w:sz w:val="32"/>
          <w:szCs w:val="32"/>
        </w:rPr>
        <w:tab/>
      </w:r>
      <w:r>
        <w:rPr>
          <w:rFonts w:hint="eastAsia" w:ascii="仿宋_GB2312" w:hAnsi="仿宋" w:eastAsia="仿宋_GB2312" w:cs="仿宋"/>
          <w:sz w:val="32"/>
          <w:szCs w:val="32"/>
        </w:rPr>
        <w:tab/>
      </w:r>
      <w:r>
        <w:rPr>
          <w:rFonts w:hint="eastAsia" w:ascii="仿宋_GB2312" w:hAnsi="仿宋" w:eastAsia="仿宋_GB2312" w:cs="仿宋"/>
          <w:sz w:val="32"/>
          <w:szCs w:val="32"/>
        </w:rPr>
        <w:tab/>
      </w:r>
      <w:r>
        <w:rPr>
          <w:rFonts w:hint="eastAsia" w:ascii="仿宋_GB2312" w:hAnsi="仿宋" w:eastAsia="仿宋_GB2312" w:cs="仿宋"/>
          <w:sz w:val="32"/>
          <w:szCs w:val="32"/>
        </w:rPr>
        <w:tab/>
      </w:r>
      <w:r>
        <w:rPr>
          <w:rFonts w:hint="eastAsia" w:ascii="仿宋_GB2312" w:hAnsi="仿宋" w:eastAsia="仿宋_GB2312" w:cs="仿宋"/>
          <w:sz w:val="32"/>
          <w:szCs w:val="32"/>
        </w:rPr>
        <w:tab/>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本单位《项目支出绩效自评表》附后</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p>
    <w:p>
      <w:pPr>
        <w:spacing w:line="560" w:lineRule="exact"/>
        <w:ind w:firstLine="645"/>
        <w:rPr>
          <w:rFonts w:hint="eastAsia" w:ascii="仿宋_GB2312" w:eastAsia="仿宋_GB2312"/>
          <w:b/>
          <w:sz w:val="32"/>
          <w:szCs w:val="32"/>
        </w:rPr>
      </w:pPr>
      <w:r>
        <w:rPr>
          <w:rFonts w:hint="eastAsia" w:ascii="仿宋_GB2312" w:eastAsia="仿宋_GB2312"/>
          <w:b/>
          <w:sz w:val="32"/>
          <w:szCs w:val="32"/>
        </w:rPr>
        <w:t>第四部分：名词解释</w:t>
      </w:r>
    </w:p>
    <w:p>
      <w:pPr>
        <w:spacing w:line="560" w:lineRule="exact"/>
        <w:ind w:firstLine="640"/>
        <w:rPr>
          <w:rFonts w:hint="eastAsia" w:ascii="仿宋_GB2312" w:eastAsia="仿宋_GB2312"/>
          <w:sz w:val="32"/>
          <w:szCs w:val="32"/>
        </w:rPr>
      </w:pPr>
      <w:r>
        <w:rPr>
          <w:rFonts w:hint="eastAsia" w:ascii="仿宋_GB2312" w:eastAsia="仿宋_GB2312"/>
          <w:sz w:val="32"/>
          <w:szCs w:val="32"/>
        </w:rPr>
        <w:t xml:space="preserve">一、财政拨款收入：指柳州市财政部门当年拨付的资金。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spacing w:line="56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640" w:firstLineChars="200"/>
        <w:rPr>
          <w:rFonts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- 2 -</w:t>
    </w:r>
    <w:r>
      <w:rPr>
        <w:sz w:val="30"/>
        <w:szCs w:val="30"/>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hjNDNkODRjZTUyODY5NDBlZDQxOWMwN2RjODhiODIifQ=="/>
  </w:docVars>
  <w:rsids>
    <w:rsidRoot w:val="4C256E3D"/>
    <w:rsid w:val="00066CA3"/>
    <w:rsid w:val="00180A78"/>
    <w:rsid w:val="001E7AEB"/>
    <w:rsid w:val="0020091D"/>
    <w:rsid w:val="003800EB"/>
    <w:rsid w:val="005B4218"/>
    <w:rsid w:val="006C1367"/>
    <w:rsid w:val="00715385"/>
    <w:rsid w:val="00747C08"/>
    <w:rsid w:val="007661C8"/>
    <w:rsid w:val="007C0881"/>
    <w:rsid w:val="008E722F"/>
    <w:rsid w:val="00947125"/>
    <w:rsid w:val="00AA4F46"/>
    <w:rsid w:val="00C11D55"/>
    <w:rsid w:val="00C13ED0"/>
    <w:rsid w:val="00E17074"/>
    <w:rsid w:val="00E53BFF"/>
    <w:rsid w:val="00F66C5B"/>
    <w:rsid w:val="00FD3619"/>
    <w:rsid w:val="019F37F7"/>
    <w:rsid w:val="0298763F"/>
    <w:rsid w:val="040726EB"/>
    <w:rsid w:val="04370D5C"/>
    <w:rsid w:val="04C27745"/>
    <w:rsid w:val="05352423"/>
    <w:rsid w:val="05BF52BC"/>
    <w:rsid w:val="06297517"/>
    <w:rsid w:val="07067F5D"/>
    <w:rsid w:val="08CB3C0D"/>
    <w:rsid w:val="090C42B5"/>
    <w:rsid w:val="094B45FA"/>
    <w:rsid w:val="095C7F22"/>
    <w:rsid w:val="0A0C33E4"/>
    <w:rsid w:val="0A252635"/>
    <w:rsid w:val="0B424B1D"/>
    <w:rsid w:val="0DA86951"/>
    <w:rsid w:val="0E074DDF"/>
    <w:rsid w:val="0F0F5ED6"/>
    <w:rsid w:val="0F536729"/>
    <w:rsid w:val="101D4369"/>
    <w:rsid w:val="10813E80"/>
    <w:rsid w:val="124204B5"/>
    <w:rsid w:val="144933C4"/>
    <w:rsid w:val="148551F8"/>
    <w:rsid w:val="14F016D4"/>
    <w:rsid w:val="15426089"/>
    <w:rsid w:val="154B0318"/>
    <w:rsid w:val="15677B87"/>
    <w:rsid w:val="157D5D30"/>
    <w:rsid w:val="15823E15"/>
    <w:rsid w:val="15D51C5F"/>
    <w:rsid w:val="1612602D"/>
    <w:rsid w:val="16B90A0F"/>
    <w:rsid w:val="182962AB"/>
    <w:rsid w:val="18943EDF"/>
    <w:rsid w:val="195A78BF"/>
    <w:rsid w:val="1994785B"/>
    <w:rsid w:val="19A64FD6"/>
    <w:rsid w:val="19D073EB"/>
    <w:rsid w:val="1A650904"/>
    <w:rsid w:val="1AAE3677"/>
    <w:rsid w:val="1C3F129F"/>
    <w:rsid w:val="1CC31F67"/>
    <w:rsid w:val="1D4438EE"/>
    <w:rsid w:val="1EDF295B"/>
    <w:rsid w:val="1EFB0749"/>
    <w:rsid w:val="1F2F4003"/>
    <w:rsid w:val="2249565E"/>
    <w:rsid w:val="22934BF1"/>
    <w:rsid w:val="24C3687B"/>
    <w:rsid w:val="24D337DC"/>
    <w:rsid w:val="25E154EF"/>
    <w:rsid w:val="26460DBA"/>
    <w:rsid w:val="265257A6"/>
    <w:rsid w:val="26802C75"/>
    <w:rsid w:val="26B5572B"/>
    <w:rsid w:val="282B79B7"/>
    <w:rsid w:val="2A8A5E86"/>
    <w:rsid w:val="2B6F74EB"/>
    <w:rsid w:val="2B7837F6"/>
    <w:rsid w:val="2B986DFD"/>
    <w:rsid w:val="2BBD46E1"/>
    <w:rsid w:val="2BE03E2F"/>
    <w:rsid w:val="2C1F0B15"/>
    <w:rsid w:val="2C4219FE"/>
    <w:rsid w:val="2E8309B5"/>
    <w:rsid w:val="2F1E7820"/>
    <w:rsid w:val="2F9003E9"/>
    <w:rsid w:val="2FEB24AC"/>
    <w:rsid w:val="308B3A52"/>
    <w:rsid w:val="32841682"/>
    <w:rsid w:val="32F578AD"/>
    <w:rsid w:val="335718FE"/>
    <w:rsid w:val="33584A7B"/>
    <w:rsid w:val="34020F86"/>
    <w:rsid w:val="341361ED"/>
    <w:rsid w:val="37476E97"/>
    <w:rsid w:val="394B309E"/>
    <w:rsid w:val="39A63F06"/>
    <w:rsid w:val="3A4874FB"/>
    <w:rsid w:val="3A537A35"/>
    <w:rsid w:val="3C017E2C"/>
    <w:rsid w:val="3CC612B7"/>
    <w:rsid w:val="3DA92D19"/>
    <w:rsid w:val="3E536CF4"/>
    <w:rsid w:val="3E6F4772"/>
    <w:rsid w:val="3EA872B2"/>
    <w:rsid w:val="3ED1439F"/>
    <w:rsid w:val="3FA43920"/>
    <w:rsid w:val="42210428"/>
    <w:rsid w:val="42235D58"/>
    <w:rsid w:val="425A2075"/>
    <w:rsid w:val="443133A9"/>
    <w:rsid w:val="44500BF5"/>
    <w:rsid w:val="44560C84"/>
    <w:rsid w:val="446855BA"/>
    <w:rsid w:val="459975C6"/>
    <w:rsid w:val="462C640D"/>
    <w:rsid w:val="47F43786"/>
    <w:rsid w:val="48374EDC"/>
    <w:rsid w:val="48CF0986"/>
    <w:rsid w:val="4A414574"/>
    <w:rsid w:val="4A8F0E29"/>
    <w:rsid w:val="4B2318A2"/>
    <w:rsid w:val="4BCC75ED"/>
    <w:rsid w:val="4C256E3D"/>
    <w:rsid w:val="4CA9677A"/>
    <w:rsid w:val="4CB52F0F"/>
    <w:rsid w:val="4DCE4C23"/>
    <w:rsid w:val="4E2430B0"/>
    <w:rsid w:val="4E2875DF"/>
    <w:rsid w:val="4E404401"/>
    <w:rsid w:val="4E585F6B"/>
    <w:rsid w:val="4EBE234E"/>
    <w:rsid w:val="4FF30881"/>
    <w:rsid w:val="50231A77"/>
    <w:rsid w:val="502E131B"/>
    <w:rsid w:val="5097579D"/>
    <w:rsid w:val="509F53A3"/>
    <w:rsid w:val="50C04C3A"/>
    <w:rsid w:val="51666BA6"/>
    <w:rsid w:val="532F1F9A"/>
    <w:rsid w:val="54A440BF"/>
    <w:rsid w:val="5587107B"/>
    <w:rsid w:val="559117FB"/>
    <w:rsid w:val="55D0038B"/>
    <w:rsid w:val="5612625C"/>
    <w:rsid w:val="57931D57"/>
    <w:rsid w:val="58BD5D3C"/>
    <w:rsid w:val="58C70C0A"/>
    <w:rsid w:val="59DD680B"/>
    <w:rsid w:val="5B7B134F"/>
    <w:rsid w:val="5C032BDF"/>
    <w:rsid w:val="5D0164B1"/>
    <w:rsid w:val="5D2C18F8"/>
    <w:rsid w:val="5DBB25AC"/>
    <w:rsid w:val="5E995A3E"/>
    <w:rsid w:val="5F933EA7"/>
    <w:rsid w:val="5F941362"/>
    <w:rsid w:val="5F95061E"/>
    <w:rsid w:val="5FC1266C"/>
    <w:rsid w:val="605F40E2"/>
    <w:rsid w:val="60BC0091"/>
    <w:rsid w:val="6109585D"/>
    <w:rsid w:val="617D1584"/>
    <w:rsid w:val="617E254E"/>
    <w:rsid w:val="62163194"/>
    <w:rsid w:val="624D024D"/>
    <w:rsid w:val="62D17DD9"/>
    <w:rsid w:val="650E086A"/>
    <w:rsid w:val="65EB571E"/>
    <w:rsid w:val="67073DC9"/>
    <w:rsid w:val="689618A9"/>
    <w:rsid w:val="69B75E31"/>
    <w:rsid w:val="69EB16F9"/>
    <w:rsid w:val="6BAA0708"/>
    <w:rsid w:val="6CBD29B8"/>
    <w:rsid w:val="6DD523D2"/>
    <w:rsid w:val="6ED12EDF"/>
    <w:rsid w:val="6F174B77"/>
    <w:rsid w:val="70046E9D"/>
    <w:rsid w:val="70D04454"/>
    <w:rsid w:val="70FE448F"/>
    <w:rsid w:val="71474473"/>
    <w:rsid w:val="717B2552"/>
    <w:rsid w:val="72231A60"/>
    <w:rsid w:val="743631A3"/>
    <w:rsid w:val="7512040F"/>
    <w:rsid w:val="75AF6C8B"/>
    <w:rsid w:val="75B96BD7"/>
    <w:rsid w:val="76FF66E6"/>
    <w:rsid w:val="77474C4B"/>
    <w:rsid w:val="77774975"/>
    <w:rsid w:val="780D39EA"/>
    <w:rsid w:val="7868375C"/>
    <w:rsid w:val="7AD26520"/>
    <w:rsid w:val="7AE73C60"/>
    <w:rsid w:val="7B045771"/>
    <w:rsid w:val="7B455AB7"/>
    <w:rsid w:val="7BC50AEF"/>
    <w:rsid w:val="7E3D3DE4"/>
    <w:rsid w:val="7E490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批注框文本 Char"/>
    <w:basedOn w:val="7"/>
    <w:link w:val="3"/>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5F85A3-AD6D-41C9-8A68-B0CAC447D36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5353</Words>
  <Characters>5852</Characters>
  <Lines>43</Lines>
  <Paragraphs>12</Paragraphs>
  <TotalTime>145</TotalTime>
  <ScaleCrop>false</ScaleCrop>
  <LinksUpToDate>false</LinksUpToDate>
  <CharactersWithSpaces>5957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2022-09-15T11:21:05Z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ED1F338C438C4BC5B5D4B57562142F3D</vt:lpwstr>
  </property>
</Properties>
</file>