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不动产档案管理中心</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rPr>
        <w:t>柳州市不动产档案管理中心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rPr>
        <w:t>柳州市不动产档案管理中心</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rPr>
        <w:t>柳州市不动产档案管理中心</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keepNext w:val="0"/>
        <w:keepLines w:val="0"/>
        <w:pageBreakBefore w:val="0"/>
        <w:kinsoku/>
        <w:wordWrap/>
        <w:overflowPunct/>
        <w:topLinePunct w:val="0"/>
        <w:bidi w:val="0"/>
        <w:snapToGrid/>
        <w:spacing w:line="560" w:lineRule="exact"/>
        <w:ind w:firstLine="646"/>
        <w:jc w:val="center"/>
        <w:textAlignment w:val="auto"/>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柳州市不动产档案管理中心</w:t>
      </w:r>
      <w:r>
        <w:rPr>
          <w:rFonts w:hint="eastAsia" w:ascii="仿宋_GB2312" w:eastAsia="仿宋_GB2312"/>
          <w:b/>
          <w:sz w:val="32"/>
          <w:szCs w:val="32"/>
        </w:rPr>
        <w:t>概况</w:t>
      </w:r>
    </w:p>
    <w:p>
      <w:pPr>
        <w:keepNext w:val="0"/>
        <w:keepLines w:val="0"/>
        <w:pageBreakBefore w:val="0"/>
        <w:kinsoku/>
        <w:wordWrap/>
        <w:overflowPunct/>
        <w:topLinePunct w:val="0"/>
        <w:bidi w:val="0"/>
        <w:snapToGrid/>
        <w:spacing w:line="560" w:lineRule="exact"/>
        <w:ind w:firstLine="646"/>
        <w:textAlignment w:val="auto"/>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kinsoku/>
        <w:wordWrap/>
        <w:overflowPunct/>
        <w:topLinePunct w:val="0"/>
        <w:bidi w:val="0"/>
        <w:snapToGrid/>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1.承担市本级自然资源登记和不动产登记档案的接收、收集、整理、保管、数字化处理等工作。</w:t>
      </w:r>
    </w:p>
    <w:p>
      <w:pPr>
        <w:keepNext w:val="0"/>
        <w:keepLines w:val="0"/>
        <w:pageBreakBefore w:val="0"/>
        <w:kinsoku/>
        <w:wordWrap/>
        <w:overflowPunct/>
        <w:topLinePunct w:val="0"/>
        <w:bidi w:val="0"/>
        <w:snapToGrid/>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2.负责市本级自然资源登记和不动产登记档案的利用工作，依法提供自然资源登记和不动产登记信息公开、查询利用服务。</w:t>
      </w:r>
    </w:p>
    <w:p>
      <w:pPr>
        <w:keepNext w:val="0"/>
        <w:keepLines w:val="0"/>
        <w:pageBreakBefore w:val="0"/>
        <w:kinsoku/>
        <w:wordWrap/>
        <w:overflowPunct/>
        <w:topLinePunct w:val="0"/>
        <w:bidi w:val="0"/>
        <w:snapToGrid/>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3.负责管理市本级不动产统一登记前产生的房屋登记和房屋交易档案，并为不动产登记和房产交易机构提供相应查询服务。</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4.完成主管部门交办的其他任务。</w:t>
      </w:r>
    </w:p>
    <w:p>
      <w:pPr>
        <w:keepNext w:val="0"/>
        <w:keepLines w:val="0"/>
        <w:pageBreakBefore w:val="0"/>
        <w:kinsoku/>
        <w:wordWrap/>
        <w:overflowPunct/>
        <w:topLinePunct w:val="0"/>
        <w:bidi w:val="0"/>
        <w:snapToGrid/>
        <w:spacing w:line="560" w:lineRule="exact"/>
        <w:ind w:firstLine="645"/>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keepNext w:val="0"/>
        <w:keepLines w:val="0"/>
        <w:pageBreakBefore w:val="0"/>
        <w:kinsoku/>
        <w:wordWrap/>
        <w:overflowPunct/>
        <w:topLinePunct w:val="0"/>
        <w:bidi w:val="0"/>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color w:val="auto"/>
          <w:sz w:val="32"/>
          <w:szCs w:val="32"/>
        </w:rPr>
        <w:t>柳州市不动产档案管理中心为柳州市自然资源和规划局管理的公益一类全额拨款事业单位。全额</w:t>
      </w:r>
      <w:r>
        <w:rPr>
          <w:rFonts w:hint="eastAsia" w:ascii="仿宋_GB2312" w:eastAsia="仿宋_GB2312"/>
          <w:sz w:val="32"/>
          <w:szCs w:val="32"/>
        </w:rPr>
        <w:t>拨款</w:t>
      </w:r>
      <w:r>
        <w:rPr>
          <w:rFonts w:hint="eastAsia" w:ascii="仿宋_GB2312" w:eastAsia="仿宋_GB2312"/>
          <w:color w:val="auto"/>
          <w:sz w:val="32"/>
          <w:szCs w:val="32"/>
        </w:rPr>
        <w:t>事业编制15</w:t>
      </w:r>
      <w:r>
        <w:rPr>
          <w:rFonts w:hint="eastAsia" w:ascii="仿宋_GB2312" w:eastAsia="仿宋_GB2312"/>
          <w:color w:val="auto"/>
          <w:sz w:val="32"/>
          <w:szCs w:val="32"/>
          <w:lang w:eastAsia="zh-CN"/>
        </w:rPr>
        <w:t>人</w:t>
      </w:r>
      <w:r>
        <w:rPr>
          <w:rFonts w:hint="eastAsia" w:ascii="仿宋_GB2312" w:eastAsia="仿宋_GB2312"/>
          <w:color w:val="auto"/>
          <w:sz w:val="32"/>
          <w:szCs w:val="32"/>
        </w:rPr>
        <w:t>，</w:t>
      </w:r>
      <w:r>
        <w:rPr>
          <w:rFonts w:hint="eastAsia" w:ascii="仿宋_GB2312" w:hAnsi="华文仿宋" w:eastAsia="仿宋_GB2312"/>
          <w:sz w:val="32"/>
          <w:szCs w:val="32"/>
        </w:rPr>
        <w:t>其中单位领导职数2-3名。</w:t>
      </w:r>
      <w:r>
        <w:rPr>
          <w:rFonts w:hint="eastAsia" w:ascii="仿宋_GB2312" w:eastAsia="仿宋_GB2312"/>
          <w:color w:val="auto"/>
          <w:sz w:val="32"/>
          <w:szCs w:val="32"/>
        </w:rPr>
        <w:t>聘用人员45</w:t>
      </w:r>
      <w:r>
        <w:rPr>
          <w:rFonts w:hint="eastAsia" w:ascii="仿宋_GB2312" w:eastAsia="仿宋_GB2312"/>
          <w:color w:val="auto"/>
          <w:sz w:val="32"/>
          <w:szCs w:val="32"/>
          <w:lang w:eastAsia="zh-CN"/>
        </w:rPr>
        <w:t>人</w:t>
      </w:r>
      <w:r>
        <w:rPr>
          <w:rFonts w:hint="eastAsia" w:ascii="仿宋_GB2312" w:eastAsia="仿宋_GB2312"/>
          <w:color w:val="auto"/>
          <w:sz w:val="32"/>
          <w:szCs w:val="32"/>
        </w:rPr>
        <w:t>。退休补助1</w:t>
      </w:r>
      <w:r>
        <w:rPr>
          <w:rFonts w:hint="eastAsia" w:ascii="仿宋_GB2312" w:eastAsia="仿宋_GB2312"/>
          <w:color w:val="auto"/>
          <w:sz w:val="32"/>
          <w:szCs w:val="32"/>
          <w:lang w:eastAsia="zh-CN"/>
        </w:rPr>
        <w:t>人</w:t>
      </w:r>
      <w:r>
        <w:rPr>
          <w:rFonts w:hint="eastAsia" w:ascii="仿宋_GB2312" w:eastAsia="仿宋_GB2312"/>
          <w:color w:val="auto"/>
          <w:sz w:val="32"/>
          <w:szCs w:val="32"/>
        </w:rPr>
        <w:t>。</w:t>
      </w:r>
    </w:p>
    <w:p>
      <w:pPr>
        <w:keepNext w:val="0"/>
        <w:keepLines w:val="0"/>
        <w:pageBreakBefore w:val="0"/>
        <w:kinsoku/>
        <w:wordWrap/>
        <w:overflowPunct/>
        <w:topLinePunct w:val="0"/>
        <w:bidi w:val="0"/>
        <w:snapToGrid/>
        <w:spacing w:line="560" w:lineRule="exact"/>
        <w:textAlignment w:val="auto"/>
        <w:rPr>
          <w:rFonts w:hint="eastAsia" w:ascii="仿宋_GB2312" w:eastAsia="仿宋_GB2312"/>
          <w:b/>
          <w:sz w:val="32"/>
          <w:szCs w:val="32"/>
        </w:rPr>
      </w:pPr>
    </w:p>
    <w:p>
      <w:pPr>
        <w:keepNext w:val="0"/>
        <w:keepLines w:val="0"/>
        <w:pageBreakBefore w:val="0"/>
        <w:kinsoku/>
        <w:wordWrap/>
        <w:overflowPunct/>
        <w:topLinePunct w:val="0"/>
        <w:bidi w:val="0"/>
        <w:snapToGrid/>
        <w:spacing w:line="560" w:lineRule="exact"/>
        <w:jc w:val="center"/>
        <w:textAlignment w:val="auto"/>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柳州市不动产档案管理中心</w:t>
      </w:r>
      <w:r>
        <w:rPr>
          <w:rFonts w:hint="eastAsia" w:ascii="仿宋_GB2312" w:eastAsia="仿宋_GB2312"/>
          <w:b/>
          <w:sz w:val="32"/>
          <w:szCs w:val="32"/>
          <w:lang w:eastAsia="zh-CN"/>
        </w:rPr>
        <w:t>2021</w:t>
      </w:r>
      <w:r>
        <w:rPr>
          <w:rFonts w:hint="eastAsia" w:ascii="仿宋_GB2312" w:eastAsia="仿宋_GB2312"/>
          <w:b/>
          <w:sz w:val="32"/>
          <w:szCs w:val="32"/>
        </w:rPr>
        <w:t>年决算报表</w:t>
      </w:r>
    </w:p>
    <w:p>
      <w:pPr>
        <w:pStyle w:val="5"/>
        <w:keepNext w:val="0"/>
        <w:keepLines w:val="0"/>
        <w:pageBreakBefore w:val="0"/>
        <w:kinsoku/>
        <w:wordWrap/>
        <w:overflowPunct/>
        <w:topLinePunct w:val="0"/>
        <w:autoSpaceDE/>
        <w:autoSpaceDN/>
        <w:bidi w:val="0"/>
        <w:snapToGrid/>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w:t>
      </w:r>
      <w:r>
        <w:rPr>
          <w:rFonts w:hint="eastAsia" w:ascii="仿宋_GB2312" w:eastAsia="仿宋_GB2312"/>
          <w:sz w:val="32"/>
          <w:szCs w:val="32"/>
        </w:rPr>
        <w:t>收入支出决算总表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napToGrid/>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二</w:t>
      </w:r>
      <w:r>
        <w:rPr>
          <w:rFonts w:hint="eastAsia" w:ascii="仿宋_GB2312" w:hAnsi="华文仿宋" w:eastAsia="仿宋_GB2312"/>
          <w:bCs/>
          <w:color w:val="000000"/>
          <w:sz w:val="32"/>
          <w:szCs w:val="32"/>
        </w:rPr>
        <w:t>、收入决算表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napToGrid/>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三</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支出决算表（决算公开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napToGrid/>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四</w:t>
      </w:r>
      <w:r>
        <w:rPr>
          <w:rFonts w:hint="eastAsia" w:ascii="仿宋_GB2312" w:hAnsi="华文仿宋" w:eastAsia="仿宋_GB2312"/>
          <w:bCs/>
          <w:color w:val="000000"/>
          <w:sz w:val="32"/>
          <w:szCs w:val="32"/>
        </w:rPr>
        <w:t>、财政拨款收入支出决算</w:t>
      </w:r>
      <w:r>
        <w:rPr>
          <w:rFonts w:hint="eastAsia" w:ascii="仿宋_GB2312" w:hAnsi="华文仿宋" w:eastAsia="仿宋_GB2312"/>
          <w:bCs/>
          <w:color w:val="000000"/>
          <w:sz w:val="32"/>
          <w:szCs w:val="32"/>
          <w:lang w:eastAsia="zh-CN"/>
        </w:rPr>
        <w:t>总</w:t>
      </w:r>
      <w:r>
        <w:rPr>
          <w:rFonts w:hint="eastAsia" w:ascii="仿宋_GB2312" w:hAnsi="华文仿宋" w:eastAsia="仿宋_GB2312"/>
          <w:bCs/>
          <w:color w:val="000000"/>
          <w:sz w:val="32"/>
          <w:szCs w:val="32"/>
        </w:rPr>
        <w:t>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napToGrid/>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五</w:t>
      </w:r>
      <w:r>
        <w:rPr>
          <w:rFonts w:hint="eastAsia" w:ascii="仿宋_GB2312" w:hAnsi="华文仿宋" w:eastAsia="仿宋_GB2312"/>
          <w:bCs/>
          <w:color w:val="000000"/>
          <w:sz w:val="32"/>
          <w:szCs w:val="32"/>
        </w:rPr>
        <w:t>、一般公共预算财政拨款收入支出决算表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05表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napToGrid/>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六</w:t>
      </w:r>
      <w:r>
        <w:rPr>
          <w:rFonts w:hint="eastAsia" w:ascii="仿宋_GB2312" w:hAnsi="华文仿宋" w:eastAsia="仿宋_GB2312"/>
          <w:bCs/>
          <w:color w:val="000000"/>
          <w:sz w:val="32"/>
          <w:szCs w:val="32"/>
        </w:rPr>
        <w:t>、</w:t>
      </w:r>
      <w:r>
        <w:rPr>
          <w:rFonts w:hint="eastAsia" w:ascii="仿宋_GB2312" w:eastAsia="仿宋_GB2312"/>
          <w:sz w:val="32"/>
          <w:szCs w:val="32"/>
        </w:rPr>
        <w:t>一般公共预算财政拨款基本支出决算</w:t>
      </w:r>
      <w:r>
        <w:rPr>
          <w:rFonts w:hint="eastAsia" w:ascii="仿宋_GB2312" w:eastAsia="仿宋_GB2312"/>
          <w:sz w:val="32"/>
          <w:szCs w:val="32"/>
          <w:lang w:eastAsia="zh-CN"/>
        </w:rPr>
        <w:t>明细</w:t>
      </w:r>
      <w:r>
        <w:rPr>
          <w:rFonts w:hint="eastAsia" w:ascii="仿宋_GB2312" w:eastAsia="仿宋_GB2312"/>
          <w:sz w:val="32"/>
          <w:szCs w:val="32"/>
        </w:rPr>
        <w:t>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napToGrid/>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七</w:t>
      </w:r>
      <w:r>
        <w:rPr>
          <w:rFonts w:hint="eastAsia" w:ascii="仿宋_GB2312" w:hAnsi="华文仿宋" w:eastAsia="仿宋_GB2312"/>
          <w:bCs/>
          <w:color w:val="000000"/>
          <w:sz w:val="32"/>
          <w:szCs w:val="32"/>
        </w:rPr>
        <w:t>、</w:t>
      </w:r>
      <w:r>
        <w:rPr>
          <w:rFonts w:hint="eastAsia" w:ascii="仿宋_GB2312" w:eastAsia="仿宋_GB2312"/>
          <w:sz w:val="32"/>
          <w:szCs w:val="32"/>
        </w:rPr>
        <w:t>一般公共预算财政拨款</w:t>
      </w:r>
      <w:r>
        <w:rPr>
          <w:rFonts w:hint="eastAsia" w:ascii="仿宋_GB2312" w:hAnsi="华文仿宋" w:eastAsia="仿宋_GB2312"/>
          <w:bCs/>
          <w:color w:val="000000"/>
          <w:sz w:val="32"/>
          <w:szCs w:val="32"/>
        </w:rPr>
        <w:t>“三公”经费支出决算表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pPr>
        <w:pStyle w:val="5"/>
        <w:keepNext w:val="0"/>
        <w:keepLines w:val="0"/>
        <w:pageBreakBefore w:val="0"/>
        <w:kinsoku/>
        <w:wordWrap/>
        <w:overflowPunct/>
        <w:topLinePunct w:val="0"/>
        <w:autoSpaceDE/>
        <w:autoSpaceDN/>
        <w:bidi w:val="0"/>
        <w:snapToGrid/>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八、政府性基金预算财政拨款收入支出决算表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08表）</w:t>
      </w:r>
    </w:p>
    <w:p>
      <w:pPr>
        <w:pStyle w:val="5"/>
        <w:keepNext w:val="0"/>
        <w:keepLines w:val="0"/>
        <w:pageBreakBefore w:val="0"/>
        <w:kinsoku/>
        <w:wordWrap/>
        <w:overflowPunct/>
        <w:topLinePunct w:val="0"/>
        <w:autoSpaceDE/>
        <w:autoSpaceDN/>
        <w:bidi w:val="0"/>
        <w:snapToGrid/>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九、国有资本经营预算财政拨款支出决算表</w:t>
      </w:r>
      <w:r>
        <w:rPr>
          <w:rFonts w:hint="eastAsia" w:ascii="仿宋_GB2312" w:hAnsi="华文仿宋" w:eastAsia="仿宋_GB2312"/>
          <w:bCs/>
          <w:color w:val="000000"/>
          <w:sz w:val="32"/>
          <w:szCs w:val="32"/>
          <w:lang w:eastAsia="zh-CN"/>
        </w:rPr>
        <w:t>（决算公开</w:t>
      </w:r>
      <w:r>
        <w:rPr>
          <w:rFonts w:hint="eastAsia" w:ascii="仿宋_GB2312" w:hAnsi="华文仿宋" w:eastAsia="仿宋_GB2312"/>
          <w:bCs/>
          <w:color w:val="000000"/>
          <w:sz w:val="32"/>
          <w:szCs w:val="32"/>
          <w:lang w:val="en-US" w:eastAsia="zh-CN"/>
        </w:rPr>
        <w:t>09表）</w:t>
      </w:r>
    </w:p>
    <w:p>
      <w:pPr>
        <w:keepNext w:val="0"/>
        <w:keepLines w:val="0"/>
        <w:pageBreakBefore w:val="0"/>
        <w:kinsoku/>
        <w:wordWrap/>
        <w:overflowPunct/>
        <w:topLinePunct w:val="0"/>
        <w:bidi w:val="0"/>
        <w:snapToGrid/>
        <w:spacing w:line="560" w:lineRule="exact"/>
        <w:ind w:firstLine="640"/>
        <w:textAlignment w:val="auto"/>
        <w:rPr>
          <w:rFonts w:hint="eastAsia" w:ascii="仿宋_GB2312" w:hAnsi="黑体" w:eastAsia="仿宋_GB2312" w:cs="Times New Roman"/>
          <w:b/>
          <w:bCs/>
          <w:color w:val="000000"/>
          <w:sz w:val="32"/>
          <w:szCs w:val="32"/>
          <w:u w:val="none"/>
          <w:lang w:eastAsia="zh-CN"/>
        </w:rPr>
      </w:pPr>
      <w:r>
        <w:rPr>
          <w:rFonts w:hint="eastAsia" w:ascii="仿宋_GB2312" w:hAnsi="黑体" w:eastAsia="仿宋_GB2312" w:cs="Times New Roman"/>
          <w:b/>
          <w:bCs/>
          <w:color w:val="000000"/>
          <w:sz w:val="32"/>
          <w:szCs w:val="32"/>
          <w:u w:val="none"/>
          <w:lang w:eastAsia="zh-CN"/>
        </w:rPr>
        <w:t>上述报表详见附件：柳州市不动产档案管理中心202</w:t>
      </w:r>
      <w:r>
        <w:rPr>
          <w:rFonts w:hint="eastAsia" w:ascii="仿宋_GB2312" w:hAnsi="黑体" w:eastAsia="仿宋_GB2312" w:cs="Times New Roman"/>
          <w:b/>
          <w:bCs/>
          <w:color w:val="000000"/>
          <w:sz w:val="32"/>
          <w:szCs w:val="32"/>
          <w:u w:val="none"/>
          <w:lang w:val="en-US" w:eastAsia="zh-CN"/>
        </w:rPr>
        <w:t>1</w:t>
      </w:r>
      <w:r>
        <w:rPr>
          <w:rFonts w:hint="eastAsia" w:ascii="仿宋_GB2312" w:hAnsi="黑体" w:eastAsia="仿宋_GB2312" w:cs="Times New Roman"/>
          <w:b/>
          <w:bCs/>
          <w:color w:val="000000"/>
          <w:sz w:val="32"/>
          <w:szCs w:val="32"/>
          <w:u w:val="none"/>
          <w:lang w:eastAsia="zh-CN"/>
        </w:rPr>
        <w:t>年度决算公开表</w:t>
      </w:r>
    </w:p>
    <w:p>
      <w:pPr>
        <w:keepNext w:val="0"/>
        <w:keepLines w:val="0"/>
        <w:pageBreakBefore w:val="0"/>
        <w:kinsoku/>
        <w:wordWrap/>
        <w:overflowPunct/>
        <w:topLinePunct w:val="0"/>
        <w:bidi w:val="0"/>
        <w:snapToGrid/>
        <w:spacing w:line="560" w:lineRule="exact"/>
        <w:ind w:firstLine="640"/>
        <w:textAlignment w:val="auto"/>
        <w:rPr>
          <w:rFonts w:hint="eastAsia" w:ascii="仿宋_GB2312" w:hAnsi="黑体" w:eastAsia="仿宋_GB2312" w:cs="Times New Roman"/>
          <w:b/>
          <w:bCs/>
          <w:color w:val="000000"/>
          <w:sz w:val="32"/>
          <w:szCs w:val="32"/>
          <w:u w:val="none"/>
          <w:lang w:eastAsia="zh-CN"/>
        </w:rPr>
      </w:pPr>
    </w:p>
    <w:p>
      <w:pPr>
        <w:keepNext w:val="0"/>
        <w:keepLines w:val="0"/>
        <w:pageBreakBefore w:val="0"/>
        <w:kinsoku/>
        <w:wordWrap/>
        <w:overflowPunct/>
        <w:topLinePunct w:val="0"/>
        <w:bidi w:val="0"/>
        <w:snapToGrid/>
        <w:spacing w:line="560" w:lineRule="exact"/>
        <w:jc w:val="left"/>
        <w:textAlignment w:val="auto"/>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柳州市不动产档案管理中心</w:t>
      </w:r>
      <w:r>
        <w:rPr>
          <w:rFonts w:hint="eastAsia" w:ascii="仿宋_GB2312" w:eastAsia="仿宋_GB2312"/>
          <w:b/>
          <w:sz w:val="32"/>
          <w:szCs w:val="32"/>
          <w:lang w:eastAsia="zh-CN"/>
        </w:rPr>
        <w:t>2021</w:t>
      </w:r>
      <w:r>
        <w:rPr>
          <w:rFonts w:hint="eastAsia" w:ascii="仿宋_GB2312" w:eastAsia="仿宋_GB2312"/>
          <w:b/>
          <w:sz w:val="32"/>
          <w:szCs w:val="32"/>
        </w:rPr>
        <w:t>年度决算情况说明</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873.66</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813.51</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92.89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12.89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813.26</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92.91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12.90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：新增市民服务中心搬迁经项目经费。</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2.其他收入</w:t>
      </w:r>
      <w:r>
        <w:rPr>
          <w:rFonts w:hint="eastAsia" w:ascii="仿宋_GB2312" w:eastAsia="仿宋_GB2312"/>
          <w:kern w:val="0"/>
          <w:sz w:val="32"/>
          <w:szCs w:val="32"/>
          <w:lang w:val="en-US" w:eastAsia="zh-CN"/>
        </w:rPr>
        <w:t>0.24</w:t>
      </w:r>
      <w:r>
        <w:rPr>
          <w:rFonts w:hint="eastAsia" w:ascii="仿宋_GB2312" w:eastAsia="仿宋_GB2312" w:cs="仿宋_GB2312"/>
          <w:kern w:val="0"/>
          <w:sz w:val="32"/>
          <w:szCs w:val="32"/>
        </w:rPr>
        <w:t>万元，为单位在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0.03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11.11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：银行利息减少。</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1.23</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1.93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61.08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rPr>
        <w:t>弥补本年度收支缺口</w:t>
      </w:r>
      <w:r>
        <w:rPr>
          <w:rFonts w:hint="eastAsia" w:ascii="仿宋_GB2312" w:eastAsia="仿宋_GB2312" w:cs="仿宋_GB2312"/>
          <w:kern w:val="0"/>
          <w:sz w:val="32"/>
          <w:szCs w:val="32"/>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4</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58.93</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37.11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38.64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：转到本年度按有关规定继续使用的资金减少。</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873.66</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862.28</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135.38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18.62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.社会保障和就业支出（类）</w:t>
      </w:r>
      <w:r>
        <w:rPr>
          <w:rFonts w:hint="eastAsia" w:ascii="仿宋_GB2312" w:eastAsia="仿宋_GB2312"/>
          <w:kern w:val="0"/>
          <w:sz w:val="32"/>
          <w:szCs w:val="32"/>
          <w:lang w:val="en-US" w:eastAsia="zh-CN"/>
        </w:rPr>
        <w:t>37.90</w:t>
      </w:r>
      <w:r>
        <w:rPr>
          <w:rFonts w:hint="eastAsia" w:ascii="仿宋_GB2312" w:eastAsia="仿宋_GB2312" w:cs="仿宋_GB2312"/>
          <w:kern w:val="0"/>
          <w:sz w:val="32"/>
          <w:szCs w:val="32"/>
        </w:rPr>
        <w:t>万元：主要用于单位养老、职业年金缴费</w:t>
      </w:r>
      <w:r>
        <w:rPr>
          <w:rFonts w:hint="eastAsia" w:ascii="仿宋_GB2312" w:eastAsia="仿宋_GB2312" w:cs="仿宋_GB2312"/>
          <w:kern w:val="0"/>
          <w:sz w:val="32"/>
          <w:szCs w:val="32"/>
          <w:lang w:eastAsia="zh-CN"/>
        </w:rPr>
        <w:t>等</w:t>
      </w:r>
      <w:r>
        <w:rPr>
          <w:rFonts w:hint="eastAsia" w:ascii="仿宋_GB2312" w:eastAsia="仿宋_GB2312" w:cs="仿宋_GB2312"/>
          <w:kern w:val="0"/>
          <w:sz w:val="32"/>
          <w:szCs w:val="32"/>
        </w:rPr>
        <w:t>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13.68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56.48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：人员新增以及工资增加，社保缴费增长。</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2.</w:t>
      </w:r>
      <w:r>
        <w:rPr>
          <w:rFonts w:hint="eastAsia" w:ascii="仿宋_GB2312" w:eastAsia="仿宋_GB2312"/>
          <w:bCs/>
          <w:kern w:val="0"/>
          <w:sz w:val="32"/>
          <w:szCs w:val="32"/>
          <w:lang w:eastAsia="zh-CN"/>
        </w:rPr>
        <w:t>卫生健康支出</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11.24万元：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医疗保险等</w:t>
      </w:r>
      <w:r>
        <w:rPr>
          <w:rFonts w:hint="eastAsia" w:ascii="仿宋_GB2312" w:eastAsia="仿宋_GB2312" w:cs="仿宋_GB2312"/>
          <w:kern w:val="0"/>
          <w:sz w:val="32"/>
          <w:szCs w:val="32"/>
        </w:rPr>
        <w:t>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3.02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36.74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：人员新增以及工资增加，社保缴费增长。</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3.城乡社区支出</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629.34万元：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政务大厅运行费用、库房租用经费、档案管理、网络设备运维，市民服务中心搬迁经费等</w:t>
      </w:r>
      <w:r>
        <w:rPr>
          <w:rFonts w:hint="eastAsia" w:ascii="仿宋_GB2312" w:eastAsia="仿宋_GB2312" w:cs="仿宋_GB2312"/>
          <w:kern w:val="0"/>
          <w:sz w:val="32"/>
          <w:szCs w:val="32"/>
        </w:rPr>
        <w:t>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66.72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11.86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：新增</w:t>
      </w:r>
      <w:r>
        <w:rPr>
          <w:rFonts w:hint="eastAsia" w:ascii="仿宋_GB2312" w:eastAsia="仿宋_GB2312" w:cs="仿宋_GB2312"/>
          <w:kern w:val="0"/>
          <w:sz w:val="32"/>
          <w:szCs w:val="32"/>
          <w:lang w:eastAsia="zh-CN"/>
        </w:rPr>
        <w:t>市民服务中心</w:t>
      </w:r>
      <w:r>
        <w:rPr>
          <w:rFonts w:hint="eastAsia" w:ascii="仿宋_GB2312" w:hAnsi="黑体" w:eastAsia="仿宋_GB2312" w:cs="仿宋_GB2312"/>
          <w:kern w:val="0"/>
          <w:sz w:val="32"/>
          <w:szCs w:val="32"/>
          <w:lang w:eastAsia="zh-CN"/>
        </w:rPr>
        <w:t>搬迁经费。</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4.自然资源海洋气象等支出</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166.61元：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人员经费、单位日常公用经费等</w:t>
      </w:r>
      <w:r>
        <w:rPr>
          <w:rFonts w:hint="eastAsia" w:ascii="仿宋_GB2312" w:eastAsia="仿宋_GB2312" w:cs="仿宋_GB2312"/>
          <w:kern w:val="0"/>
          <w:sz w:val="32"/>
          <w:szCs w:val="32"/>
        </w:rPr>
        <w:t>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47.80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40.23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：人员新增以及工资增加。</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5.住房保障支出</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17.19元：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人员经费、单位日常公用经费等</w:t>
      </w:r>
      <w:r>
        <w:rPr>
          <w:rFonts w:hint="eastAsia" w:ascii="仿宋_GB2312" w:eastAsia="仿宋_GB2312" w:cs="仿宋_GB2312"/>
          <w:kern w:val="0"/>
          <w:sz w:val="32"/>
          <w:szCs w:val="32"/>
        </w:rPr>
        <w:t>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4.16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31.93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：人员新增以及工资增加，公积金费用增加。</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0.24</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银行利息收入</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20.17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98.82</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：转入归集资金。</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11.14</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61.36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84.63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：根据财政部门要求年底不再结转当年未使用完的财政资金进行结转账务处理。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cs="仿宋_GB2312"/>
          <w:kern w:val="0"/>
          <w:sz w:val="32"/>
          <w:szCs w:val="32"/>
          <w:lang w:val="en-US" w:eastAsia="zh-CN"/>
        </w:rPr>
        <w:t>861.05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137.31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18.97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231.71</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629.34</w:t>
      </w:r>
      <w:r>
        <w:rPr>
          <w:rFonts w:hint="eastAsia" w:ascii="仿宋_GB2312" w:eastAsia="仿宋_GB2312" w:cs="仿宋_GB2312"/>
          <w:kern w:val="0"/>
          <w:sz w:val="32"/>
          <w:szCs w:val="32"/>
        </w:rPr>
        <w:t>万元。</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kern w:val="0"/>
          <w:sz w:val="32"/>
          <w:szCs w:val="32"/>
        </w:rPr>
        <w:t xml:space="preserve">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773.60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861.05</w:t>
      </w:r>
      <w:r>
        <w:rPr>
          <w:rFonts w:hint="eastAsia" w:ascii="仿宋_GB2312" w:hAnsi="黑体" w:eastAsia="仿宋_GB2312" w:cs="仿宋_GB2312"/>
          <w:kern w:val="0"/>
          <w:sz w:val="32"/>
          <w:szCs w:val="32"/>
        </w:rPr>
        <w:t>万元，完成年初预算</w:t>
      </w:r>
      <w:r>
        <w:rPr>
          <w:rFonts w:hint="eastAsia" w:ascii="仿宋_GB2312" w:hAnsi="黑体" w:eastAsia="仿宋_GB2312" w:cs="仿宋_GB2312"/>
          <w:kern w:val="0"/>
          <w:sz w:val="32"/>
          <w:szCs w:val="32"/>
          <w:lang w:eastAsia="zh-CN"/>
        </w:rPr>
        <w:t>的</w:t>
      </w:r>
      <w:r>
        <w:rPr>
          <w:rFonts w:hint="eastAsia" w:ascii="仿宋_GB2312" w:hAnsi="黑体" w:eastAsia="仿宋_GB2312" w:cs="仿宋_GB2312"/>
          <w:kern w:val="0"/>
          <w:sz w:val="32"/>
          <w:szCs w:val="32"/>
          <w:lang w:val="en-US" w:eastAsia="zh-CN"/>
        </w:rPr>
        <w:t>111.30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（一）社会保障和就业支出</w:t>
      </w:r>
      <w:r>
        <w:rPr>
          <w:rFonts w:hint="eastAsia" w:ascii="仿宋_GB2312" w:eastAsia="仿宋_GB2312" w:cs="仿宋_GB2312"/>
          <w:bCs/>
          <w:kern w:val="0"/>
          <w:sz w:val="32"/>
          <w:szCs w:val="32"/>
        </w:rPr>
        <w:t>（类）行政事业单位养老支出（款）事业单位离退休（项）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1.28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1.40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109.38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决算数大于预算数的主要原因是年中追加安排2021年退休干部春节慰问</w:t>
      </w:r>
      <w:r>
        <w:rPr>
          <w:rFonts w:hint="eastAsia" w:ascii="仿宋_GB2312" w:hAnsi="黑体" w:eastAsia="仿宋_GB2312" w:cs="仿宋_GB2312"/>
          <w:b/>
          <w:bCs/>
          <w:kern w:val="0"/>
          <w:sz w:val="32"/>
          <w:szCs w:val="32"/>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（二）</w:t>
      </w:r>
      <w:r>
        <w:rPr>
          <w:rFonts w:hint="eastAsia" w:ascii="仿宋_GB2312" w:eastAsia="仿宋_GB2312"/>
          <w:bCs/>
          <w:kern w:val="0"/>
          <w:sz w:val="32"/>
          <w:szCs w:val="32"/>
          <w:lang w:val="en-US" w:eastAsia="zh-CN"/>
        </w:rPr>
        <w:t>社会保障和就业支出</w:t>
      </w:r>
      <w:r>
        <w:rPr>
          <w:rFonts w:hint="eastAsia" w:ascii="仿宋_GB2312" w:eastAsia="仿宋_GB2312" w:cs="仿宋_GB2312"/>
          <w:bCs/>
          <w:kern w:val="0"/>
          <w:sz w:val="32"/>
          <w:szCs w:val="32"/>
        </w:rPr>
        <w:t>（类）行政事业单位养老支出（款）机关事业单位基本养老保险缴费支出（项）。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17.27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25.04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155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决算数大于预算数的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hAnsi="黑体" w:eastAsia="仿宋_GB2312" w:cs="仿宋_GB2312"/>
          <w:kern w:val="0"/>
          <w:sz w:val="32"/>
          <w:szCs w:val="32"/>
          <w:lang w:eastAsia="zh-CN"/>
        </w:rPr>
        <w:t>是人员新增以及工资增加，社保缴费增加。</w:t>
      </w:r>
    </w:p>
    <w:p>
      <w:pPr>
        <w:keepNext w:val="0"/>
        <w:keepLines w:val="0"/>
        <w:pageBreakBefore w:val="0"/>
        <w:numPr>
          <w:ilvl w:val="-1"/>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eastAsia="zh-CN"/>
        </w:rPr>
        <w:t>（三）</w:t>
      </w:r>
      <w:r>
        <w:rPr>
          <w:rFonts w:hint="eastAsia" w:ascii="仿宋_GB2312" w:eastAsia="仿宋_GB2312"/>
          <w:bCs/>
          <w:kern w:val="0"/>
          <w:sz w:val="32"/>
          <w:szCs w:val="32"/>
          <w:lang w:val="en-US" w:eastAsia="zh-CN"/>
        </w:rPr>
        <w:t>社会保障和就业支出</w:t>
      </w:r>
      <w:r>
        <w:rPr>
          <w:rFonts w:hint="eastAsia" w:ascii="仿宋_GB2312" w:eastAsia="仿宋_GB2312" w:cs="仿宋_GB2312"/>
          <w:bCs/>
          <w:kern w:val="0"/>
          <w:sz w:val="32"/>
          <w:szCs w:val="32"/>
        </w:rPr>
        <w:t>（类）行政事业单位养老支出（款）机关事业单位职业年金缴费支出（项）。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8.64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11.46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132.64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决算数大于预算数的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hAnsi="黑体" w:eastAsia="仿宋_GB2312" w:cs="仿宋_GB2312"/>
          <w:kern w:val="0"/>
          <w:sz w:val="32"/>
          <w:szCs w:val="32"/>
          <w:lang w:eastAsia="zh-CN"/>
        </w:rPr>
        <w:t>是人员新增以及工资增加，社保缴费增加。</w:t>
      </w:r>
    </w:p>
    <w:p>
      <w:pPr>
        <w:keepNext w:val="0"/>
        <w:keepLines w:val="0"/>
        <w:pageBreakBefore w:val="0"/>
        <w:numPr>
          <w:ilvl w:val="-1"/>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eastAsia="zh-CN"/>
        </w:rPr>
        <w:t>（四）卫生健康支出</w:t>
      </w:r>
      <w:r>
        <w:rPr>
          <w:rFonts w:hint="eastAsia" w:ascii="仿宋_GB2312" w:eastAsia="仿宋_GB2312" w:cs="仿宋_GB2312"/>
          <w:bCs/>
          <w:kern w:val="0"/>
          <w:sz w:val="32"/>
          <w:szCs w:val="32"/>
        </w:rPr>
        <w:t>（类）行政事业单位医疗（款）事业单位医疗（项）。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8.49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11.24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132.39</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决算数大于预算数的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hAnsi="黑体" w:eastAsia="仿宋_GB2312" w:cs="仿宋_GB2312"/>
          <w:kern w:val="0"/>
          <w:sz w:val="32"/>
          <w:szCs w:val="32"/>
          <w:lang w:eastAsia="zh-CN"/>
        </w:rPr>
        <w:t>人员是新增以及工资增加，社保缴费增加。</w:t>
      </w:r>
    </w:p>
    <w:p>
      <w:pPr>
        <w:keepNext w:val="0"/>
        <w:keepLines w:val="0"/>
        <w:pageBreakBefore w:val="0"/>
        <w:numPr>
          <w:ilvl w:val="-1"/>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（五）城乡社区支出</w:t>
      </w:r>
      <w:r>
        <w:rPr>
          <w:rFonts w:hint="eastAsia" w:ascii="仿宋_GB2312" w:eastAsia="仿宋_GB2312" w:cs="仿宋_GB2312"/>
          <w:bCs/>
          <w:kern w:val="0"/>
          <w:sz w:val="32"/>
          <w:szCs w:val="32"/>
        </w:rPr>
        <w:t>（类）建设市场管理与监督（款）建设市场管理与监督（项）。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594.90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455.03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76.49</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决算数小于预算数的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hAnsi="黑体" w:eastAsia="仿宋_GB2312" w:cs="仿宋_GB2312"/>
          <w:kern w:val="0"/>
          <w:sz w:val="32"/>
          <w:szCs w:val="32"/>
          <w:lang w:eastAsia="zh-CN"/>
        </w:rPr>
        <w:t>是</w:t>
      </w:r>
      <w:r>
        <w:rPr>
          <w:rFonts w:hint="eastAsia" w:ascii="仿宋_GB2312" w:eastAsia="仿宋_GB2312" w:cs="仿宋_GB2312"/>
          <w:kern w:val="0"/>
          <w:sz w:val="32"/>
          <w:szCs w:val="32"/>
          <w:lang w:eastAsia="zh-CN"/>
        </w:rPr>
        <w:t>财政压减公共预算经费支出，导致原在年初预算安排的部分项目经费受到压减。</w:t>
      </w:r>
    </w:p>
    <w:p>
      <w:pPr>
        <w:keepNext w:val="0"/>
        <w:keepLines w:val="0"/>
        <w:pageBreakBefore w:val="0"/>
        <w:numPr>
          <w:ilvl w:val="-1"/>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（六）城乡社区支出（类）其他城乡社区支出（款）其他城乡社区支出（项）。年初预算为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lang w:eastAsia="zh-CN"/>
        </w:rPr>
        <w:t>万元，支出决算为</w:t>
      </w:r>
      <w:r>
        <w:rPr>
          <w:rFonts w:hint="eastAsia" w:ascii="仿宋_GB2312" w:eastAsia="仿宋_GB2312" w:cs="仿宋_GB2312"/>
          <w:kern w:val="0"/>
          <w:sz w:val="32"/>
          <w:szCs w:val="32"/>
          <w:lang w:val="en-US" w:eastAsia="zh-CN"/>
        </w:rPr>
        <w:t>174.31</w:t>
      </w:r>
      <w:r>
        <w:rPr>
          <w:rFonts w:hint="eastAsia" w:ascii="仿宋_GB2312" w:eastAsia="仿宋_GB2312" w:cs="仿宋_GB2312"/>
          <w:kern w:val="0"/>
          <w:sz w:val="32"/>
          <w:szCs w:val="32"/>
          <w:lang w:eastAsia="zh-CN"/>
        </w:rPr>
        <w:t>万元，完成年初预算的</w:t>
      </w:r>
      <w:r>
        <w:rPr>
          <w:rFonts w:hint="eastAsia" w:ascii="仿宋_GB2312" w:eastAsia="仿宋_GB2312" w:cs="仿宋_GB2312"/>
          <w:kern w:val="0"/>
          <w:sz w:val="32"/>
          <w:szCs w:val="32"/>
          <w:lang w:val="en-US" w:eastAsia="zh-CN"/>
        </w:rPr>
        <w:t>17431</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lang w:eastAsia="zh-CN"/>
        </w:rPr>
        <w:t>决算数大于预算数的</w:t>
      </w:r>
      <w:r>
        <w:rPr>
          <w:rFonts w:hint="eastAsia" w:ascii="仿宋_GB2312" w:eastAsia="仿宋_GB2312" w:cs="仿宋_GB2312"/>
          <w:kern w:val="0"/>
          <w:sz w:val="32"/>
          <w:szCs w:val="32"/>
          <w:lang w:eastAsia="zh-CN"/>
        </w:rPr>
        <w:t>主要原因</w:t>
      </w:r>
      <w:r>
        <w:rPr>
          <w:rFonts w:hint="eastAsia" w:ascii="仿宋_GB2312" w:hAnsi="黑体" w:eastAsia="仿宋_GB2312" w:cs="仿宋_GB2312"/>
          <w:kern w:val="0"/>
          <w:sz w:val="32"/>
          <w:szCs w:val="32"/>
          <w:lang w:eastAsia="zh-CN"/>
        </w:rPr>
        <w:t>是</w:t>
      </w:r>
      <w:r>
        <w:rPr>
          <w:rFonts w:hint="eastAsia" w:ascii="仿宋_GB2312" w:eastAsia="仿宋_GB2312" w:cs="仿宋_GB2312"/>
          <w:kern w:val="0"/>
          <w:sz w:val="32"/>
          <w:szCs w:val="32"/>
          <w:lang w:eastAsia="zh-CN"/>
        </w:rPr>
        <w:t>年中追加不动产档案管理中心搬迁到柳东市民服务中心经费。</w:t>
      </w:r>
    </w:p>
    <w:p>
      <w:pPr>
        <w:keepNext w:val="0"/>
        <w:keepLines w:val="0"/>
        <w:pageBreakBefore w:val="0"/>
        <w:numPr>
          <w:ilvl w:val="-1"/>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（七）自然资源海洋气象等支出（类）自然资源事务（款）事业运行（项）。年初预算为</w:t>
      </w:r>
      <w:r>
        <w:rPr>
          <w:rFonts w:hint="eastAsia" w:ascii="仿宋_GB2312" w:eastAsia="仿宋_GB2312" w:cs="仿宋_GB2312"/>
          <w:kern w:val="0"/>
          <w:sz w:val="32"/>
          <w:szCs w:val="32"/>
          <w:lang w:val="en-US" w:eastAsia="zh-CN"/>
        </w:rPr>
        <w:t>130.07</w:t>
      </w:r>
      <w:r>
        <w:rPr>
          <w:rFonts w:hint="eastAsia" w:ascii="仿宋_GB2312" w:eastAsia="仿宋_GB2312" w:cs="仿宋_GB2312"/>
          <w:kern w:val="0"/>
          <w:sz w:val="32"/>
          <w:szCs w:val="32"/>
          <w:lang w:eastAsia="zh-CN"/>
        </w:rPr>
        <w:t>万元，支出决算为</w:t>
      </w:r>
      <w:r>
        <w:rPr>
          <w:rFonts w:hint="eastAsia" w:ascii="仿宋_GB2312" w:eastAsia="仿宋_GB2312" w:cs="仿宋_GB2312"/>
          <w:kern w:val="0"/>
          <w:sz w:val="32"/>
          <w:szCs w:val="32"/>
          <w:lang w:val="en-US" w:eastAsia="zh-CN"/>
        </w:rPr>
        <w:t>165.38</w:t>
      </w:r>
      <w:r>
        <w:rPr>
          <w:rFonts w:hint="eastAsia" w:ascii="仿宋_GB2312" w:eastAsia="仿宋_GB2312" w:cs="仿宋_GB2312"/>
          <w:kern w:val="0"/>
          <w:sz w:val="32"/>
          <w:szCs w:val="32"/>
          <w:lang w:eastAsia="zh-CN"/>
        </w:rPr>
        <w:t>万元，完成年初预算的</w:t>
      </w:r>
      <w:r>
        <w:rPr>
          <w:rFonts w:hint="eastAsia" w:ascii="仿宋_GB2312" w:eastAsia="仿宋_GB2312" w:cs="仿宋_GB2312"/>
          <w:kern w:val="0"/>
          <w:sz w:val="32"/>
          <w:szCs w:val="32"/>
          <w:lang w:val="en-US" w:eastAsia="zh-CN"/>
        </w:rPr>
        <w:t>127.15</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lang w:eastAsia="zh-CN"/>
        </w:rPr>
        <w:t>决算数大于预算数的</w:t>
      </w:r>
      <w:r>
        <w:rPr>
          <w:rFonts w:hint="eastAsia" w:ascii="仿宋_GB2312" w:eastAsia="仿宋_GB2312" w:cs="仿宋_GB2312"/>
          <w:kern w:val="0"/>
          <w:sz w:val="32"/>
          <w:szCs w:val="32"/>
          <w:lang w:eastAsia="zh-CN"/>
        </w:rPr>
        <w:t>主要原因</w:t>
      </w:r>
      <w:r>
        <w:rPr>
          <w:rFonts w:hint="eastAsia" w:ascii="仿宋_GB2312" w:hAnsi="黑体" w:eastAsia="仿宋_GB2312" w:cs="仿宋_GB2312"/>
          <w:kern w:val="0"/>
          <w:sz w:val="32"/>
          <w:szCs w:val="32"/>
          <w:lang w:eastAsia="zh-CN"/>
        </w:rPr>
        <w:t>是人员新增以及工资增加</w:t>
      </w:r>
      <w:r>
        <w:rPr>
          <w:rFonts w:hint="eastAsia" w:ascii="仿宋_GB2312" w:eastAsia="仿宋_GB2312" w:cs="仿宋_GB2312"/>
          <w:kern w:val="0"/>
          <w:sz w:val="32"/>
          <w:szCs w:val="32"/>
          <w:lang w:eastAsia="zh-CN"/>
        </w:rPr>
        <w:t>。</w:t>
      </w:r>
    </w:p>
    <w:p>
      <w:pPr>
        <w:keepNext w:val="0"/>
        <w:keepLines w:val="0"/>
        <w:pageBreakBefore w:val="0"/>
        <w:numPr>
          <w:ilvl w:val="-1"/>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（八）住房保障支出（类）住房改革支出（款）住房公积金（项）。年初预算为</w:t>
      </w:r>
      <w:r>
        <w:rPr>
          <w:rFonts w:hint="eastAsia" w:ascii="仿宋_GB2312" w:eastAsia="仿宋_GB2312" w:cs="仿宋_GB2312"/>
          <w:kern w:val="0"/>
          <w:sz w:val="32"/>
          <w:szCs w:val="32"/>
          <w:lang w:val="en-US" w:eastAsia="zh-CN"/>
        </w:rPr>
        <w:t>12.95</w:t>
      </w:r>
      <w:r>
        <w:rPr>
          <w:rFonts w:hint="eastAsia" w:ascii="仿宋_GB2312" w:eastAsia="仿宋_GB2312" w:cs="仿宋_GB2312"/>
          <w:kern w:val="0"/>
          <w:sz w:val="32"/>
          <w:szCs w:val="32"/>
          <w:lang w:eastAsia="zh-CN"/>
        </w:rPr>
        <w:t>万元，支出决算为</w:t>
      </w:r>
      <w:r>
        <w:rPr>
          <w:rFonts w:hint="eastAsia" w:ascii="仿宋_GB2312" w:eastAsia="仿宋_GB2312" w:cs="仿宋_GB2312"/>
          <w:kern w:val="0"/>
          <w:sz w:val="32"/>
          <w:szCs w:val="32"/>
          <w:lang w:val="en-US" w:eastAsia="zh-CN"/>
        </w:rPr>
        <w:t>17.19</w:t>
      </w:r>
      <w:r>
        <w:rPr>
          <w:rFonts w:hint="eastAsia" w:ascii="仿宋_GB2312" w:eastAsia="仿宋_GB2312" w:cs="仿宋_GB2312"/>
          <w:kern w:val="0"/>
          <w:sz w:val="32"/>
          <w:szCs w:val="32"/>
          <w:lang w:eastAsia="zh-CN"/>
        </w:rPr>
        <w:t>万元，完成年初预算的</w:t>
      </w:r>
      <w:r>
        <w:rPr>
          <w:rFonts w:hint="eastAsia" w:ascii="仿宋_GB2312" w:eastAsia="仿宋_GB2312" w:cs="仿宋_GB2312"/>
          <w:kern w:val="0"/>
          <w:sz w:val="32"/>
          <w:szCs w:val="32"/>
          <w:lang w:val="en-US" w:eastAsia="zh-CN"/>
        </w:rPr>
        <w:t>132.74</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lang w:eastAsia="zh-CN"/>
        </w:rPr>
        <w:t>决算数大于预算数的</w:t>
      </w:r>
      <w:r>
        <w:rPr>
          <w:rFonts w:hint="eastAsia" w:ascii="仿宋_GB2312" w:eastAsia="仿宋_GB2312" w:cs="仿宋_GB2312"/>
          <w:kern w:val="0"/>
          <w:sz w:val="32"/>
          <w:szCs w:val="32"/>
          <w:lang w:eastAsia="zh-CN"/>
        </w:rPr>
        <w:t>主要原因</w:t>
      </w:r>
      <w:r>
        <w:rPr>
          <w:rFonts w:hint="eastAsia" w:ascii="仿宋_GB2312" w:hAnsi="黑体" w:eastAsia="仿宋_GB2312" w:cs="仿宋_GB2312"/>
          <w:kern w:val="0"/>
          <w:sz w:val="32"/>
          <w:szCs w:val="32"/>
          <w:lang w:eastAsia="zh-CN"/>
        </w:rPr>
        <w:t>是人员新增以及工资增加，公积金费用增加</w:t>
      </w:r>
      <w:r>
        <w:rPr>
          <w:rFonts w:hint="eastAsia" w:ascii="仿宋_GB2312" w:eastAsia="仿宋_GB2312" w:cs="仿宋_GB2312"/>
          <w:kern w:val="0"/>
          <w:sz w:val="32"/>
          <w:szCs w:val="32"/>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keepNext w:val="0"/>
        <w:keepLines w:val="0"/>
        <w:pageBreakBefore w:val="0"/>
        <w:numPr>
          <w:ilvl w:val="-1"/>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本单位2021年度一般公共预算财政拨款基本支出</w:t>
      </w:r>
      <w:r>
        <w:rPr>
          <w:rFonts w:hint="eastAsia" w:ascii="仿宋_GB2312" w:eastAsia="仿宋_GB2312" w:cs="仿宋_GB2312"/>
          <w:kern w:val="0"/>
          <w:sz w:val="32"/>
          <w:szCs w:val="32"/>
          <w:lang w:val="en-US" w:eastAsia="zh-CN"/>
        </w:rPr>
        <w:t>231.71</w:t>
      </w:r>
      <w:r>
        <w:rPr>
          <w:rFonts w:hint="eastAsia" w:ascii="仿宋_GB2312" w:eastAsia="仿宋_GB2312" w:cs="仿宋_GB2312"/>
          <w:kern w:val="0"/>
          <w:sz w:val="32"/>
          <w:szCs w:val="32"/>
          <w:lang w:eastAsia="zh-CN"/>
        </w:rPr>
        <w:t>万元，支出具体情况如下：</w:t>
      </w:r>
    </w:p>
    <w:p>
      <w:pPr>
        <w:keepNext w:val="0"/>
        <w:keepLines w:val="0"/>
        <w:pageBreakBefore w:val="0"/>
        <w:numPr>
          <w:ilvl w:val="-1"/>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（一）工资福利支出</w:t>
      </w:r>
      <w:r>
        <w:rPr>
          <w:rFonts w:hint="eastAsia" w:ascii="仿宋_GB2312" w:eastAsia="仿宋_GB2312" w:cs="仿宋_GB2312"/>
          <w:kern w:val="0"/>
          <w:sz w:val="32"/>
          <w:szCs w:val="32"/>
          <w:lang w:val="en-US" w:eastAsia="zh-CN"/>
        </w:rPr>
        <w:t>213.63</w:t>
      </w:r>
      <w:r>
        <w:rPr>
          <w:rFonts w:hint="eastAsia" w:ascii="仿宋_GB2312" w:eastAsia="仿宋_GB2312" w:cs="仿宋_GB2312"/>
          <w:kern w:val="0"/>
          <w:sz w:val="32"/>
          <w:szCs w:val="32"/>
          <w:lang w:eastAsia="zh-CN"/>
        </w:rPr>
        <w:t>万元，完成年初预算的</w:t>
      </w:r>
      <w:r>
        <w:rPr>
          <w:rFonts w:hint="eastAsia" w:ascii="仿宋_GB2312" w:eastAsia="仿宋_GB2312" w:cs="仿宋_GB2312"/>
          <w:kern w:val="0"/>
          <w:sz w:val="32"/>
          <w:szCs w:val="32"/>
          <w:lang w:val="en-US" w:eastAsia="zh-CN"/>
        </w:rPr>
        <w:t>134.31</w:t>
      </w:r>
      <w:r>
        <w:rPr>
          <w:rFonts w:hint="eastAsia" w:ascii="仿宋_GB2312" w:eastAsia="仿宋_GB2312" w:cs="仿宋_GB2312"/>
          <w:kern w:val="0"/>
          <w:sz w:val="32"/>
          <w:szCs w:val="32"/>
          <w:lang w:eastAsia="zh-CN"/>
        </w:rPr>
        <w:t>%。决算数大于预算数的主要原因是人员变动以及绩效总量补差。</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16.73</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90.48</w:t>
      </w:r>
      <w:r>
        <w:rPr>
          <w:rFonts w:hint="eastAsia" w:ascii="仿宋_GB2312" w:eastAsia="仿宋_GB2312"/>
          <w:bCs/>
          <w:kern w:val="0"/>
          <w:sz w:val="32"/>
          <w:szCs w:val="32"/>
        </w:rPr>
        <w:t>%。</w:t>
      </w:r>
      <w:r>
        <w:rPr>
          <w:rFonts w:hint="eastAsia" w:ascii="仿宋_GB2312" w:hAnsi="黑体" w:eastAsia="仿宋_GB2312" w:cs="仿宋_GB2312"/>
          <w:kern w:val="0"/>
          <w:sz w:val="32"/>
          <w:szCs w:val="32"/>
          <w:lang w:eastAsia="zh-CN"/>
        </w:rPr>
        <w:t>决算数小于预算数的</w:t>
      </w:r>
      <w:r>
        <w:rPr>
          <w:rFonts w:hint="eastAsia" w:ascii="仿宋_GB2312" w:eastAsia="仿宋_GB2312" w:cs="仿宋_GB2312"/>
          <w:kern w:val="0"/>
          <w:sz w:val="32"/>
          <w:szCs w:val="32"/>
          <w:lang w:eastAsia="zh-CN"/>
        </w:rPr>
        <w:t>主要原因</w:t>
      </w:r>
      <w:r>
        <w:rPr>
          <w:rFonts w:hint="eastAsia" w:ascii="仿宋_GB2312" w:hAnsi="黑体" w:eastAsia="仿宋_GB2312" w:cs="仿宋_GB2312"/>
          <w:kern w:val="0"/>
          <w:sz w:val="32"/>
          <w:szCs w:val="32"/>
          <w:lang w:eastAsia="zh-CN"/>
        </w:rPr>
        <w:t>是财政压减公共预算经费。</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w:t>
      </w:r>
      <w:r>
        <w:rPr>
          <w:rFonts w:hint="eastAsia" w:ascii="仿宋_GB2312" w:eastAsia="仿宋_GB2312"/>
          <w:bCs/>
          <w:kern w:val="0"/>
          <w:sz w:val="32"/>
          <w:szCs w:val="32"/>
          <w:lang w:eastAsia="zh-CN"/>
        </w:rPr>
        <w:t>三</w:t>
      </w:r>
      <w:r>
        <w:rPr>
          <w:rFonts w:hint="eastAsia" w:ascii="仿宋_GB2312" w:eastAsia="仿宋_GB2312"/>
          <w:bCs/>
          <w:kern w:val="0"/>
          <w:sz w:val="32"/>
          <w:szCs w:val="32"/>
        </w:rPr>
        <w:t>）对个人和家庭的补助</w:t>
      </w:r>
      <w:r>
        <w:rPr>
          <w:rFonts w:hint="eastAsia" w:ascii="仿宋_GB2312" w:eastAsia="仿宋_GB2312"/>
          <w:bCs/>
          <w:kern w:val="0"/>
          <w:sz w:val="32"/>
          <w:szCs w:val="32"/>
          <w:lang w:val="en-US" w:eastAsia="zh-CN"/>
        </w:rPr>
        <w:t>1.35</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117.39</w:t>
      </w:r>
      <w:r>
        <w:rPr>
          <w:rFonts w:hint="eastAsia" w:ascii="仿宋_GB2312" w:eastAsia="仿宋_GB2312"/>
          <w:bCs/>
          <w:kern w:val="0"/>
          <w:sz w:val="32"/>
          <w:szCs w:val="32"/>
        </w:rPr>
        <w:t>%。</w:t>
      </w:r>
      <w:r>
        <w:rPr>
          <w:rFonts w:hint="eastAsia" w:ascii="仿宋_GB2312" w:hAnsi="黑体" w:eastAsia="仿宋_GB2312" w:cs="仿宋_GB2312"/>
          <w:kern w:val="0"/>
          <w:sz w:val="32"/>
          <w:szCs w:val="32"/>
          <w:lang w:eastAsia="zh-CN"/>
        </w:rPr>
        <w:t>决算数大于预算数的主要原因是年中追加安排2021年退休干部春节慰问</w:t>
      </w:r>
      <w:r>
        <w:rPr>
          <w:rFonts w:hint="eastAsia" w:ascii="仿宋_GB2312" w:hAnsi="黑体" w:eastAsia="仿宋_GB2312" w:cs="仿宋_GB2312"/>
          <w:b/>
          <w:bCs/>
          <w:kern w:val="0"/>
          <w:sz w:val="32"/>
          <w:szCs w:val="32"/>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
          <w:bCs/>
          <w:kern w:val="0"/>
          <w:sz w:val="32"/>
          <w:szCs w:val="32"/>
        </w:rPr>
      </w:pPr>
      <w:r>
        <w:rPr>
          <w:rFonts w:hint="eastAsia" w:ascii="仿宋_GB2312" w:eastAsia="仿宋_GB2312" w:cs="仿宋_GB2312"/>
          <w:kern w:val="0"/>
          <w:sz w:val="32"/>
          <w:szCs w:val="32"/>
          <w:lang w:eastAsia="zh-CN"/>
        </w:rPr>
        <w:t>柳州市不动产档案管理中心</w:t>
      </w:r>
      <w:r>
        <w:rPr>
          <w:rFonts w:hint="eastAsia" w:ascii="仿宋_GB2312" w:eastAsia="仿宋_GB2312" w:cs="仿宋_GB2312"/>
          <w:kern w:val="0"/>
          <w:sz w:val="32"/>
          <w:szCs w:val="32"/>
        </w:rPr>
        <w:t>2021年度没有政府性基金收入，也没有政府性基金安排的支出，故无数据情况说明。</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柳州市不动产档案管理中心</w:t>
      </w:r>
      <w:r>
        <w:rPr>
          <w:rFonts w:hint="eastAsia" w:ascii="仿宋_GB2312" w:eastAsia="仿宋_GB2312" w:cs="仿宋_GB2312"/>
          <w:kern w:val="0"/>
          <w:sz w:val="32"/>
          <w:szCs w:val="32"/>
        </w:rPr>
        <w:t>2021年度没有国有资本经营预算财政拨款收入，也没有国有资本经营预算财政拨款安排的支出，故无数据情况说明。</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1.25</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6.81</w:t>
      </w:r>
      <w:r>
        <w:rPr>
          <w:rFonts w:hint="eastAsia" w:ascii="仿宋_GB2312" w:eastAsia="仿宋_GB2312" w:cs="仿宋_GB2312"/>
          <w:kern w:val="0"/>
          <w:sz w:val="32"/>
          <w:szCs w:val="32"/>
        </w:rPr>
        <w:t>%，比上年</w:t>
      </w:r>
      <w:r>
        <w:rPr>
          <w:rFonts w:hint="eastAsia" w:ascii="仿宋_GB2312" w:eastAsia="仿宋_GB2312" w:cs="仿宋_GB2312"/>
          <w:kern w:val="0"/>
          <w:sz w:val="32"/>
          <w:szCs w:val="32"/>
          <w:lang w:eastAsia="zh-CN"/>
        </w:rPr>
        <w:t>增加</w:t>
      </w:r>
      <w:r>
        <w:rPr>
          <w:rFonts w:hint="eastAsia" w:ascii="仿宋_GB2312" w:eastAsia="仿宋_GB2312" w:cs="仿宋_GB2312"/>
          <w:kern w:val="0"/>
          <w:sz w:val="32"/>
          <w:szCs w:val="32"/>
          <w:lang w:val="en-US" w:eastAsia="zh-CN"/>
        </w:rPr>
        <w:t>0.48</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eastAsia="zh-CN"/>
        </w:rPr>
        <w:t>计划新购置</w:t>
      </w:r>
      <w:r>
        <w:rPr>
          <w:rFonts w:hint="eastAsia" w:ascii="仿宋_GB2312" w:eastAsia="仿宋_GB2312" w:cs="仿宋_GB2312"/>
          <w:kern w:val="0"/>
          <w:sz w:val="32"/>
          <w:szCs w:val="32"/>
        </w:rPr>
        <w:t>公务用车</w:t>
      </w:r>
      <w:r>
        <w:rPr>
          <w:rFonts w:hint="eastAsia" w:ascii="仿宋_GB2312" w:eastAsia="仿宋_GB2312" w:cs="仿宋_GB2312"/>
          <w:kern w:val="0"/>
          <w:sz w:val="32"/>
          <w:szCs w:val="32"/>
          <w:lang w:eastAsia="zh-CN"/>
        </w:rPr>
        <w:t>，支付了相关购置税，由于进行采购变更，导致未能在本年度内购车量</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1.25</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keepNext w:val="0"/>
        <w:keepLines w:val="0"/>
        <w:pageBreakBefore w:val="0"/>
        <w:numPr>
          <w:ilvl w:val="0"/>
          <w:numId w:val="1"/>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%，比上年持平。全年使用财政拨款安排柳州市</w:t>
      </w:r>
      <w:r>
        <w:rPr>
          <w:rFonts w:hint="eastAsia" w:ascii="仿宋_GB2312" w:eastAsia="仿宋_GB2312" w:cs="仿宋_GB2312"/>
          <w:kern w:val="0"/>
          <w:sz w:val="32"/>
          <w:szCs w:val="32"/>
          <w:lang w:eastAsia="zh-CN"/>
        </w:rPr>
        <w:t>不动产档案管理中心</w:t>
      </w:r>
      <w:r>
        <w:rPr>
          <w:rFonts w:hint="eastAsia" w:ascii="仿宋_GB2312" w:eastAsia="仿宋_GB2312" w:cs="仿宋_GB2312"/>
          <w:kern w:val="0"/>
          <w:sz w:val="32"/>
          <w:szCs w:val="32"/>
        </w:rPr>
        <w:t>出国团组0个，参加其他单位组织的出国团组0个，全年因公出国（境）团组共计0个，累计0人次。</w:t>
      </w:r>
    </w:p>
    <w:p>
      <w:pPr>
        <w:keepNext w:val="0"/>
        <w:keepLines w:val="0"/>
        <w:pageBreakBefore w:val="0"/>
        <w:numPr>
          <w:ilvl w:val="0"/>
          <w:numId w:val="1"/>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公务用车购置及运行费支出</w:t>
      </w:r>
      <w:r>
        <w:rPr>
          <w:rFonts w:hint="eastAsia" w:ascii="仿宋_GB2312" w:eastAsia="仿宋_GB2312" w:cs="仿宋_GB2312"/>
          <w:kern w:val="0"/>
          <w:sz w:val="32"/>
          <w:szCs w:val="32"/>
          <w:lang w:val="en-US" w:eastAsia="zh-CN"/>
        </w:rPr>
        <w:t>1.25</w:t>
      </w:r>
      <w:r>
        <w:rPr>
          <w:rFonts w:hint="eastAsia" w:ascii="仿宋_GB2312" w:eastAsia="仿宋_GB2312" w:cs="仿宋_GB2312"/>
          <w:kern w:val="0"/>
          <w:sz w:val="32"/>
          <w:szCs w:val="32"/>
        </w:rPr>
        <w:t>万元。其中：</w:t>
      </w:r>
    </w:p>
    <w:p>
      <w:pPr>
        <w:keepNext w:val="0"/>
        <w:keepLines w:val="0"/>
        <w:pageBreakBefore w:val="0"/>
        <w:kinsoku/>
        <w:wordWrap/>
        <w:overflowPunct/>
        <w:topLinePunct w:val="0"/>
        <w:autoSpaceDE w:val="0"/>
        <w:autoSpaceDN w:val="0"/>
        <w:bidi w:val="0"/>
        <w:adjustRightInd w:val="0"/>
        <w:snapToGrid/>
        <w:spacing w:line="560" w:lineRule="exact"/>
        <w:ind w:firstLine="960" w:firstLineChars="300"/>
        <w:jc w:val="left"/>
        <w:textAlignment w:val="auto"/>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1.17</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7.31</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1.17</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计划新购置</w:t>
      </w:r>
      <w:r>
        <w:rPr>
          <w:rFonts w:hint="eastAsia" w:ascii="仿宋_GB2312" w:eastAsia="仿宋_GB2312" w:cs="仿宋_GB2312"/>
          <w:kern w:val="0"/>
          <w:sz w:val="32"/>
          <w:szCs w:val="32"/>
        </w:rPr>
        <w:t>公务用车</w:t>
      </w:r>
      <w:r>
        <w:rPr>
          <w:rFonts w:hint="eastAsia" w:ascii="仿宋_GB2312" w:eastAsia="仿宋_GB2312" w:cs="仿宋_GB2312"/>
          <w:kern w:val="0"/>
          <w:sz w:val="32"/>
          <w:szCs w:val="32"/>
          <w:lang w:eastAsia="zh-CN"/>
        </w:rPr>
        <w:t>，支付了相关购置税，由于进行采购变更，导致未能在本年度内购车辆</w:t>
      </w:r>
      <w:r>
        <w:rPr>
          <w:rFonts w:hint="eastAsia" w:ascii="仿宋_GB2312" w:eastAsia="仿宋_GB2312" w:cs="仿宋_GB2312"/>
          <w:kern w:val="0"/>
          <w:sz w:val="32"/>
          <w:szCs w:val="32"/>
        </w:rPr>
        <w:t>。购置了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辆公务用车</w:t>
      </w:r>
      <w:r>
        <w:rPr>
          <w:rFonts w:hint="eastAsia" w:ascii="仿宋_GB2312" w:eastAsia="仿宋_GB2312" w:cs="仿宋_GB2312"/>
          <w:kern w:val="0"/>
          <w:sz w:val="32"/>
          <w:szCs w:val="32"/>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0.08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0.69</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原有公务车已在本年度内进行资产处置，运行费用减少</w:t>
      </w:r>
      <w:r>
        <w:rPr>
          <w:rFonts w:hint="eastAsia" w:ascii="仿宋_GB2312" w:eastAsia="仿宋_GB2312" w:cs="仿宋_GB2312"/>
          <w:kern w:val="0"/>
          <w:sz w:val="32"/>
          <w:szCs w:val="32"/>
        </w:rPr>
        <w:t>。主要用于机要文件交换、市内因公出行以及开展  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none"/>
          <w:lang w:eastAsia="zh-CN"/>
        </w:rPr>
        <w:t>柳州市不动产档案管理中心</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w:t>
      </w:r>
      <w:r>
        <w:rPr>
          <w:rFonts w:hint="eastAsia" w:ascii="仿宋_GB2312" w:hAnsi="黑体" w:eastAsia="仿宋_GB2312"/>
          <w:b/>
          <w:bCs w:val="0"/>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0.08</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0.08</w:t>
      </w:r>
      <w:r>
        <w:rPr>
          <w:rFonts w:hint="eastAsia" w:ascii="仿宋_GB2312" w:hAnsi="黑体" w:eastAsia="仿宋_GB2312"/>
          <w:bCs/>
          <w:color w:val="000000"/>
          <w:sz w:val="32"/>
          <w:szCs w:val="32"/>
        </w:rPr>
        <w:t>万元。</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比上年</w:t>
      </w:r>
      <w:r>
        <w:rPr>
          <w:rFonts w:hint="eastAsia" w:ascii="仿宋_GB2312" w:eastAsia="仿宋_GB2312" w:cs="仿宋_GB2312"/>
          <w:kern w:val="0"/>
          <w:sz w:val="32"/>
          <w:szCs w:val="32"/>
          <w:lang w:eastAsia="zh-CN"/>
        </w:rPr>
        <w:t>持平</w:t>
      </w:r>
      <w:r>
        <w:rPr>
          <w:rFonts w:hint="eastAsia" w:ascii="仿宋_GB2312" w:eastAsia="仿宋_GB2312" w:cs="仿宋_GB2312"/>
          <w:kern w:val="0"/>
          <w:sz w:val="32"/>
          <w:szCs w:val="32"/>
        </w:rPr>
        <w:t>，原因是</w:t>
      </w:r>
      <w:r>
        <w:rPr>
          <w:rFonts w:hint="eastAsia" w:ascii="仿宋_GB2312" w:eastAsia="仿宋_GB2312" w:cs="仿宋_GB2312"/>
          <w:kern w:val="0"/>
          <w:sz w:val="32"/>
          <w:szCs w:val="32"/>
          <w:lang w:eastAsia="zh-CN"/>
        </w:rPr>
        <w:t>本年度未安排公务接待支出</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机关运行经费支出。</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年度政府采购支出总额132</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02万元，其中：政府采购货物支出</w:t>
      </w:r>
      <w:r>
        <w:rPr>
          <w:rFonts w:hint="eastAsia" w:ascii="仿宋_GB2312" w:eastAsia="仿宋_GB2312" w:cs="仿宋_GB2312"/>
          <w:kern w:val="0"/>
          <w:sz w:val="32"/>
          <w:szCs w:val="32"/>
          <w:lang w:val="en-US" w:eastAsia="zh-CN"/>
        </w:rPr>
        <w:t>32.29</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54.73</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45</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keepNext w:val="0"/>
        <w:keepLines w:val="0"/>
        <w:pageBreakBefore w:val="0"/>
        <w:kinsoku/>
        <w:wordWrap/>
        <w:overflowPunct/>
        <w:topLinePunct w:val="0"/>
        <w:autoSpaceDE w:val="0"/>
        <w:autoSpaceDN w:val="0"/>
        <w:bidi w:val="0"/>
        <w:adjustRightInd w:val="0"/>
        <w:snapToGrid/>
        <w:spacing w:line="560" w:lineRule="exact"/>
        <w:ind w:firstLine="627" w:firstLineChars="196"/>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单价</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s="仿宋_GB2312"/>
          <w:kern w:val="0"/>
          <w:sz w:val="32"/>
          <w:szCs w:val="32"/>
          <w:lang w:val="en-US" w:eastAsia="zh-CN"/>
        </w:rPr>
        <w:t>234.12</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37.20</w:t>
      </w:r>
      <w:r>
        <w:rPr>
          <w:rFonts w:hint="eastAsia" w:ascii="仿宋_GB2312" w:eastAsia="仿宋_GB2312" w:cs="仿宋_GB2312"/>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共组织对“聘用人员支出”</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个项目进行了部门评价，涉及一般公共预算支出</w:t>
      </w:r>
      <w:r>
        <w:rPr>
          <w:rFonts w:hint="eastAsia" w:ascii="仿宋_GB2312" w:eastAsia="仿宋_GB2312" w:cs="仿宋_GB2312"/>
          <w:kern w:val="0"/>
          <w:sz w:val="32"/>
          <w:szCs w:val="32"/>
          <w:lang w:val="en-US" w:eastAsia="zh-CN"/>
        </w:rPr>
        <w:t>234.12</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万元。从评价情况来看，提高专项经费使用效率，做好专项经费绩效自评工作</w:t>
      </w:r>
      <w:r>
        <w:rPr>
          <w:rFonts w:hint="eastAsia" w:ascii="仿宋_GB2312" w:eastAsia="仿宋_GB2312" w:cs="仿宋_GB2312"/>
          <w:kern w:val="0"/>
          <w:sz w:val="32"/>
          <w:szCs w:val="32"/>
          <w:lang w:eastAsia="zh-CN"/>
        </w:rPr>
        <w:t>。专款专用，</w:t>
      </w:r>
      <w:r>
        <w:rPr>
          <w:rFonts w:hint="eastAsia" w:ascii="仿宋_GB2312" w:eastAsia="仿宋_GB2312" w:cs="仿宋_GB2312"/>
          <w:kern w:val="0"/>
          <w:sz w:val="32"/>
          <w:szCs w:val="32"/>
        </w:rPr>
        <w:t>充分调动职工工作积极性，提高效率，建立起以岗位为基础，以工作绩效考核为核心的激励机制，把职工的薪酬与岗位责任、工作绩效密切结合起来，服务单位，服务群众。</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组织开展整体支出绩效评价</w:t>
      </w:r>
      <w:r>
        <w:rPr>
          <w:rFonts w:hint="eastAsia" w:ascii="仿宋_GB2312" w:eastAsia="仿宋_GB2312" w:cs="仿宋_GB2312"/>
          <w:kern w:val="0"/>
          <w:sz w:val="32"/>
          <w:szCs w:val="32"/>
          <w:lang w:eastAsia="zh-CN"/>
        </w:rPr>
        <w:t>试点</w:t>
      </w:r>
      <w:r>
        <w:rPr>
          <w:rFonts w:hint="eastAsia" w:ascii="仿宋_GB2312" w:eastAsia="仿宋_GB2312" w:cs="仿宋_GB2312"/>
          <w:kern w:val="0"/>
          <w:sz w:val="32"/>
          <w:szCs w:val="32"/>
        </w:rPr>
        <w:t>，涉及一般公共预算支出</w:t>
      </w:r>
      <w:r>
        <w:rPr>
          <w:rFonts w:hint="eastAsia" w:ascii="仿宋_GB2312" w:eastAsia="仿宋_GB2312" w:cs="仿宋_GB2312"/>
          <w:kern w:val="0"/>
          <w:sz w:val="32"/>
          <w:szCs w:val="32"/>
          <w:lang w:val="en-US" w:eastAsia="zh-CN"/>
        </w:rPr>
        <w:t>861.05</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从评价情况来看，优化营商环境为抓手，档案利用、档案数化、档案入库三大业务稳健开展，总体呈现出稳中有升、高位求进的良好发展态势。2021年，不动产查档数约为70.66万人/次，同时完成对每年新增的约18万卷不动产登记资料和自然资源确权登记资料进行整理、数化、归档，圆满完成年度总体目标。</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决算中项目绩效自评结果。</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根据年初设定的绩效目标，聘用人员支出项目自评得分为</w:t>
      </w:r>
      <w:r>
        <w:rPr>
          <w:rFonts w:hint="eastAsia" w:ascii="仿宋_GB2312" w:eastAsia="仿宋_GB2312" w:cs="仿宋_GB2312"/>
          <w:kern w:val="0"/>
          <w:sz w:val="32"/>
          <w:szCs w:val="32"/>
          <w:lang w:val="en-US" w:eastAsia="zh-CN"/>
        </w:rPr>
        <w:t>99.78</w:t>
      </w:r>
      <w:r>
        <w:rPr>
          <w:rFonts w:hint="eastAsia" w:ascii="仿宋_GB2312" w:eastAsia="仿宋_GB2312" w:cs="仿宋_GB2312"/>
          <w:kern w:val="0"/>
          <w:sz w:val="32"/>
          <w:szCs w:val="32"/>
        </w:rPr>
        <w:t>分。发现的主要问题及原因：一是聘用人员稳定性不足，人员变动</w:t>
      </w:r>
      <w:r>
        <w:rPr>
          <w:rFonts w:hint="eastAsia" w:ascii="仿宋_GB2312" w:eastAsia="仿宋_GB2312" w:cs="仿宋_GB2312"/>
          <w:kern w:val="0"/>
          <w:sz w:val="32"/>
          <w:szCs w:val="32"/>
          <w:lang w:eastAsia="zh-CN"/>
        </w:rPr>
        <w:t>频繁</w:t>
      </w:r>
      <w:r>
        <w:rPr>
          <w:rFonts w:hint="eastAsia" w:ascii="仿宋_GB2312" w:eastAsia="仿宋_GB2312" w:cs="仿宋_GB2312"/>
          <w:kern w:val="0"/>
          <w:sz w:val="32"/>
          <w:szCs w:val="32"/>
        </w:rPr>
        <w:t>。下一步改进措施：一是及时了解职工需求与困难，提高员工的满意度；二是及时统计人员考核结果并核算人员工资，保证在规定时间内按时发放。</w:t>
      </w:r>
    </w:p>
    <w:p>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cs="仿宋_GB2312"/>
          <w:kern w:val="0"/>
          <w:sz w:val="32"/>
          <w:szCs w:val="32"/>
        </w:rPr>
      </w:pPr>
    </w:p>
    <w:p>
      <w:pPr>
        <w:keepNext w:val="0"/>
        <w:keepLines w:val="0"/>
        <w:pageBreakBefore w:val="0"/>
        <w:kinsoku/>
        <w:wordWrap/>
        <w:overflowPunct/>
        <w:topLinePunct w:val="0"/>
        <w:bidi w:val="0"/>
        <w:snapToGrid/>
        <w:spacing w:line="560" w:lineRule="exact"/>
        <w:ind w:firstLine="645"/>
        <w:textAlignment w:val="auto"/>
        <w:rPr>
          <w:rFonts w:ascii="仿宋_GB2312" w:eastAsia="仿宋_GB2312"/>
          <w:b/>
          <w:sz w:val="32"/>
          <w:szCs w:val="32"/>
        </w:rPr>
      </w:pPr>
      <w:r>
        <w:rPr>
          <w:rFonts w:hint="eastAsia" w:ascii="仿宋_GB2312" w:eastAsia="仿宋_GB2312"/>
          <w:b/>
          <w:sz w:val="32"/>
          <w:szCs w:val="32"/>
        </w:rPr>
        <w:t>第四部分：名词解释</w:t>
      </w:r>
    </w:p>
    <w:p>
      <w:pPr>
        <w:keepNext w:val="0"/>
        <w:keepLines w:val="0"/>
        <w:pageBreakBefore w:val="0"/>
        <w:kinsoku/>
        <w:wordWrap/>
        <w:overflowPunct/>
        <w:topLinePunct w:val="0"/>
        <w:bidi w:val="0"/>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keepNext w:val="0"/>
        <w:keepLines w:val="0"/>
        <w:pageBreakBefore w:val="0"/>
        <w:kinsoku/>
        <w:wordWrap/>
        <w:overflowPunct/>
        <w:topLinePunct w:val="0"/>
        <w:bidi w:val="0"/>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bookmarkStart w:id="0" w:name="_GoBack"/>
      <w:bookmarkEnd w:id="0"/>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keepNext w:val="0"/>
        <w:keepLines w:val="0"/>
        <w:pageBreakBefore w:val="0"/>
        <w:kinsoku/>
        <w:wordWrap/>
        <w:overflowPunct/>
        <w:topLinePunct w:val="0"/>
        <w:bidi w:val="0"/>
        <w:snapToGri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w:t>
      </w:r>
    </w:p>
    <w:p>
      <w:pPr>
        <w:keepNext w:val="0"/>
        <w:keepLines w:val="0"/>
        <w:pageBreakBefore w:val="0"/>
        <w:kinsoku/>
        <w:wordWrap/>
        <w:overflowPunct/>
        <w:topLinePunct w:val="0"/>
        <w:bidi w:val="0"/>
        <w:snapToGrid/>
        <w:spacing w:line="560" w:lineRule="exact"/>
        <w:textAlignment w:val="auto"/>
        <w:rPr>
          <w:rFonts w:hint="eastAsia" w:ascii="仿宋_GB2312" w:eastAsia="仿宋_GB2312"/>
          <w:sz w:val="32"/>
          <w:szCs w:val="32"/>
          <w:lang w:eastAsia="zh-CN"/>
        </w:rPr>
      </w:pPr>
    </w:p>
    <w:p>
      <w:pPr>
        <w:keepNext w:val="0"/>
        <w:keepLines w:val="0"/>
        <w:pageBreakBefore w:val="0"/>
        <w:kinsoku/>
        <w:wordWrap/>
        <w:overflowPunct/>
        <w:topLinePunct w:val="0"/>
        <w:bidi w:val="0"/>
        <w:snapToGrid/>
        <w:spacing w:line="560" w:lineRule="exact"/>
        <w:textAlignment w:val="auto"/>
        <w:rPr>
          <w:rFonts w:hint="eastAsia" w:ascii="仿宋_GB2312" w:eastAsia="仿宋_GB2312"/>
          <w:sz w:val="32"/>
          <w:szCs w:val="32"/>
          <w:lang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1.</w:t>
      </w:r>
      <w:r>
        <w:rPr>
          <w:rFonts w:hint="eastAsia" w:ascii="仿宋_GB2312" w:eastAsia="仿宋_GB2312"/>
          <w:sz w:val="32"/>
          <w:szCs w:val="32"/>
          <w:lang w:eastAsia="zh-CN"/>
        </w:rPr>
        <w:t>柳州市不动产档案管理中心2021年度决算公开表；</w:t>
      </w:r>
    </w:p>
    <w:p>
      <w:pPr>
        <w:keepNext w:val="0"/>
        <w:keepLines w:val="0"/>
        <w:pageBreakBefore w:val="0"/>
        <w:numPr>
          <w:ilvl w:val="0"/>
          <w:numId w:val="0"/>
        </w:numPr>
        <w:kinsoku/>
        <w:wordWrap/>
        <w:overflowPunct/>
        <w:topLinePunct w:val="0"/>
        <w:bidi w:val="0"/>
        <w:snapToGrid/>
        <w:spacing w:line="560" w:lineRule="exact"/>
        <w:ind w:left="960" w:leftChars="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2.项目支出自评表</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425F4F"/>
    <w:multiLevelType w:val="singleLevel"/>
    <w:tmpl w:val="2A425F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YWUxOWMxOTI2ZTg1Y2NjZWQ3ODc5YWIxMGI2YTgifQ=="/>
  </w:docVars>
  <w:rsids>
    <w:rsidRoot w:val="4C256E3D"/>
    <w:rsid w:val="00066CA3"/>
    <w:rsid w:val="006C1367"/>
    <w:rsid w:val="00715385"/>
    <w:rsid w:val="00F66C5B"/>
    <w:rsid w:val="05352423"/>
    <w:rsid w:val="094B45FA"/>
    <w:rsid w:val="0A0C33E4"/>
    <w:rsid w:val="0B424B1D"/>
    <w:rsid w:val="0DA86951"/>
    <w:rsid w:val="0E074DDF"/>
    <w:rsid w:val="0EFA0233"/>
    <w:rsid w:val="0F0F5ED6"/>
    <w:rsid w:val="124204B5"/>
    <w:rsid w:val="14F016D4"/>
    <w:rsid w:val="154F4AED"/>
    <w:rsid w:val="15823E15"/>
    <w:rsid w:val="1612602D"/>
    <w:rsid w:val="16B90A0F"/>
    <w:rsid w:val="182962AB"/>
    <w:rsid w:val="19D073EB"/>
    <w:rsid w:val="1A650904"/>
    <w:rsid w:val="1CC31F67"/>
    <w:rsid w:val="1F3D7634"/>
    <w:rsid w:val="2249565E"/>
    <w:rsid w:val="24D337DC"/>
    <w:rsid w:val="26460DBA"/>
    <w:rsid w:val="2ACB6414"/>
    <w:rsid w:val="2B6F74EB"/>
    <w:rsid w:val="2C1F0B15"/>
    <w:rsid w:val="2C4219FE"/>
    <w:rsid w:val="2FB6646F"/>
    <w:rsid w:val="335718FE"/>
    <w:rsid w:val="34020F86"/>
    <w:rsid w:val="341361ED"/>
    <w:rsid w:val="39A63F06"/>
    <w:rsid w:val="3C017E2C"/>
    <w:rsid w:val="3E6F4772"/>
    <w:rsid w:val="3EA872B2"/>
    <w:rsid w:val="3ED1439F"/>
    <w:rsid w:val="42235D58"/>
    <w:rsid w:val="44500BF5"/>
    <w:rsid w:val="44560C84"/>
    <w:rsid w:val="46215306"/>
    <w:rsid w:val="47F43786"/>
    <w:rsid w:val="48374EDC"/>
    <w:rsid w:val="4C256E3D"/>
    <w:rsid w:val="4CB52F0F"/>
    <w:rsid w:val="4E2875DF"/>
    <w:rsid w:val="50C04C3A"/>
    <w:rsid w:val="532F1F9A"/>
    <w:rsid w:val="559117FB"/>
    <w:rsid w:val="57931D57"/>
    <w:rsid w:val="5D723762"/>
    <w:rsid w:val="5DBB25AC"/>
    <w:rsid w:val="5E995A3E"/>
    <w:rsid w:val="5F933EA7"/>
    <w:rsid w:val="5F95061E"/>
    <w:rsid w:val="5FC1266C"/>
    <w:rsid w:val="617E254E"/>
    <w:rsid w:val="62163194"/>
    <w:rsid w:val="624D024D"/>
    <w:rsid w:val="650E086A"/>
    <w:rsid w:val="6BAA0708"/>
    <w:rsid w:val="70046E9D"/>
    <w:rsid w:val="72231A60"/>
    <w:rsid w:val="743631A3"/>
    <w:rsid w:val="75AF6C8B"/>
    <w:rsid w:val="77474C4B"/>
    <w:rsid w:val="7E3D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5658</Words>
  <Characters>6278</Characters>
  <Lines>60</Lines>
  <Paragraphs>17</Paragraphs>
  <TotalTime>10</TotalTime>
  <ScaleCrop>false</ScaleCrop>
  <LinksUpToDate>false</LinksUpToDate>
  <CharactersWithSpaces>6310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Eva-Dee</cp:lastModifiedBy>
  <cp:lastPrinted>2021-07-07T01:10:00Z</cp:lastPrinted>
  <dcterms:modified xsi:type="dcterms:W3CDTF">2022-08-09T02:37:19Z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36D38AC8DAEE465982F793A137DFFE4A</vt:lpwstr>
  </property>
</Properties>
</file>