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val="en-US"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eastAsia="zh-CN"/>
        </w:rPr>
        <w:t>房产交易所</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w:t>
      </w:r>
      <w:r>
        <w:rPr>
          <w:rFonts w:hint="eastAsia" w:ascii="黑体" w:eastAsia="黑体" w:cs="ArialUnicodeMS"/>
          <w:kern w:val="0"/>
          <w:sz w:val="52"/>
          <w:szCs w:val="52"/>
          <w:lang w:eastAsia="zh-CN"/>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u w:val="none"/>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rPr>
      </w:pPr>
      <w:r>
        <w:rPr>
          <w:rFonts w:hint="eastAsia" w:ascii="仿宋_GB2312" w:eastAsia="仿宋_GB2312"/>
          <w:sz w:val="32"/>
          <w:szCs w:val="32"/>
        </w:rPr>
        <w:t>柳州市房产交易所是柳州市住房和城乡建设局下属二层机构，是具有独立法人资格的公益一类事业单位。单位宗旨和业务范围是</w:t>
      </w: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rPr>
        <w:t>贯彻执行国家、自治区、柳州市关于房地产市场的法律法规、规章制度和方针政策。参与起草行业相关的规范性文件</w:t>
      </w:r>
      <w:r>
        <w:rPr>
          <w:rFonts w:hint="eastAsia" w:ascii="仿宋_GB2312" w:eastAsia="仿宋_GB2312"/>
          <w:sz w:val="32"/>
          <w:szCs w:val="32"/>
          <w:lang w:eastAsia="zh-CN"/>
        </w:rPr>
        <w:t>。</w:t>
      </w:r>
      <w:r>
        <w:rPr>
          <w:rFonts w:hint="eastAsia" w:ascii="仿宋_GB2312" w:eastAsia="仿宋_GB2312"/>
          <w:sz w:val="32"/>
          <w:szCs w:val="32"/>
        </w:rPr>
        <w:t>（2）承办房地产交易及管理工作。负责全市房屋转让、抵押、租赁等交易活动管理相关的技术性、事务性工作。负责采集、研究、分析房地产交易发展行情等工作。（3）协助管理房地产市场。协助主管部门对房地产开发企业、房地产经纪机构、估价机构实施监督管理，负责相关的技术性、事务性工作。协助开展房地产市场调控、秩序整治和巡查工作。（4）负责房屋交易服务窗口建设，接受市政务服务监督部门指导，开展房产交易政务服务工作。（5）完成主管部门交办的其他任务。</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6"/>
        <w:gridCol w:w="750"/>
        <w:gridCol w:w="724"/>
        <w:gridCol w:w="893"/>
        <w:gridCol w:w="1383"/>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6"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指    标</w:t>
            </w:r>
          </w:p>
        </w:tc>
        <w:tc>
          <w:tcPr>
            <w:tcW w:w="750"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本年度</w:t>
            </w:r>
          </w:p>
        </w:tc>
        <w:tc>
          <w:tcPr>
            <w:tcW w:w="724"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上年度</w:t>
            </w:r>
          </w:p>
        </w:tc>
        <w:tc>
          <w:tcPr>
            <w:tcW w:w="893"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比上年增减</w:t>
            </w:r>
          </w:p>
        </w:tc>
        <w:tc>
          <w:tcPr>
            <w:tcW w:w="1383"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增减％</w:t>
            </w:r>
          </w:p>
        </w:tc>
        <w:tc>
          <w:tcPr>
            <w:tcW w:w="1986" w:type="dxa"/>
            <w:vAlign w:val="center"/>
          </w:tcPr>
          <w:p>
            <w:pPr>
              <w:widowControl/>
              <w:jc w:val="center"/>
              <w:textAlignment w:val="center"/>
              <w:rPr>
                <w:rFonts w:hint="eastAsia" w:ascii="宋体" w:hAnsi="宋体" w:cs="宋体"/>
                <w:bCs/>
                <w:sz w:val="32"/>
                <w:szCs w:val="32"/>
              </w:rPr>
            </w:pPr>
            <w:r>
              <w:rPr>
                <w:rFonts w:hint="eastAsia" w:ascii="宋体" w:hAnsi="宋体" w:cs="宋体"/>
                <w:color w:val="000000"/>
                <w:kern w:val="0"/>
                <w:sz w:val="22"/>
                <w:szCs w:val="22"/>
                <w:lang w:bidi="ar"/>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6" w:type="dxa"/>
            <w:vAlign w:val="center"/>
          </w:tcPr>
          <w:p>
            <w:pPr>
              <w:widowControl/>
              <w:jc w:val="left"/>
              <w:textAlignment w:val="center"/>
              <w:rPr>
                <w:rFonts w:hint="eastAsia" w:ascii="宋体" w:hAnsi="宋体" w:cs="宋体"/>
                <w:bCs/>
                <w:sz w:val="32"/>
                <w:szCs w:val="32"/>
              </w:rPr>
            </w:pPr>
            <w:r>
              <w:rPr>
                <w:rFonts w:hint="eastAsia" w:ascii="宋体" w:hAnsi="宋体" w:cs="宋体"/>
                <w:color w:val="000000"/>
                <w:kern w:val="0"/>
                <w:sz w:val="22"/>
                <w:szCs w:val="22"/>
                <w:lang w:bidi="ar"/>
              </w:rPr>
              <w:t xml:space="preserve"> 1.独立编制机构数</w:t>
            </w:r>
          </w:p>
        </w:tc>
        <w:tc>
          <w:tcPr>
            <w:tcW w:w="750"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1</w:t>
            </w:r>
          </w:p>
        </w:tc>
        <w:tc>
          <w:tcPr>
            <w:tcW w:w="724"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1</w:t>
            </w:r>
          </w:p>
        </w:tc>
        <w:tc>
          <w:tcPr>
            <w:tcW w:w="893"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0</w:t>
            </w:r>
          </w:p>
        </w:tc>
        <w:tc>
          <w:tcPr>
            <w:tcW w:w="1383"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0.00</w:t>
            </w:r>
          </w:p>
        </w:tc>
        <w:tc>
          <w:tcPr>
            <w:tcW w:w="1986" w:type="dxa"/>
            <w:vAlign w:val="center"/>
          </w:tcPr>
          <w:p>
            <w:pPr>
              <w:jc w:val="left"/>
              <w:rPr>
                <w:rFonts w:hint="eastAsia" w:ascii="宋体" w:hAnsi="宋体" w:eastAsia="宋体" w:cs="宋体"/>
                <w:bCs/>
                <w:sz w:val="32"/>
                <w:szCs w:val="32"/>
                <w:lang w:eastAsia="zh-CN"/>
              </w:rPr>
            </w:pPr>
            <w:r>
              <w:rPr>
                <w:rFonts w:hint="eastAsia" w:ascii="宋体" w:hAnsi="宋体" w:cs="宋体"/>
                <w:color w:val="000000"/>
                <w:kern w:val="0"/>
                <w:sz w:val="22"/>
                <w:szCs w:val="22"/>
                <w:lang w:eastAsia="zh-CN" w:bidi="ar"/>
              </w:rPr>
              <w:t>无变动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6" w:type="dxa"/>
            <w:vAlign w:val="center"/>
          </w:tcPr>
          <w:p>
            <w:pPr>
              <w:widowControl/>
              <w:jc w:val="left"/>
              <w:textAlignment w:val="center"/>
              <w:rPr>
                <w:rFonts w:hint="eastAsia" w:ascii="宋体" w:hAnsi="宋体" w:cs="宋体"/>
                <w:bCs/>
                <w:sz w:val="32"/>
                <w:szCs w:val="32"/>
              </w:rPr>
            </w:pPr>
            <w:r>
              <w:rPr>
                <w:rFonts w:hint="eastAsia" w:ascii="宋体" w:hAnsi="宋体" w:cs="宋体"/>
                <w:color w:val="000000"/>
                <w:kern w:val="0"/>
                <w:sz w:val="22"/>
                <w:szCs w:val="22"/>
                <w:lang w:bidi="ar"/>
              </w:rPr>
              <w:t xml:space="preserve"> 2.独立核算机构数</w:t>
            </w:r>
          </w:p>
        </w:tc>
        <w:tc>
          <w:tcPr>
            <w:tcW w:w="750"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1</w:t>
            </w:r>
          </w:p>
        </w:tc>
        <w:tc>
          <w:tcPr>
            <w:tcW w:w="724"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1</w:t>
            </w:r>
          </w:p>
        </w:tc>
        <w:tc>
          <w:tcPr>
            <w:tcW w:w="893"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0</w:t>
            </w:r>
          </w:p>
        </w:tc>
        <w:tc>
          <w:tcPr>
            <w:tcW w:w="1383" w:type="dxa"/>
            <w:vAlign w:val="center"/>
          </w:tcPr>
          <w:p>
            <w:pPr>
              <w:widowControl/>
              <w:jc w:val="right"/>
              <w:textAlignment w:val="center"/>
              <w:rPr>
                <w:rFonts w:hint="eastAsia" w:ascii="宋体" w:hAnsi="宋体" w:cs="宋体"/>
                <w:bCs/>
                <w:sz w:val="32"/>
                <w:szCs w:val="32"/>
              </w:rPr>
            </w:pPr>
            <w:r>
              <w:rPr>
                <w:rFonts w:hint="eastAsia" w:ascii="宋体" w:hAnsi="宋体" w:cs="宋体"/>
                <w:color w:val="000000"/>
                <w:kern w:val="0"/>
                <w:sz w:val="22"/>
                <w:szCs w:val="22"/>
                <w:lang w:bidi="ar"/>
              </w:rPr>
              <w:t>0.00</w:t>
            </w:r>
          </w:p>
        </w:tc>
        <w:tc>
          <w:tcPr>
            <w:tcW w:w="1986" w:type="dxa"/>
            <w:vAlign w:val="center"/>
          </w:tcPr>
          <w:p>
            <w:pPr>
              <w:jc w:val="left"/>
              <w:rPr>
                <w:rFonts w:hint="eastAsia" w:ascii="宋体" w:hAnsi="宋体" w:cs="宋体"/>
                <w:bCs/>
                <w:sz w:val="32"/>
                <w:szCs w:val="32"/>
              </w:rPr>
            </w:pPr>
            <w:r>
              <w:rPr>
                <w:rFonts w:hint="eastAsia" w:ascii="宋体" w:hAnsi="宋体" w:cs="宋体"/>
                <w:color w:val="000000"/>
                <w:kern w:val="0"/>
                <w:sz w:val="22"/>
                <w:szCs w:val="22"/>
                <w:lang w:eastAsia="zh-CN" w:bidi="ar"/>
              </w:rPr>
              <w:t>无变动</w:t>
            </w:r>
          </w:p>
        </w:tc>
      </w:tr>
    </w:tbl>
    <w:p>
      <w:pPr>
        <w:rPr>
          <w:rFonts w:hint="eastAsia" w:ascii="仿宋_GB2312" w:eastAsia="仿宋_GB2312"/>
          <w:b/>
          <w:sz w:val="32"/>
          <w:szCs w:val="32"/>
        </w:rPr>
      </w:pPr>
    </w:p>
    <w:p>
      <w:pPr>
        <w:jc w:val="cente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rPr>
        <w:t xml:space="preserve"> </w:t>
      </w:r>
      <w:r>
        <w:rPr>
          <w:rFonts w:hint="eastAsia" w:ascii="仿宋_GB2312" w:eastAsia="仿宋_GB2312"/>
          <w:b/>
          <w:sz w:val="32"/>
          <w:szCs w:val="32"/>
          <w:lang w:eastAsia="zh-CN"/>
        </w:rPr>
        <w:t>2021</w:t>
      </w:r>
      <w:r>
        <w:rPr>
          <w:rFonts w:hint="eastAsia" w:ascii="仿宋_GB2312" w:eastAsia="仿宋_GB2312"/>
          <w:b/>
          <w:sz w:val="32"/>
          <w:szCs w:val="32"/>
        </w:rPr>
        <w:t>年</w:t>
      </w:r>
      <w:r>
        <w:rPr>
          <w:rFonts w:hint="eastAsia" w:ascii="仿宋_GB2312" w:eastAsia="仿宋_GB2312"/>
          <w:b/>
          <w:sz w:val="32"/>
          <w:szCs w:val="32"/>
          <w:lang w:eastAsia="zh-CN"/>
        </w:rPr>
        <w:t>单位</w:t>
      </w:r>
      <w:r>
        <w:rPr>
          <w:rFonts w:hint="eastAsia" w:ascii="仿宋_GB2312" w:eastAsia="仿宋_GB2312"/>
          <w:b/>
          <w:sz w:val="32"/>
          <w:szCs w:val="32"/>
        </w:rPr>
        <w:t>决算报表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一、收入支出决算总表（决算公开01表）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二、收入决算表（决算公开02表）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三、支出决算表（决算公开03表）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四、财政拨款收入支出决算总表（决算公开04表）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五、一般公共预算财政拨款支出决算表（决算公开05表）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六、一般公共预算财政拨款基本支出决算表（决算公开06表）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rPr>
          <w:rFonts w:hint="eastAsia" w:ascii="仿宋_GB2312" w:hAnsi="黑体" w:eastAsia="仿宋_GB2312"/>
          <w:sz w:val="32"/>
          <w:szCs w:val="32"/>
        </w:rPr>
      </w:pPr>
      <w:r>
        <w:rPr>
          <w:rFonts w:hint="eastAsia" w:ascii="仿宋_GB2312" w:hAnsi="黑体" w:eastAsia="仿宋_GB2312"/>
          <w:sz w:val="32"/>
          <w:szCs w:val="32"/>
        </w:rPr>
        <w:t>七、一般公共预算财政拨款“三公”经费支出决算表（决算公开07表）</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outlineLvl w:val="9"/>
        <w:rPr>
          <w:rFonts w:hint="eastAsia" w:ascii="仿宋_GB2312" w:hAnsi="黑体" w:eastAsia="仿宋_GB2312"/>
          <w:sz w:val="32"/>
          <w:szCs w:val="32"/>
        </w:rPr>
      </w:pPr>
      <w:r>
        <w:rPr>
          <w:rFonts w:hint="eastAsia" w:ascii="仿宋_GB2312" w:hAnsi="黑体" w:eastAsia="仿宋_GB2312"/>
          <w:sz w:val="32"/>
          <w:szCs w:val="32"/>
        </w:rPr>
        <w:t>八、政府性基金预算财政拨款收入支出决算表（决算公开08表）</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outlineLvl w:val="9"/>
      </w:pPr>
      <w:r>
        <w:rPr>
          <w:rFonts w:hint="eastAsia" w:ascii="仿宋_GB2312" w:hAnsi="黑体" w:eastAsia="仿宋_GB2312"/>
          <w:sz w:val="32"/>
          <w:szCs w:val="32"/>
        </w:rPr>
        <w:t>九、国有资本经营预算财政拨款支出决算表（决算公开09表）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黑体" w:eastAsia="仿宋_GB2312" w:cs="Times New Roman"/>
          <w:sz w:val="32"/>
          <w:szCs w:val="32"/>
          <w:lang w:eastAsia="zh-CN"/>
        </w:rPr>
      </w:pPr>
      <w:r>
        <w:rPr>
          <w:rFonts w:hint="eastAsia" w:ascii="黑体" w:hAnsi="黑体" w:eastAsia="黑体"/>
          <w:b w:val="0"/>
          <w:bCs w:val="0"/>
          <w:sz w:val="32"/>
          <w:szCs w:val="32"/>
          <w:u w:val="none"/>
        </w:rPr>
        <w:t>(</w:t>
      </w:r>
      <w:r>
        <w:rPr>
          <w:rFonts w:hint="eastAsia" w:ascii="仿宋_GB2312" w:hAnsi="黑体" w:eastAsia="仿宋_GB2312" w:cs="Times New Roman"/>
          <w:sz w:val="32"/>
          <w:szCs w:val="32"/>
          <w:lang w:eastAsia="zh-CN"/>
        </w:rPr>
        <w:t>上述报表</w:t>
      </w:r>
      <w:r>
        <w:rPr>
          <w:rFonts w:hint="eastAsia" w:ascii="仿宋_GB2312" w:hAnsi="黑体" w:eastAsia="仿宋_GB2312" w:cs="Times New Roman"/>
          <w:sz w:val="32"/>
          <w:szCs w:val="32"/>
        </w:rPr>
        <w:t>详见附件</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w:t>
      </w:r>
      <w:r>
        <w:rPr>
          <w:rFonts w:hint="eastAsia" w:ascii="仿宋_GB2312" w:hAnsi="黑体" w:eastAsia="仿宋_GB2312" w:cs="Times New Roman"/>
          <w:sz w:val="32"/>
          <w:szCs w:val="32"/>
          <w:lang w:eastAsia="zh-CN"/>
        </w:rPr>
        <w:t>柳州市房产交易所</w:t>
      </w:r>
      <w:r>
        <w:rPr>
          <w:rFonts w:hint="eastAsia" w:ascii="仿宋_GB2312" w:hAnsi="黑体" w:eastAsia="仿宋_GB2312" w:cs="Times New Roman"/>
          <w:sz w:val="32"/>
          <w:szCs w:val="32"/>
        </w:rPr>
        <w:t>202</w:t>
      </w:r>
      <w:r>
        <w:rPr>
          <w:rFonts w:hint="eastAsia" w:ascii="仿宋_GB2312" w:hAnsi="黑体" w:eastAsia="仿宋_GB2312" w:cs="Times New Roman"/>
          <w:sz w:val="32"/>
          <w:szCs w:val="32"/>
          <w:lang w:val="en-US" w:eastAsia="zh-CN"/>
        </w:rPr>
        <w:t>1</w:t>
      </w:r>
      <w:r>
        <w:rPr>
          <w:rFonts w:hint="eastAsia" w:ascii="仿宋_GB2312" w:hAnsi="黑体" w:eastAsia="仿宋_GB2312" w:cs="Times New Roman"/>
          <w:sz w:val="32"/>
          <w:szCs w:val="32"/>
        </w:rPr>
        <w:t>年度</w:t>
      </w:r>
      <w:r>
        <w:rPr>
          <w:rFonts w:hint="eastAsia" w:ascii="仿宋_GB2312" w:hAnsi="黑体" w:eastAsia="仿宋_GB2312" w:cs="Times New Roman"/>
          <w:sz w:val="32"/>
          <w:szCs w:val="32"/>
          <w:lang w:eastAsia="zh-CN"/>
        </w:rPr>
        <w:t>单位</w:t>
      </w:r>
      <w:r>
        <w:rPr>
          <w:rFonts w:hint="eastAsia" w:ascii="仿宋_GB2312" w:hAnsi="黑体" w:eastAsia="仿宋_GB2312" w:cs="Times New Roman"/>
          <w:sz w:val="32"/>
          <w:szCs w:val="32"/>
        </w:rPr>
        <w:t>决算公开表</w:t>
      </w:r>
      <w:r>
        <w:rPr>
          <w:rFonts w:hint="eastAsia" w:ascii="仿宋_GB2312" w:hAnsi="黑体" w:eastAsia="仿宋_GB2312" w:cs="Times New Roman"/>
          <w:sz w:val="32"/>
          <w:szCs w:val="32"/>
          <w:lang w:eastAsia="zh-CN"/>
        </w:rPr>
        <w:t>）</w:t>
      </w:r>
    </w:p>
    <w:p>
      <w:pPr>
        <w:ind w:firstLine="640"/>
        <w:jc w:val="center"/>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柳州市房产交易所</w:t>
      </w:r>
      <w:r>
        <w:rPr>
          <w:rFonts w:hint="eastAsia" w:ascii="仿宋_GB2312" w:eastAsia="仿宋_GB2312"/>
          <w:b/>
          <w:sz w:val="32"/>
          <w:szCs w:val="32"/>
          <w:lang w:eastAsia="zh-CN"/>
        </w:rPr>
        <w:t>2021</w:t>
      </w:r>
      <w:r>
        <w:rPr>
          <w:rFonts w:hint="eastAsia" w:ascii="仿宋_GB2312" w:eastAsia="仿宋_GB2312"/>
          <w:b/>
          <w:sz w:val="32"/>
          <w:szCs w:val="32"/>
        </w:rPr>
        <w:t>年度</w:t>
      </w:r>
      <w:r>
        <w:rPr>
          <w:rFonts w:hint="eastAsia" w:ascii="仿宋_GB2312" w:eastAsia="仿宋_GB2312"/>
          <w:b/>
          <w:sz w:val="32"/>
          <w:szCs w:val="32"/>
          <w:lang w:eastAsia="zh-CN"/>
        </w:rPr>
        <w:t>单位</w:t>
      </w:r>
      <w:r>
        <w:rPr>
          <w:rFonts w:hint="eastAsia" w:ascii="仿宋_GB2312" w:eastAsia="仿宋_GB2312"/>
          <w:b/>
          <w:sz w:val="32"/>
          <w:szCs w:val="32"/>
        </w:rPr>
        <w:t>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rPr>
        <w:t>（一）</w:t>
      </w: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年度总收入</w:t>
      </w:r>
      <w:r>
        <w:rPr>
          <w:rFonts w:hint="eastAsia" w:ascii="仿宋_GB2312" w:eastAsia="仿宋_GB2312"/>
          <w:kern w:val="0"/>
          <w:sz w:val="32"/>
          <w:szCs w:val="32"/>
          <w:highlight w:val="none"/>
          <w:lang w:val="en-US" w:eastAsia="zh-CN"/>
        </w:rPr>
        <w:t>1921.22</w:t>
      </w:r>
      <w:r>
        <w:rPr>
          <w:rFonts w:hint="eastAsia" w:ascii="仿宋_GB2312" w:eastAsia="仿宋_GB2312" w:cs="仿宋_GB2312"/>
          <w:kern w:val="0"/>
          <w:sz w:val="32"/>
          <w:szCs w:val="32"/>
          <w:highlight w:val="none"/>
        </w:rPr>
        <w:t>万元，其中本年收入</w:t>
      </w:r>
      <w:r>
        <w:rPr>
          <w:rFonts w:hint="eastAsia" w:ascii="仿宋_GB2312" w:eastAsia="仿宋_GB2312" w:cs="仿宋_GB2312"/>
          <w:kern w:val="0"/>
          <w:sz w:val="32"/>
          <w:szCs w:val="32"/>
          <w:highlight w:val="none"/>
          <w:lang w:val="en-US" w:eastAsia="zh-CN"/>
        </w:rPr>
        <w:t>1872.63</w:t>
      </w:r>
      <w:r>
        <w:rPr>
          <w:rFonts w:hint="eastAsia" w:ascii="仿宋_GB2312" w:eastAsia="仿宋_GB2312" w:cs="仿宋_GB2312"/>
          <w:kern w:val="0"/>
          <w:sz w:val="32"/>
          <w:szCs w:val="32"/>
          <w:highlight w:val="none"/>
        </w:rPr>
        <w:t xml:space="preserve">万元, </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289.07</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18.25</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收入具体情况如下</w:t>
      </w:r>
      <w:r>
        <w:rPr>
          <w:rFonts w:hint="eastAsia" w:ascii="仿宋_GB2312" w:eastAsia="仿宋_GB2312" w:cs="仿宋_GB2312"/>
          <w:kern w:val="0"/>
          <w:sz w:val="32"/>
          <w:szCs w:val="32"/>
          <w:highlight w:val="none"/>
          <w:lang w:eastAsia="zh-CN"/>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w:t>
      </w:r>
      <w:r>
        <w:rPr>
          <w:rFonts w:hint="eastAsia" w:ascii="仿宋_GB2312" w:hAnsi="黑体" w:eastAsia="仿宋_GB2312" w:cs="仿宋_GB2312"/>
          <w:kern w:val="0"/>
          <w:sz w:val="32"/>
          <w:szCs w:val="32"/>
        </w:rPr>
        <w:t>共预算财政拨款收入</w:t>
      </w:r>
      <w:r>
        <w:rPr>
          <w:rFonts w:hint="eastAsia" w:ascii="仿宋_GB2312" w:hAnsi="黑体" w:eastAsia="仿宋_GB2312" w:cs="仿宋_GB2312"/>
          <w:kern w:val="0"/>
          <w:sz w:val="32"/>
          <w:szCs w:val="32"/>
          <w:lang w:val="en-US" w:eastAsia="zh-CN"/>
        </w:rPr>
        <w:t>1869.28</w:t>
      </w:r>
      <w:r>
        <w:rPr>
          <w:rFonts w:hint="eastAsia" w:ascii="仿宋_GB2312" w:hAnsi="黑体" w:eastAsia="仿宋_GB2312" w:cs="仿宋_GB2312"/>
          <w:kern w:val="0"/>
          <w:sz w:val="32"/>
          <w:szCs w:val="32"/>
        </w:rPr>
        <w:t>万</w:t>
      </w:r>
      <w:r>
        <w:rPr>
          <w:rFonts w:hint="eastAsia" w:ascii="仿宋_GB2312" w:hAnsi="黑体" w:eastAsia="仿宋_GB2312" w:cs="仿宋_GB2312"/>
          <w:kern w:val="0"/>
          <w:sz w:val="32"/>
          <w:szCs w:val="32"/>
          <w:lang w:eastAsia="zh-CN"/>
        </w:rPr>
        <w:t>元，为财政</w:t>
      </w:r>
      <w:r>
        <w:rPr>
          <w:rFonts w:hint="eastAsia" w:ascii="仿宋_GB2312" w:hAnsi="黑体" w:eastAsia="仿宋_GB2312" w:cs="仿宋_GB2312"/>
          <w:kern w:val="0"/>
          <w:sz w:val="32"/>
          <w:szCs w:val="32"/>
        </w:rPr>
        <w:t>当年拨付的资金</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289.45</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w:t>
      </w:r>
      <w:r>
        <w:rPr>
          <w:rFonts w:hint="eastAsia" w:ascii="仿宋_GB2312" w:hAnsi="黑体" w:eastAsia="仿宋_GB2312" w:cs="仿宋_GB2312"/>
          <w:kern w:val="0"/>
          <w:sz w:val="32"/>
          <w:szCs w:val="32"/>
        </w:rPr>
        <w:t>长</w:t>
      </w:r>
      <w:r>
        <w:rPr>
          <w:rFonts w:hint="eastAsia" w:ascii="仿宋_GB2312" w:hAnsi="黑体" w:eastAsia="仿宋_GB2312" w:cs="仿宋_GB2312"/>
          <w:kern w:val="0"/>
          <w:sz w:val="32"/>
          <w:szCs w:val="32"/>
          <w:lang w:val="en-US" w:eastAsia="zh-CN"/>
        </w:rPr>
        <w:t>18.32</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:年中追加搬迁专项经费164.84万元</w:t>
      </w:r>
      <w:r>
        <w:rPr>
          <w:rFonts w:hint="eastAsia" w:ascii="仿宋_GB2312" w:eastAsia="仿宋_GB2312" w:cs="仿宋_GB2312"/>
          <w:bCs/>
          <w:kern w:val="0"/>
          <w:sz w:val="32"/>
          <w:szCs w:val="32"/>
          <w:highlight w:val="none"/>
          <w:lang w:val="en-US" w:eastAsia="zh-CN"/>
        </w:rPr>
        <w:t>；在职人员增加2人，人员经费公用经费均有所增加。</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，本单位没有</w:t>
      </w:r>
      <w:r>
        <w:rPr>
          <w:rFonts w:hint="eastAsia" w:ascii="仿宋_GB2312" w:hAnsi="黑体" w:eastAsia="仿宋_GB2312" w:cs="仿宋_GB2312"/>
          <w:kern w:val="0"/>
          <w:sz w:val="32"/>
          <w:szCs w:val="32"/>
          <w:lang w:eastAsia="zh-CN"/>
        </w:rPr>
        <w:t>政府性基金预算财政拨款收入。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元，本单位没有</w:t>
      </w:r>
      <w:r>
        <w:rPr>
          <w:rFonts w:hint="eastAsia" w:ascii="仿宋_GB2312" w:eastAsia="仿宋_GB2312" w:cs="仿宋_GB2312"/>
          <w:kern w:val="0"/>
          <w:sz w:val="32"/>
          <w:szCs w:val="32"/>
        </w:rPr>
        <w:t>国有资本经营预算财政拨款收入</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，本单位没有</w:t>
      </w:r>
      <w:r>
        <w:rPr>
          <w:rFonts w:hint="eastAsia" w:ascii="仿宋_GB2312" w:eastAsia="仿宋_GB2312" w:cs="仿宋_GB2312"/>
          <w:kern w:val="0"/>
          <w:sz w:val="32"/>
          <w:szCs w:val="32"/>
        </w:rPr>
        <w:t>事业收入</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元，本单位没有</w:t>
      </w:r>
      <w:r>
        <w:rPr>
          <w:rFonts w:hint="eastAsia" w:ascii="仿宋_GB2312" w:eastAsia="仿宋_GB2312" w:cs="仿宋_GB2312"/>
          <w:kern w:val="0"/>
          <w:sz w:val="32"/>
          <w:szCs w:val="32"/>
        </w:rPr>
        <w:t>国经营收入</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3.35</w:t>
      </w:r>
      <w:r>
        <w:rPr>
          <w:rFonts w:hint="eastAsia" w:ascii="仿宋_GB2312" w:eastAsia="仿宋_GB2312" w:cs="仿宋_GB2312"/>
          <w:kern w:val="0"/>
          <w:sz w:val="32"/>
          <w:szCs w:val="32"/>
        </w:rPr>
        <w:t>万元，单位在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0.28</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下降</w:t>
      </w:r>
      <w:r>
        <w:rPr>
          <w:rFonts w:hint="eastAsia" w:ascii="仿宋_GB2312" w:hAnsi="黑体" w:eastAsia="仿宋_GB2312" w:cs="仿宋_GB2312"/>
          <w:kern w:val="0"/>
          <w:sz w:val="32"/>
          <w:szCs w:val="32"/>
          <w:lang w:val="en-US" w:eastAsia="zh-CN"/>
        </w:rPr>
        <w:t>7.71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：银行利息收入减少。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26.81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：当年度未使用历年结余资金。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年初</w:t>
      </w:r>
      <w:r>
        <w:rPr>
          <w:rFonts w:hint="eastAsia" w:ascii="仿宋_GB2312" w:eastAsia="仿宋_GB2312" w:cs="仿宋_GB2312"/>
          <w:kern w:val="0"/>
          <w:sz w:val="32"/>
          <w:szCs w:val="32"/>
        </w:rPr>
        <w:t>结转和结余</w:t>
      </w:r>
      <w:r>
        <w:rPr>
          <w:rFonts w:hint="eastAsia" w:ascii="仿宋_GB2312" w:eastAsia="仿宋_GB2312"/>
          <w:kern w:val="0"/>
          <w:sz w:val="32"/>
          <w:szCs w:val="32"/>
          <w:lang w:val="en-US" w:eastAsia="zh-CN"/>
        </w:rPr>
        <w:t>48.59</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69.75</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58.94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2019年度资金执行率为92%，2020年度资金执行率为97%，2019年度未执行完毕结转至2020年的资金多于2020年度未执行完毕结转至2021年的资金。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1921.22</w:t>
      </w:r>
      <w:r>
        <w:rPr>
          <w:rFonts w:hint="eastAsia" w:ascii="仿宋_GB2312" w:eastAsia="仿宋_GB2312" w:cs="仿宋_GB2312"/>
          <w:kern w:val="0"/>
          <w:sz w:val="32"/>
          <w:szCs w:val="32"/>
        </w:rPr>
        <w:t>万元，其中本年支出</w:t>
      </w:r>
      <w:r>
        <w:rPr>
          <w:rFonts w:hint="eastAsia" w:ascii="仿宋_GB2312" w:eastAsia="仿宋_GB2312" w:cs="仿宋_GB2312"/>
          <w:kern w:val="0"/>
          <w:sz w:val="32"/>
          <w:szCs w:val="32"/>
          <w:lang w:val="en-US" w:eastAsia="zh-CN"/>
        </w:rPr>
        <w:t>1920.27</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250.88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15.03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bCs/>
          <w:kern w:val="0"/>
          <w:sz w:val="32"/>
          <w:szCs w:val="32"/>
          <w:highlight w:val="none"/>
        </w:rPr>
        <w:t>社会保障和就业支出</w:t>
      </w:r>
      <w:r>
        <w:rPr>
          <w:rFonts w:hint="eastAsia" w:ascii="仿宋_GB2312" w:eastAsia="仿宋_GB2312" w:cs="仿宋_GB2312"/>
          <w:kern w:val="0"/>
          <w:sz w:val="32"/>
          <w:szCs w:val="32"/>
          <w:lang w:val="en-US" w:eastAsia="zh-CN"/>
        </w:rPr>
        <w:t>187.93</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单位离退休人员补助、在职人员养老保险及职业年金缴费支出。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26.88</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16.69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：在编人员增加</w:t>
      </w:r>
      <w:r>
        <w:rPr>
          <w:rFonts w:hint="eastAsia" w:ascii="仿宋_GB2312" w:hAnsi="黑体" w:eastAsia="仿宋_GB2312" w:cs="仿宋_GB2312"/>
          <w:kern w:val="0"/>
          <w:sz w:val="32"/>
          <w:szCs w:val="32"/>
          <w:lang w:val="en-US" w:eastAsia="zh-CN"/>
        </w:rPr>
        <w:t>2人，社保对应增加。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2.</w:t>
      </w:r>
      <w:r>
        <w:rPr>
          <w:rFonts w:hint="eastAsia" w:ascii="仿宋_GB2312" w:eastAsia="仿宋_GB2312" w:cs="仿宋_GB2312"/>
          <w:bCs/>
          <w:kern w:val="0"/>
          <w:sz w:val="32"/>
          <w:szCs w:val="32"/>
          <w:highlight w:val="none"/>
        </w:rPr>
        <w:t>卫生健康支出</w:t>
      </w:r>
      <w:r>
        <w:rPr>
          <w:rFonts w:hint="eastAsia" w:ascii="仿宋_GB2312" w:eastAsia="仿宋_GB2312" w:cs="仿宋_GB2312"/>
          <w:bCs/>
          <w:kern w:val="0"/>
          <w:sz w:val="32"/>
          <w:szCs w:val="32"/>
          <w:highlight w:val="none"/>
          <w:lang w:val="en-US" w:eastAsia="zh-CN"/>
        </w:rPr>
        <w:t>48.47万元：主要用于单位职工医疗保险</w:t>
      </w:r>
      <w:r>
        <w:rPr>
          <w:rFonts w:hint="eastAsia" w:ascii="仿宋_GB2312" w:eastAsia="仿宋_GB2312" w:cs="仿宋_GB2312"/>
          <w:kern w:val="0"/>
          <w:sz w:val="32"/>
          <w:szCs w:val="32"/>
          <w:lang w:eastAsia="zh-CN"/>
        </w:rPr>
        <w:t>缴费支出。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1.75</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3.75</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：在编人员增加</w:t>
      </w:r>
      <w:r>
        <w:rPr>
          <w:rFonts w:hint="eastAsia" w:ascii="仿宋_GB2312" w:hAnsi="黑体" w:eastAsia="仿宋_GB2312" w:cs="仿宋_GB2312"/>
          <w:kern w:val="0"/>
          <w:sz w:val="32"/>
          <w:szCs w:val="32"/>
          <w:lang w:val="en-US" w:eastAsia="zh-CN"/>
        </w:rPr>
        <w:t>2人，社保对应增加。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eastAsia="仿宋_GB2312" w:cs="仿宋_GB2312"/>
          <w:bCs/>
          <w:kern w:val="0"/>
          <w:sz w:val="32"/>
          <w:szCs w:val="32"/>
          <w:highlight w:val="none"/>
          <w:lang w:val="en-US" w:eastAsia="zh-CN"/>
        </w:rPr>
      </w:pPr>
      <w:r>
        <w:rPr>
          <w:rFonts w:hint="eastAsia" w:ascii="仿宋_GB2312" w:hAnsi="黑体" w:eastAsia="仿宋_GB2312" w:cs="仿宋_GB2312"/>
          <w:kern w:val="0"/>
          <w:sz w:val="32"/>
          <w:szCs w:val="32"/>
          <w:lang w:val="en-US" w:eastAsia="zh-CN"/>
        </w:rPr>
        <w:t>3.</w:t>
      </w:r>
      <w:r>
        <w:rPr>
          <w:rFonts w:hint="eastAsia" w:ascii="仿宋_GB2312" w:eastAsia="仿宋_GB2312" w:cs="仿宋_GB2312"/>
          <w:bCs/>
          <w:kern w:val="0"/>
          <w:sz w:val="32"/>
          <w:szCs w:val="32"/>
          <w:highlight w:val="none"/>
        </w:rPr>
        <w:t>城乡社区支出</w:t>
      </w:r>
      <w:r>
        <w:rPr>
          <w:rFonts w:hint="eastAsia" w:ascii="仿宋_GB2312" w:eastAsia="仿宋_GB2312" w:cs="仿宋_GB2312"/>
          <w:bCs/>
          <w:kern w:val="0"/>
          <w:sz w:val="32"/>
          <w:szCs w:val="32"/>
          <w:highlight w:val="none"/>
          <w:lang w:val="en-US" w:eastAsia="zh-CN"/>
        </w:rPr>
        <w:t>1609.17元：主要用于单位公用经费、职工工资、绩效、社保费支出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216.41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15.54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：在编人员增加</w:t>
      </w:r>
      <w:r>
        <w:rPr>
          <w:rFonts w:hint="eastAsia" w:ascii="仿宋_GB2312" w:hAnsi="黑体" w:eastAsia="仿宋_GB2312" w:cs="仿宋_GB2312"/>
          <w:kern w:val="0"/>
          <w:sz w:val="32"/>
          <w:szCs w:val="32"/>
          <w:lang w:val="en-US" w:eastAsia="zh-CN"/>
        </w:rPr>
        <w:t>2人，</w:t>
      </w:r>
      <w:r>
        <w:rPr>
          <w:rFonts w:hint="eastAsia" w:ascii="仿宋_GB2312" w:eastAsia="仿宋_GB2312" w:cs="仿宋_GB2312"/>
          <w:bCs/>
          <w:kern w:val="0"/>
          <w:sz w:val="32"/>
          <w:szCs w:val="32"/>
          <w:highlight w:val="none"/>
          <w:lang w:val="en-US" w:eastAsia="zh-CN"/>
        </w:rPr>
        <w:t>人员经费公用经费均对应增加。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eastAsia="仿宋_GB2312" w:cs="仿宋_GB2312"/>
          <w:bCs/>
          <w:kern w:val="0"/>
          <w:sz w:val="32"/>
          <w:szCs w:val="32"/>
          <w:highlight w:val="none"/>
          <w:lang w:val="en-US" w:eastAsia="zh-CN"/>
        </w:rPr>
      </w:pPr>
      <w:r>
        <w:rPr>
          <w:rFonts w:hint="eastAsia" w:ascii="仿宋_GB2312" w:hAnsi="黑体" w:eastAsia="仿宋_GB2312" w:cs="仿宋_GB2312"/>
          <w:kern w:val="0"/>
          <w:sz w:val="32"/>
          <w:szCs w:val="32"/>
          <w:lang w:val="en-US" w:eastAsia="zh-CN"/>
        </w:rPr>
        <w:t>4.</w:t>
      </w:r>
      <w:r>
        <w:rPr>
          <w:rFonts w:hint="eastAsia" w:ascii="仿宋_GB2312" w:eastAsia="仿宋_GB2312" w:cs="仿宋_GB2312"/>
          <w:bCs/>
          <w:kern w:val="0"/>
          <w:sz w:val="32"/>
          <w:szCs w:val="32"/>
          <w:highlight w:val="none"/>
        </w:rPr>
        <w:t>住房保障支出</w:t>
      </w:r>
      <w:r>
        <w:rPr>
          <w:rFonts w:hint="eastAsia" w:ascii="仿宋_GB2312" w:eastAsia="仿宋_GB2312" w:cs="仿宋_GB2312"/>
          <w:bCs/>
          <w:kern w:val="0"/>
          <w:sz w:val="32"/>
          <w:szCs w:val="32"/>
          <w:highlight w:val="none"/>
          <w:lang w:val="en-US" w:eastAsia="zh-CN"/>
        </w:rPr>
        <w:t>74.70元：主要用于职工公积金缴费支出</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5.84</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8.48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：在编人员增加</w:t>
      </w:r>
      <w:r>
        <w:rPr>
          <w:rFonts w:hint="eastAsia" w:ascii="仿宋_GB2312" w:hAnsi="黑体" w:eastAsia="仿宋_GB2312" w:cs="仿宋_GB2312"/>
          <w:kern w:val="0"/>
          <w:sz w:val="32"/>
          <w:szCs w:val="32"/>
          <w:lang w:val="en-US" w:eastAsia="zh-CN"/>
        </w:rPr>
        <w:t>2人，</w:t>
      </w:r>
      <w:r>
        <w:rPr>
          <w:rFonts w:hint="eastAsia" w:ascii="仿宋_GB2312" w:eastAsia="仿宋_GB2312" w:cs="仿宋_GB2312"/>
          <w:bCs/>
          <w:kern w:val="0"/>
          <w:sz w:val="32"/>
          <w:szCs w:val="32"/>
          <w:highlight w:val="none"/>
          <w:lang w:val="en-US" w:eastAsia="zh-CN"/>
        </w:rPr>
        <w:t>住房公积金缴费对应增加。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0.95</w:t>
      </w:r>
      <w:r>
        <w:rPr>
          <w:rFonts w:hint="eastAsia" w:ascii="仿宋_GB2312" w:eastAsia="仿宋_GB2312" w:cs="仿宋_GB2312"/>
          <w:kern w:val="0"/>
          <w:sz w:val="32"/>
          <w:szCs w:val="32"/>
        </w:rPr>
        <w:t>万元，为事业单位按规定</w:t>
      </w:r>
      <w:r>
        <w:rPr>
          <w:rFonts w:hint="eastAsia" w:ascii="仿宋_GB2312" w:eastAsia="仿宋_GB2312" w:cs="仿宋_GB2312"/>
          <w:kern w:val="0"/>
          <w:sz w:val="32"/>
          <w:szCs w:val="32"/>
          <w:lang w:eastAsia="zh-CN"/>
        </w:rPr>
        <w:t>提取的</w:t>
      </w:r>
      <w:r>
        <w:rPr>
          <w:rFonts w:hint="eastAsia" w:ascii="仿宋_GB2312" w:eastAsia="仿宋_GB2312" w:cs="仿宋_GB2312"/>
          <w:kern w:val="0"/>
          <w:sz w:val="32"/>
          <w:szCs w:val="32"/>
        </w:rPr>
        <w:t>事业基金。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增加</w:t>
      </w:r>
      <w:r>
        <w:rPr>
          <w:rFonts w:hint="eastAsia" w:ascii="仿宋_GB2312" w:hAnsi="黑体" w:eastAsia="仿宋_GB2312" w:cs="仿宋_GB2312"/>
          <w:kern w:val="0"/>
          <w:sz w:val="32"/>
          <w:szCs w:val="32"/>
          <w:lang w:val="en-US" w:eastAsia="zh-CN"/>
        </w:rPr>
        <w:t>0.95</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增长</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2020年度支出大于收入，需使用历年事业基金弥补支出，故无结余分配，2021年度收入大于支出，故有剩余资金转入结余分配。</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59.32</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：编报单位决算时间节点，财政暂未批复年末结转结余数。</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1917.87</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279.02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17.03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1009.85</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908.02</w:t>
      </w:r>
      <w:r>
        <w:rPr>
          <w:rFonts w:hint="eastAsia" w:ascii="仿宋_GB2312" w:eastAsia="仿宋_GB2312" w:cs="仿宋_GB2312"/>
          <w:kern w:val="0"/>
          <w:sz w:val="32"/>
          <w:szCs w:val="32"/>
        </w:rPr>
        <w:t>万元。</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outlineLvl w:val="9"/>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本单位2021年度一般公共预算财政拨款支出年初预</w:t>
      </w:r>
      <w:r>
        <w:rPr>
          <w:rFonts w:hint="eastAsia" w:ascii="仿宋_GB2312" w:eastAsia="仿宋_GB2312" w:cs="仿宋_GB2312"/>
          <w:kern w:val="0"/>
          <w:sz w:val="32"/>
          <w:szCs w:val="32"/>
          <w:lang w:eastAsia="zh-CN"/>
        </w:rPr>
        <w:t>算</w:t>
      </w:r>
      <w:r>
        <w:rPr>
          <w:rFonts w:hint="eastAsia" w:ascii="仿宋_GB2312" w:eastAsia="仿宋_GB2312" w:cs="仿宋_GB2312"/>
          <w:kern w:val="0"/>
          <w:sz w:val="32"/>
          <w:szCs w:val="32"/>
        </w:rPr>
        <w:t>为1679.72万元，支出决算为1917.87万元，完成年初预算的114.18%。其中</w:t>
      </w:r>
      <w:r>
        <w:rPr>
          <w:rFonts w:hint="eastAsia" w:ascii="仿宋_GB2312" w:eastAsia="仿宋_GB2312" w:cs="仿宋_GB2312"/>
          <w:kern w:val="0"/>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outlineLvl w:val="9"/>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社会保障和就业支出（类）行政事业单位养老支出（款）事业单位离退休（项）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35.46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支出决算为</w:t>
      </w:r>
      <w:r>
        <w:rPr>
          <w:rFonts w:hint="eastAsia" w:ascii="仿宋_GB2312" w:hAnsi="黑体" w:eastAsia="仿宋_GB2312" w:cs="仿宋_GB2312"/>
          <w:kern w:val="0"/>
          <w:sz w:val="32"/>
          <w:szCs w:val="32"/>
          <w:lang w:val="en-US" w:eastAsia="zh-CN"/>
        </w:rPr>
        <w:t>39.81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112.27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原因是：年中财政下达退休人员春节慰问补差</w:t>
      </w:r>
      <w:r>
        <w:rPr>
          <w:rFonts w:hint="eastAsia" w:ascii="仿宋_GB2312" w:eastAsia="仿宋_GB2312" w:cs="仿宋_GB2312"/>
          <w:kern w:val="0"/>
          <w:sz w:val="32"/>
          <w:szCs w:val="32"/>
          <w:lang w:val="en-US" w:eastAsia="zh-CN"/>
        </w:rPr>
        <w:t>4.44万元，年末财政收回剩余退休公用经费0.09万元。</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lang w:eastAsia="zh-CN"/>
        </w:rPr>
        <w:t>（二）</w:t>
      </w:r>
      <w:r>
        <w:rPr>
          <w:rFonts w:hint="eastAsia" w:ascii="仿宋_GB2312" w:eastAsia="仿宋_GB2312" w:cs="仿宋_GB2312"/>
          <w:bCs/>
          <w:kern w:val="0"/>
          <w:sz w:val="32"/>
          <w:szCs w:val="32"/>
        </w:rPr>
        <w:t>社会保障和就业支出（类）行政事业单位养老支出（款）机关事业单位基本养老保险缴费支出（项）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81.24</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98.74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121.54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r>
        <w:rPr>
          <w:rFonts w:hint="eastAsia" w:ascii="仿宋_GB2312"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（三）</w:t>
      </w:r>
      <w:r>
        <w:rPr>
          <w:rFonts w:hint="eastAsia" w:ascii="仿宋_GB2312" w:eastAsia="仿宋_GB2312" w:cs="仿宋_GB2312"/>
          <w:bCs/>
          <w:kern w:val="0"/>
          <w:sz w:val="32"/>
          <w:szCs w:val="32"/>
        </w:rPr>
        <w:t>社会保障和就业支出（类）行政事业单位养老支出（款）机关事业单位职业年金缴费支出（项）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40.62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49.37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121.54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r>
        <w:rPr>
          <w:rFonts w:hint="eastAsia" w:ascii="仿宋_GB2312"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（四）</w:t>
      </w:r>
      <w:r>
        <w:rPr>
          <w:rFonts w:hint="eastAsia" w:ascii="仿宋_GB2312" w:eastAsia="仿宋_GB2312" w:cs="仿宋_GB2312"/>
          <w:bCs/>
          <w:kern w:val="0"/>
          <w:sz w:val="32"/>
          <w:szCs w:val="32"/>
        </w:rPr>
        <w:t>卫生健康支出（类）行政事业单位医疗（款）事业单位医疗（项）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39.94</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48.47</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121.36</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r>
        <w:rPr>
          <w:rFonts w:hint="eastAsia" w:ascii="仿宋_GB2312"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（五）</w:t>
      </w:r>
      <w:r>
        <w:rPr>
          <w:rFonts w:hint="eastAsia" w:ascii="仿宋_GB2312" w:eastAsia="仿宋_GB2312" w:cs="仿宋_GB2312"/>
          <w:bCs/>
          <w:kern w:val="0"/>
          <w:sz w:val="32"/>
          <w:szCs w:val="32"/>
        </w:rPr>
        <w:t>城乡社区支出（类）城乡社区管理事务（款）其他城乡社区管理事务支出（项）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608.52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698.76</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114.83</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r>
        <w:rPr>
          <w:rFonts w:hint="eastAsia" w:ascii="仿宋_GB2312"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（六）</w:t>
      </w:r>
      <w:r>
        <w:rPr>
          <w:rFonts w:hint="eastAsia" w:ascii="仿宋_GB2312" w:eastAsia="仿宋_GB2312" w:cs="仿宋_GB2312"/>
          <w:bCs/>
          <w:kern w:val="0"/>
          <w:sz w:val="32"/>
          <w:szCs w:val="32"/>
        </w:rPr>
        <w:t>城乡社区支出（类）城乡社区公共设施（款） 其他城乡社区公共设施支出（项）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164.84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w:t>
      </w:r>
      <w:r>
        <w:rPr>
          <w:rFonts w:hint="eastAsia" w:ascii="仿宋_GB2312" w:hAnsi="黑体" w:eastAsia="仿宋_GB2312" w:cs="仿宋_GB2312"/>
          <w:kern w:val="0"/>
          <w:sz w:val="32"/>
          <w:szCs w:val="32"/>
          <w:lang w:val="en-US" w:eastAsia="zh-CN"/>
        </w:rPr>
        <w:t>年中追加搬迁专项经费</w:t>
      </w:r>
      <w:r>
        <w:rPr>
          <w:rFonts w:hint="eastAsia" w:ascii="仿宋_GB2312" w:eastAsia="仿宋_GB2312" w:cs="仿宋_GB2312"/>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宋体" w:cs="仿宋_GB2312"/>
          <w:color w:val="auto"/>
          <w:kern w:val="0"/>
          <w:sz w:val="32"/>
          <w:szCs w:val="32"/>
          <w:highlight w:val="none"/>
          <w:lang w:val="en-US" w:eastAsia="zh-CN"/>
        </w:rPr>
      </w:pPr>
      <w:r>
        <w:rPr>
          <w:rFonts w:hint="eastAsia" w:ascii="仿宋_GB2312" w:eastAsia="仿宋_GB2312" w:cs="仿宋_GB2312"/>
          <w:kern w:val="0"/>
          <w:sz w:val="32"/>
          <w:szCs w:val="32"/>
          <w:lang w:eastAsia="zh-CN"/>
        </w:rPr>
        <w:t>（七）</w:t>
      </w:r>
      <w:r>
        <w:rPr>
          <w:rFonts w:hint="eastAsia" w:ascii="仿宋_GB2312" w:eastAsia="仿宋_GB2312" w:cs="仿宋_GB2312"/>
          <w:bCs/>
          <w:kern w:val="0"/>
          <w:sz w:val="32"/>
          <w:szCs w:val="32"/>
        </w:rPr>
        <w:t>城乡社区支出（类）建设市场管理与监督（款）   建设市场管理与监督（项）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813.01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743.18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91.41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w:t>
      </w:r>
      <w:r>
        <w:rPr>
          <w:rFonts w:hint="eastAsia" w:ascii="仿宋_GB2312" w:eastAsia="仿宋_GB2312" w:cs="仿宋_GB2312"/>
          <w:bCs/>
          <w:color w:val="auto"/>
          <w:kern w:val="0"/>
          <w:sz w:val="32"/>
          <w:szCs w:val="32"/>
          <w:highlight w:val="none"/>
          <w:lang w:eastAsia="zh-CN"/>
        </w:rPr>
        <w:t>年内未执行完的项目资金财政给予收回，且编报单位决算时间节点，财政暂未批复年末结转结余数。</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（八）</w:t>
      </w:r>
      <w:r>
        <w:rPr>
          <w:rFonts w:hint="eastAsia" w:ascii="仿宋_GB2312" w:eastAsia="仿宋_GB2312" w:cs="仿宋_GB2312"/>
          <w:bCs/>
          <w:kern w:val="0"/>
          <w:sz w:val="32"/>
          <w:szCs w:val="32"/>
        </w:rPr>
        <w:t>住房保障支出（类）住房改革支出（款）住房公积金（项）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60.93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74.70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122.60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r>
        <w:rPr>
          <w:rFonts w:hint="eastAsia" w:ascii="仿宋_GB2312" w:eastAsia="仿宋_GB2312" w:cs="仿宋_GB2312"/>
          <w:kern w:val="0"/>
          <w:sz w:val="32"/>
          <w:szCs w:val="32"/>
          <w:lang w:val="en-US"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1009.85</w:t>
      </w:r>
      <w:r>
        <w:rPr>
          <w:rFonts w:hint="eastAsia" w:ascii="仿宋_GB2312" w:eastAsia="仿宋_GB2312" w:cs="仿宋_GB2312"/>
          <w:kern w:val="0"/>
          <w:sz w:val="32"/>
          <w:szCs w:val="32"/>
        </w:rPr>
        <w:t>万元，支出具体情况如下：</w:t>
      </w:r>
    </w:p>
    <w:p>
      <w:pPr>
        <w:numPr>
          <w:ilvl w:val="0"/>
          <w:numId w:val="1"/>
        </w:num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工资福利支出</w:t>
      </w:r>
      <w:r>
        <w:rPr>
          <w:rFonts w:hint="eastAsia" w:ascii="仿宋_GB2312" w:eastAsia="仿宋_GB2312"/>
          <w:bCs/>
          <w:kern w:val="0"/>
          <w:sz w:val="32"/>
          <w:szCs w:val="32"/>
          <w:lang w:val="en-US" w:eastAsia="zh-CN"/>
        </w:rPr>
        <w:t>907.12</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121.31</w:t>
      </w:r>
      <w:r>
        <w:rPr>
          <w:rFonts w:hint="eastAsia" w:ascii="仿宋_GB2312" w:eastAsia="仿宋_GB2312"/>
          <w:bCs/>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原因是：年中下达绩效补差</w:t>
      </w:r>
      <w:r>
        <w:rPr>
          <w:rFonts w:hint="eastAsia" w:ascii="仿宋_GB2312" w:eastAsia="仿宋_GB2312" w:cs="仿宋_GB2312"/>
          <w:kern w:val="0"/>
          <w:sz w:val="32"/>
          <w:szCs w:val="32"/>
          <w:lang w:val="en-US" w:eastAsia="zh-CN"/>
        </w:rPr>
        <w:t>及</w:t>
      </w:r>
      <w:r>
        <w:rPr>
          <w:rFonts w:hint="eastAsia" w:ascii="仿宋_GB2312" w:eastAsia="仿宋_GB2312" w:cs="仿宋_GB2312"/>
          <w:kern w:val="0"/>
          <w:sz w:val="32"/>
          <w:szCs w:val="32"/>
          <w:lang w:eastAsia="zh-CN"/>
        </w:rPr>
        <w:t>增人增资资金。</w:t>
      </w:r>
    </w:p>
    <w:p>
      <w:pPr>
        <w:numPr>
          <w:ilvl w:val="0"/>
          <w:numId w:val="1"/>
        </w:num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商品和服务支出</w:t>
      </w:r>
      <w:r>
        <w:rPr>
          <w:rFonts w:hint="eastAsia" w:ascii="仿宋_GB2312" w:eastAsia="仿宋_GB2312"/>
          <w:bCs/>
          <w:kern w:val="0"/>
          <w:sz w:val="32"/>
          <w:szCs w:val="32"/>
          <w:lang w:val="en-US" w:eastAsia="zh-CN"/>
        </w:rPr>
        <w:t>72.08</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81.65</w:t>
      </w:r>
      <w:r>
        <w:rPr>
          <w:rFonts w:hint="eastAsia" w:ascii="仿宋_GB2312" w:eastAsia="仿宋_GB2312"/>
          <w:bCs/>
          <w:kern w:val="0"/>
          <w:sz w:val="32"/>
          <w:szCs w:val="32"/>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w:t>
      </w:r>
      <w:r>
        <w:rPr>
          <w:rFonts w:hint="eastAsia" w:ascii="仿宋_GB2312" w:eastAsia="仿宋_GB2312" w:cs="仿宋_GB2312"/>
          <w:bCs/>
          <w:color w:val="auto"/>
          <w:kern w:val="0"/>
          <w:sz w:val="32"/>
          <w:szCs w:val="32"/>
          <w:highlight w:val="none"/>
          <w:lang w:eastAsia="zh-CN"/>
        </w:rPr>
        <w:t>年内未执行完的项目资金财政给予收回，且编报单位决算时间节点，财政暂未批复年末结转结余数</w:t>
      </w:r>
      <w:r>
        <w:rPr>
          <w:rFonts w:hint="eastAsia" w:ascii="仿宋_GB2312" w:eastAsia="仿宋_GB2312" w:cs="仿宋_GB2312"/>
          <w:kern w:val="0"/>
          <w:sz w:val="32"/>
          <w:szCs w:val="32"/>
          <w:lang w:eastAsia="zh-CN"/>
        </w:rPr>
        <w:t>。</w:t>
      </w:r>
    </w:p>
    <w:p>
      <w:pPr>
        <w:numPr>
          <w:ilvl w:val="0"/>
          <w:numId w:val="1"/>
        </w:num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仿宋_GB2312" w:eastAsia="仿宋_GB2312"/>
          <w:bCs/>
          <w:kern w:val="0"/>
          <w:sz w:val="32"/>
          <w:szCs w:val="32"/>
        </w:rPr>
        <w:t>对个人和家庭的补助</w:t>
      </w:r>
      <w:r>
        <w:rPr>
          <w:rFonts w:hint="eastAsia" w:ascii="仿宋_GB2312" w:eastAsia="仿宋_GB2312"/>
          <w:bCs/>
          <w:kern w:val="0"/>
          <w:sz w:val="32"/>
          <w:szCs w:val="32"/>
          <w:lang w:val="en-US" w:eastAsia="zh-CN"/>
        </w:rPr>
        <w:t>30.66万元，</w:t>
      </w:r>
      <w:r>
        <w:rPr>
          <w:rFonts w:hint="eastAsia" w:ascii="仿宋_GB2312" w:eastAsia="仿宋_GB2312"/>
          <w:bCs/>
          <w:kern w:val="0"/>
          <w:sz w:val="32"/>
          <w:szCs w:val="32"/>
        </w:rPr>
        <w:t>完成年初预算的</w:t>
      </w:r>
      <w:r>
        <w:rPr>
          <w:rFonts w:hint="eastAsia" w:ascii="仿宋_GB2312" w:eastAsia="仿宋_GB2312"/>
          <w:bCs/>
          <w:kern w:val="0"/>
          <w:sz w:val="32"/>
          <w:szCs w:val="32"/>
          <w:lang w:val="en-US" w:eastAsia="zh-CN"/>
        </w:rPr>
        <w:t>100</w:t>
      </w:r>
      <w:r>
        <w:rPr>
          <w:rFonts w:hint="eastAsia" w:ascii="仿宋_GB2312" w:eastAsia="仿宋_GB2312"/>
          <w:bCs/>
          <w:kern w:val="0"/>
          <w:sz w:val="32"/>
          <w:szCs w:val="32"/>
        </w:rPr>
        <w:t>%</w:t>
      </w:r>
      <w:r>
        <w:rPr>
          <w:rFonts w:hint="eastAsia" w:ascii="仿宋_GB2312" w:eastAsia="仿宋_GB2312"/>
          <w:bCs/>
          <w:kern w:val="0"/>
          <w:sz w:val="32"/>
          <w:szCs w:val="32"/>
          <w:lang w:eastAsia="zh-CN"/>
        </w:rPr>
        <w:t>。</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原因是：预决算一致。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柳州市房产交易所</w:t>
      </w:r>
      <w:r>
        <w:rPr>
          <w:rFonts w:hint="eastAsia" w:ascii="仿宋_GB2312" w:eastAsia="仿宋_GB2312" w:cs="仿宋_GB2312"/>
          <w:kern w:val="0"/>
          <w:sz w:val="32"/>
          <w:szCs w:val="32"/>
        </w:rPr>
        <w:t>202</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outlineLvl w:val="9"/>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柳州市房产交易所2021年度没有国有资本经营预算财政拨款收入，也没有国有资本经营预算财政拨款安排的支出，故无数据情况说明。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2.18</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22.68</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2.09万元</w:t>
      </w:r>
      <w:r>
        <w:rPr>
          <w:rFonts w:hint="eastAsia" w:ascii="仿宋_GB2312" w:eastAsia="仿宋_GB2312" w:cs="仿宋_GB2312"/>
          <w:kern w:val="0"/>
          <w:sz w:val="32"/>
          <w:szCs w:val="32"/>
        </w:rPr>
        <w:t>，主要原因是依据文件精神厉行节约</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三公</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经费开支。其中：因公出国（境）费支出决算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1.96</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0.22</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1.96</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本年度未购置公务用车。</w:t>
      </w:r>
    </w:p>
    <w:p>
      <w:pPr>
        <w:autoSpaceDE w:val="0"/>
        <w:autoSpaceDN w:val="0"/>
        <w:adjustRightInd w:val="0"/>
        <w:spacing w:line="560" w:lineRule="exact"/>
        <w:ind w:firstLine="640" w:firstLineChars="200"/>
        <w:jc w:val="left"/>
        <w:rPr>
          <w:rFonts w:hint="eastAsia" w:ascii="仿宋_GB2312" w:hAnsi="黑体" w:eastAsia="仿宋_GB2312"/>
          <w:bCs/>
          <w:color w:val="00000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1.96</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24.50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2.06</w:t>
      </w:r>
      <w:r>
        <w:rPr>
          <w:rFonts w:hint="eastAsia" w:ascii="仿宋_GB2312" w:eastAsia="仿宋_GB2312" w:cs="仿宋_GB2312"/>
          <w:kern w:val="0"/>
          <w:sz w:val="32"/>
          <w:szCs w:val="32"/>
        </w:rPr>
        <w:t>万元，原因是依据文件精神厉行节约</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三公</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经费开支。主要用于机要文件交换、市内因公出行以及开展业务所需车辆燃料费、维修费、过路过桥费、保险费等。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eastAsia="仿宋_GB2312" w:cs="仿宋_GB2312"/>
          <w:kern w:val="0"/>
          <w:sz w:val="32"/>
          <w:szCs w:val="32"/>
          <w:lang w:eastAsia="zh-CN"/>
        </w:rPr>
        <w:t>柳州市房产交易所</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4</w:t>
      </w:r>
      <w:r>
        <w:rPr>
          <w:rFonts w:hint="eastAsia" w:ascii="仿宋_GB2312" w:hAnsi="黑体" w:eastAsia="仿宋_GB2312"/>
          <w:bCs/>
          <w:color w:val="000000"/>
          <w:sz w:val="32"/>
          <w:szCs w:val="32"/>
        </w:rPr>
        <w:t>辆</w:t>
      </w:r>
      <w:r>
        <w:rPr>
          <w:rFonts w:hint="eastAsia" w:ascii="仿宋_GB2312" w:hAnsi="黑体" w:eastAsia="仿宋_GB2312"/>
          <w:b w:val="0"/>
          <w:bCs/>
          <w:color w:val="000000"/>
          <w:sz w:val="32"/>
          <w:szCs w:val="32"/>
          <w:lang w:eastAsia="zh-CN"/>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1.96</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0.49</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0.22</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完成年初预算的</w:t>
      </w:r>
      <w:r>
        <w:rPr>
          <w:rFonts w:hint="eastAsia" w:ascii="仿宋_GB2312" w:eastAsia="仿宋_GB2312" w:cs="仿宋_GB2312"/>
          <w:kern w:val="0"/>
          <w:sz w:val="32"/>
          <w:szCs w:val="32"/>
          <w:lang w:val="en-US" w:eastAsia="zh-CN"/>
        </w:rPr>
        <w:t>13.66</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0.03</w:t>
      </w:r>
      <w:r>
        <w:rPr>
          <w:rFonts w:hint="eastAsia" w:ascii="仿宋_GB2312" w:eastAsia="仿宋_GB2312" w:cs="仿宋_GB2312"/>
          <w:kern w:val="0"/>
          <w:sz w:val="32"/>
          <w:szCs w:val="32"/>
        </w:rPr>
        <w:t>万元，原因是依据文件精神厉行节约</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三公</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经费开支。国内公务接待批次</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10</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b w:val="0"/>
          <w:bCs/>
          <w:kern w:val="0"/>
          <w:sz w:val="32"/>
          <w:szCs w:val="32"/>
          <w:lang w:eastAsia="zh-CN"/>
        </w:rPr>
      </w:pPr>
      <w:r>
        <w:rPr>
          <w:rFonts w:hint="eastAsia" w:ascii="仿宋_GB2312" w:eastAsia="仿宋_GB2312" w:cs="仿宋_GB2312"/>
          <w:b w:val="0"/>
          <w:bCs/>
          <w:kern w:val="0"/>
          <w:sz w:val="32"/>
          <w:szCs w:val="32"/>
        </w:rPr>
        <w:t>本</w:t>
      </w:r>
      <w:r>
        <w:rPr>
          <w:rFonts w:hint="eastAsia" w:ascii="仿宋_GB2312" w:eastAsia="仿宋_GB2312" w:cs="仿宋_GB2312"/>
          <w:b w:val="0"/>
          <w:bCs/>
          <w:kern w:val="0"/>
          <w:sz w:val="32"/>
          <w:szCs w:val="32"/>
          <w:lang w:eastAsia="zh-CN"/>
        </w:rPr>
        <w:t>单位</w:t>
      </w:r>
      <w:r>
        <w:rPr>
          <w:rFonts w:hint="eastAsia" w:ascii="仿宋_GB2312" w:eastAsia="仿宋_GB2312" w:cs="仿宋_GB2312"/>
          <w:b w:val="0"/>
          <w:bCs/>
          <w:kern w:val="0"/>
          <w:sz w:val="32"/>
          <w:szCs w:val="32"/>
        </w:rPr>
        <w:t>无机关运行经费支出</w:t>
      </w:r>
      <w:r>
        <w:rPr>
          <w:rFonts w:hint="eastAsia" w:ascii="仿宋_GB2312" w:eastAsia="仿宋_GB2312" w:cs="仿宋_GB2312"/>
          <w:b w:val="0"/>
          <w:bCs/>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年度政府采购支出总额</w:t>
      </w:r>
      <w:r>
        <w:rPr>
          <w:rFonts w:hint="eastAsia" w:ascii="仿宋_GB2312" w:eastAsia="仿宋_GB2312" w:cs="仿宋_GB2312"/>
          <w:kern w:val="0"/>
          <w:sz w:val="32"/>
          <w:szCs w:val="32"/>
          <w:highlight w:val="none"/>
          <w:lang w:val="en-US" w:eastAsia="zh-CN"/>
        </w:rPr>
        <w:t>288.14</w:t>
      </w:r>
      <w:r>
        <w:rPr>
          <w:rFonts w:hint="eastAsia" w:ascii="仿宋_GB2312" w:eastAsia="仿宋_GB2312" w:cs="仿宋_GB2312"/>
          <w:kern w:val="0"/>
          <w:sz w:val="32"/>
          <w:szCs w:val="32"/>
          <w:highlight w:val="none"/>
        </w:rPr>
        <w:t>万元，其中：政府采购货物支出</w:t>
      </w:r>
      <w:r>
        <w:rPr>
          <w:rFonts w:hint="eastAsia" w:ascii="仿宋_GB2312" w:eastAsia="仿宋_GB2312" w:cs="仿宋_GB2312"/>
          <w:kern w:val="0"/>
          <w:sz w:val="32"/>
          <w:szCs w:val="32"/>
          <w:highlight w:val="none"/>
          <w:lang w:val="en-US" w:eastAsia="zh-CN"/>
        </w:rPr>
        <w:t>28.99</w:t>
      </w:r>
      <w:r>
        <w:rPr>
          <w:rFonts w:hint="eastAsia" w:ascii="仿宋_GB2312" w:eastAsia="仿宋_GB2312" w:cs="仿宋_GB2312"/>
          <w:kern w:val="0"/>
          <w:sz w:val="32"/>
          <w:szCs w:val="32"/>
          <w:highlight w:val="none"/>
        </w:rPr>
        <w:t>万元、政府采购工程支出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万元、政府采购服务支出</w:t>
      </w:r>
      <w:r>
        <w:rPr>
          <w:rFonts w:hint="eastAsia" w:ascii="仿宋_GB2312" w:eastAsia="仿宋_GB2312" w:cs="仿宋_GB2312"/>
          <w:kern w:val="0"/>
          <w:sz w:val="32"/>
          <w:szCs w:val="32"/>
          <w:highlight w:val="none"/>
          <w:lang w:val="en-US" w:eastAsia="zh-CN"/>
        </w:rPr>
        <w:t>259.15</w:t>
      </w:r>
      <w:r>
        <w:rPr>
          <w:rFonts w:hint="eastAsia" w:ascii="仿宋_GB2312" w:eastAsia="仿宋_GB2312" w:cs="仿宋_GB2312"/>
          <w:kern w:val="0"/>
          <w:sz w:val="32"/>
          <w:szCs w:val="32"/>
          <w:highlight w:val="none"/>
        </w:rPr>
        <w:t>万元，授予中小企业合同金额</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%，其中：授予小微企业合同金额</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rPr>
        <w:t>辆，其他用车主要是</w:t>
      </w:r>
      <w:r>
        <w:rPr>
          <w:rFonts w:hint="eastAsia" w:ascii="仿宋_GB2312" w:eastAsia="仿宋_GB2312" w:cs="仿宋_GB2312"/>
          <w:kern w:val="0"/>
          <w:sz w:val="32"/>
          <w:szCs w:val="32"/>
          <w:lang w:eastAsia="zh-CN"/>
        </w:rPr>
        <w:t>用于</w:t>
      </w:r>
      <w:r>
        <w:rPr>
          <w:rFonts w:hint="eastAsia" w:ascii="仿宋_GB2312" w:eastAsia="仿宋_GB2312" w:cs="仿宋_GB2312"/>
          <w:kern w:val="0"/>
          <w:sz w:val="32"/>
          <w:szCs w:val="32"/>
        </w:rPr>
        <w:t>市内因公出行以及开展业务所需车辆燃料费、维修费、过路过桥费、保险费等；单价50万元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根据财政预算管理要求，我单位组织对2021年度一般公共预算项目支出全面开展绩效自评。共涉及资金649.22万元，占一般公共预算项目支出总额的71.50%。</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共组织对“聘用人员经费项目”、“成本性支出项目”、“网络建设运行等专项”3 个项目进行了绩效评价，涉及一般公共预算支出649.22 万元。</w:t>
      </w:r>
    </w:p>
    <w:p>
      <w:pPr>
        <w:autoSpaceDE w:val="0"/>
        <w:autoSpaceDN w:val="0"/>
        <w:adjustRightInd w:val="0"/>
        <w:spacing w:line="560" w:lineRule="exact"/>
        <w:ind w:firstLine="640" w:firstLineChars="200"/>
        <w:jc w:val="both"/>
        <w:rPr>
          <w:rFonts w:hint="eastAsia" w:ascii="仿宋_GB2312" w:eastAsia="仿宋_GB2312" w:cs="仿宋_GB2312"/>
          <w:kern w:val="0"/>
          <w:sz w:val="32"/>
          <w:szCs w:val="32"/>
        </w:rPr>
      </w:pPr>
      <w:r>
        <w:rPr>
          <w:rFonts w:hint="eastAsia" w:ascii="仿宋_GB2312" w:eastAsia="仿宋_GB2312" w:cs="仿宋_GB2312"/>
          <w:kern w:val="0"/>
          <w:sz w:val="32"/>
          <w:szCs w:val="32"/>
        </w:rPr>
        <w:t>组织对单位开展整体支出绩效评价，涉及一般公共预算支出1917.87 万元。从评价情况来看，年内均完成了年初制定的预期目标，自评总分100分，目标完成情况如下：办理各类房屋交易网签备案业务共计9.1万件；</w:t>
      </w:r>
      <w:bookmarkStart w:id="0" w:name="_GoBack"/>
      <w:bookmarkEnd w:id="0"/>
      <w:r>
        <w:rPr>
          <w:rFonts w:hint="eastAsia" w:ascii="仿宋_GB2312" w:eastAsia="仿宋_GB2312" w:cs="仿宋_GB2312"/>
          <w:kern w:val="0"/>
          <w:sz w:val="32"/>
          <w:szCs w:val="32"/>
          <w:lang w:eastAsia="zh-CN"/>
        </w:rPr>
        <w:t>截至</w:t>
      </w:r>
      <w:r>
        <w:rPr>
          <w:rFonts w:hint="eastAsia" w:ascii="仿宋_GB2312" w:eastAsia="仿宋_GB2312" w:cs="仿宋_GB2312"/>
          <w:kern w:val="0"/>
          <w:sz w:val="32"/>
          <w:szCs w:val="32"/>
        </w:rPr>
        <w:t>12月底已完成巡查141家（经纪公司141家）,专项检查97家（房开公司20家，经纪公司48家，评估公司49家），结合单位实际和管理行业特点，</w:t>
      </w:r>
      <w:r>
        <w:rPr>
          <w:rFonts w:hint="eastAsia" w:ascii="仿宋_GB2312" w:eastAsia="仿宋_GB2312" w:cs="仿宋_GB2312"/>
          <w:kern w:val="0"/>
          <w:sz w:val="32"/>
          <w:szCs w:val="32"/>
          <w:lang w:eastAsia="zh-CN"/>
        </w:rPr>
        <w:t>截至</w:t>
      </w:r>
      <w:r>
        <w:rPr>
          <w:rFonts w:hint="eastAsia" w:ascii="仿宋_GB2312" w:eastAsia="仿宋_GB2312" w:cs="仿宋_GB2312"/>
          <w:kern w:val="0"/>
          <w:sz w:val="32"/>
          <w:szCs w:val="32"/>
        </w:rPr>
        <w:t>12月底制作存量房交易风险、扫黑除恶专项斗争宣传手册、宣传海报1200余份；《柳州市房产综合信息管理系统》各个子系统运行稳定，且通过网络安全三级等保测评；全面升级《柳州市房产综合信息管理系统》增设人脸识别、证件识别及自动采集信息等系统功能，为政府部门、房地产行业及公众提供了便捷的网上办事通道，10月8日正式搬迁至柳州市民服务中心南楼五楼办公，遵守行政审批管理纪律，按时参会市审批局组织召开的会议，加强窗口工作人员管理。</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我单位根据年初设定的绩效目标，聘用人员经费项目自评得分为100 分。发现的主要问题及原因：一是立项的项目可行性分析及绩效分析不足；二是绩效项目设置笼统，项目内容不够细化。下一步改进措施：一是立项前期根据项目内容深入挖掘出规范化、可操作性强的立项指标；二是细化项目指标，使项目指标值具体化。成本性支出项目自评得分为100 分。发现的主要问题及原因：一是立项的项目可行性分析及绩效分析不足；二是绩效项目设置笼统，项目内容不够细化。下一步改进措施：一是立项前期根据项目内容深入挖掘出规范化、可操作性强的立项指标；二是细化项目指标，使项目指标值具体化。网络建设运行等专项项目自评得分为100 分。发现的主要问题及原因：一是立项的项目可行性分析及绩效分析不足；二是绩效项目设置笼统，项目内容不够细化。下一步改进措施：一是立项前期根据项目内容深入挖掘出规范化、可操作性强的立项指标；二是细化项目指标，使项目指标值具体化。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ascii="仿宋_GB2312" w:eastAsia="仿宋_GB2312" w:cs="仿宋_GB2312"/>
          <w:kern w:val="0"/>
          <w:sz w:val="32"/>
          <w:szCs w:val="32"/>
        </w:rPr>
      </w:pPr>
    </w:p>
    <w:p>
      <w:pPr>
        <w:ind w:firstLine="640" w:firstLineChars="200"/>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附件</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lang w:eastAsia="zh-CN"/>
        </w:rPr>
        <w:t>：柳州市房产交易所2021年度单位决算公开表</w:t>
      </w:r>
    </w:p>
    <w:p>
      <w:pPr>
        <w:ind w:firstLine="640" w:firstLineChars="200"/>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eastAsia="zh-CN"/>
        </w:rPr>
        <w:t>附件</w:t>
      </w:r>
      <w:r>
        <w:rPr>
          <w:rFonts w:hint="eastAsia" w:ascii="仿宋_GB2312" w:eastAsia="仿宋_GB2312" w:cs="仿宋_GB2312"/>
          <w:kern w:val="0"/>
          <w:sz w:val="32"/>
          <w:szCs w:val="32"/>
          <w:lang w:val="en-US" w:eastAsia="zh-CN"/>
        </w:rPr>
        <w:t>2：柳州市房产交易所2021年度聘用人员经费项目支出绩效自评表</w:t>
      </w:r>
    </w:p>
    <w:p>
      <w:pPr>
        <w:ind w:firstLine="640" w:firstLineChars="200"/>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附件3：柳州市房产交易所2021年成本性支出绩效自评表</w:t>
      </w:r>
    </w:p>
    <w:p>
      <w:pPr>
        <w:ind w:firstLine="640" w:firstLineChars="200"/>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附件4：柳州市房产交易所2021年度网络建设运行等专项工作支出绩效自评表</w:t>
      </w: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08B3C"/>
    <w:multiLevelType w:val="singleLevel"/>
    <w:tmpl w:val="9D008B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17460AC"/>
    <w:rsid w:val="028C119A"/>
    <w:rsid w:val="02A00A7D"/>
    <w:rsid w:val="03B559CD"/>
    <w:rsid w:val="04A12D54"/>
    <w:rsid w:val="051D75F6"/>
    <w:rsid w:val="05352423"/>
    <w:rsid w:val="05F6000E"/>
    <w:rsid w:val="06284684"/>
    <w:rsid w:val="06ED3D7F"/>
    <w:rsid w:val="0792150D"/>
    <w:rsid w:val="07E40670"/>
    <w:rsid w:val="082C5F4D"/>
    <w:rsid w:val="08762A6D"/>
    <w:rsid w:val="08DB5B40"/>
    <w:rsid w:val="093C4392"/>
    <w:rsid w:val="094B45FA"/>
    <w:rsid w:val="09AE25E6"/>
    <w:rsid w:val="0A0C33E4"/>
    <w:rsid w:val="0A8D716E"/>
    <w:rsid w:val="0B232474"/>
    <w:rsid w:val="0B424B1D"/>
    <w:rsid w:val="0BA402E2"/>
    <w:rsid w:val="0BF07565"/>
    <w:rsid w:val="0C3D463A"/>
    <w:rsid w:val="0C831E70"/>
    <w:rsid w:val="0CDE005E"/>
    <w:rsid w:val="0D684C58"/>
    <w:rsid w:val="0DA86951"/>
    <w:rsid w:val="0DB90CF0"/>
    <w:rsid w:val="0E074DDF"/>
    <w:rsid w:val="0E20686F"/>
    <w:rsid w:val="0E211243"/>
    <w:rsid w:val="0ED11D1F"/>
    <w:rsid w:val="0ED32316"/>
    <w:rsid w:val="0F0F5ED6"/>
    <w:rsid w:val="0F5165A5"/>
    <w:rsid w:val="1016039D"/>
    <w:rsid w:val="10A93E21"/>
    <w:rsid w:val="10CA3ED6"/>
    <w:rsid w:val="124204B5"/>
    <w:rsid w:val="13E75AFC"/>
    <w:rsid w:val="14425B8A"/>
    <w:rsid w:val="144976C9"/>
    <w:rsid w:val="144A1073"/>
    <w:rsid w:val="14F016D4"/>
    <w:rsid w:val="1529213C"/>
    <w:rsid w:val="15582091"/>
    <w:rsid w:val="15823E15"/>
    <w:rsid w:val="16091136"/>
    <w:rsid w:val="1612602D"/>
    <w:rsid w:val="16982654"/>
    <w:rsid w:val="169B474E"/>
    <w:rsid w:val="16B90A0F"/>
    <w:rsid w:val="1801389D"/>
    <w:rsid w:val="182962AB"/>
    <w:rsid w:val="1905412B"/>
    <w:rsid w:val="197F6930"/>
    <w:rsid w:val="19D073EB"/>
    <w:rsid w:val="1A650904"/>
    <w:rsid w:val="1AF926D2"/>
    <w:rsid w:val="1BEF4D27"/>
    <w:rsid w:val="1C3657BC"/>
    <w:rsid w:val="1CC31F67"/>
    <w:rsid w:val="1CED3E3F"/>
    <w:rsid w:val="1D6B37F7"/>
    <w:rsid w:val="1DE80E1E"/>
    <w:rsid w:val="1F0D20B3"/>
    <w:rsid w:val="1F3454CA"/>
    <w:rsid w:val="1F61081F"/>
    <w:rsid w:val="1FA43FDF"/>
    <w:rsid w:val="1FF5160C"/>
    <w:rsid w:val="20792AD4"/>
    <w:rsid w:val="2112612C"/>
    <w:rsid w:val="211F3D65"/>
    <w:rsid w:val="213D6154"/>
    <w:rsid w:val="21BB15BF"/>
    <w:rsid w:val="2249565E"/>
    <w:rsid w:val="23320CCA"/>
    <w:rsid w:val="23B407ED"/>
    <w:rsid w:val="24461B8D"/>
    <w:rsid w:val="24803320"/>
    <w:rsid w:val="249F3DC8"/>
    <w:rsid w:val="24D337DC"/>
    <w:rsid w:val="2538228D"/>
    <w:rsid w:val="25B74068"/>
    <w:rsid w:val="26460DBA"/>
    <w:rsid w:val="271740B9"/>
    <w:rsid w:val="27775A51"/>
    <w:rsid w:val="27891DDD"/>
    <w:rsid w:val="27E30E4A"/>
    <w:rsid w:val="29B64711"/>
    <w:rsid w:val="2A8F6503"/>
    <w:rsid w:val="2AF47DCA"/>
    <w:rsid w:val="2B6F74EB"/>
    <w:rsid w:val="2BFA7530"/>
    <w:rsid w:val="2C1F0B15"/>
    <w:rsid w:val="2C4219FE"/>
    <w:rsid w:val="2CC97D73"/>
    <w:rsid w:val="2D743E73"/>
    <w:rsid w:val="2E2B0B45"/>
    <w:rsid w:val="2E883360"/>
    <w:rsid w:val="2F7A683A"/>
    <w:rsid w:val="2FF4214E"/>
    <w:rsid w:val="30525AC2"/>
    <w:rsid w:val="319B3AA2"/>
    <w:rsid w:val="323257EB"/>
    <w:rsid w:val="324528A7"/>
    <w:rsid w:val="33351590"/>
    <w:rsid w:val="335718FE"/>
    <w:rsid w:val="33637FF3"/>
    <w:rsid w:val="34020F86"/>
    <w:rsid w:val="341361ED"/>
    <w:rsid w:val="34680C19"/>
    <w:rsid w:val="3519439D"/>
    <w:rsid w:val="35647311"/>
    <w:rsid w:val="35E4457B"/>
    <w:rsid w:val="36154124"/>
    <w:rsid w:val="36BF225D"/>
    <w:rsid w:val="38325C1B"/>
    <w:rsid w:val="391A7984"/>
    <w:rsid w:val="39642281"/>
    <w:rsid w:val="39A63F06"/>
    <w:rsid w:val="3A6F48AD"/>
    <w:rsid w:val="3AEA6EAB"/>
    <w:rsid w:val="3B465C5C"/>
    <w:rsid w:val="3C017E2C"/>
    <w:rsid w:val="3C72106D"/>
    <w:rsid w:val="3C815CA6"/>
    <w:rsid w:val="3CA17BA6"/>
    <w:rsid w:val="3CF56F12"/>
    <w:rsid w:val="3D8C098A"/>
    <w:rsid w:val="3DC3087D"/>
    <w:rsid w:val="3DEF216A"/>
    <w:rsid w:val="3DF30CEB"/>
    <w:rsid w:val="3E587E7A"/>
    <w:rsid w:val="3E6F4772"/>
    <w:rsid w:val="3EA872B2"/>
    <w:rsid w:val="3EC73E54"/>
    <w:rsid w:val="3ED1439F"/>
    <w:rsid w:val="41646491"/>
    <w:rsid w:val="41ED0453"/>
    <w:rsid w:val="42235D58"/>
    <w:rsid w:val="4271356E"/>
    <w:rsid w:val="42921364"/>
    <w:rsid w:val="42F36F2A"/>
    <w:rsid w:val="4323778D"/>
    <w:rsid w:val="4330610C"/>
    <w:rsid w:val="43B66FC8"/>
    <w:rsid w:val="43F6174C"/>
    <w:rsid w:val="44175227"/>
    <w:rsid w:val="44500BF5"/>
    <w:rsid w:val="44543804"/>
    <w:rsid w:val="44560C84"/>
    <w:rsid w:val="452157DB"/>
    <w:rsid w:val="463748AC"/>
    <w:rsid w:val="469B4C2E"/>
    <w:rsid w:val="47E20EB2"/>
    <w:rsid w:val="47F25DC8"/>
    <w:rsid w:val="47F43786"/>
    <w:rsid w:val="48046E23"/>
    <w:rsid w:val="480C70A6"/>
    <w:rsid w:val="48374EDC"/>
    <w:rsid w:val="488A6DFE"/>
    <w:rsid w:val="48AB3619"/>
    <w:rsid w:val="49256E80"/>
    <w:rsid w:val="497F5ADB"/>
    <w:rsid w:val="4A13663B"/>
    <w:rsid w:val="4A3A0F1A"/>
    <w:rsid w:val="4A5C5A12"/>
    <w:rsid w:val="4B2523DF"/>
    <w:rsid w:val="4BB27C4D"/>
    <w:rsid w:val="4C256E3D"/>
    <w:rsid w:val="4C27390E"/>
    <w:rsid w:val="4C6D6D64"/>
    <w:rsid w:val="4CB52F0F"/>
    <w:rsid w:val="4CCD6068"/>
    <w:rsid w:val="4CD45EE5"/>
    <w:rsid w:val="4CEF5613"/>
    <w:rsid w:val="4D1B1A72"/>
    <w:rsid w:val="4D9D7CE1"/>
    <w:rsid w:val="4E2875DF"/>
    <w:rsid w:val="4EA86350"/>
    <w:rsid w:val="4EF13152"/>
    <w:rsid w:val="4F4C60CA"/>
    <w:rsid w:val="4FB506B6"/>
    <w:rsid w:val="50857580"/>
    <w:rsid w:val="50C04C3A"/>
    <w:rsid w:val="51150C52"/>
    <w:rsid w:val="52E67321"/>
    <w:rsid w:val="532F1F9A"/>
    <w:rsid w:val="5428587B"/>
    <w:rsid w:val="55250154"/>
    <w:rsid w:val="5539736F"/>
    <w:rsid w:val="559117FB"/>
    <w:rsid w:val="55D97C6C"/>
    <w:rsid w:val="55E10A7C"/>
    <w:rsid w:val="564A2350"/>
    <w:rsid w:val="5709492E"/>
    <w:rsid w:val="575C5AB7"/>
    <w:rsid w:val="57931D57"/>
    <w:rsid w:val="57C32055"/>
    <w:rsid w:val="58030539"/>
    <w:rsid w:val="587665A0"/>
    <w:rsid w:val="58C410A4"/>
    <w:rsid w:val="599A2574"/>
    <w:rsid w:val="5ADC7D63"/>
    <w:rsid w:val="5B2D08DA"/>
    <w:rsid w:val="5BCC6D58"/>
    <w:rsid w:val="5BE03ED2"/>
    <w:rsid w:val="5C2C426B"/>
    <w:rsid w:val="5C610DFE"/>
    <w:rsid w:val="5C861D96"/>
    <w:rsid w:val="5D660EF6"/>
    <w:rsid w:val="5DBB25AC"/>
    <w:rsid w:val="5E5D5EFB"/>
    <w:rsid w:val="5E946C2C"/>
    <w:rsid w:val="5E995A3E"/>
    <w:rsid w:val="5ECB708C"/>
    <w:rsid w:val="5EDE0DD5"/>
    <w:rsid w:val="5EE04EFF"/>
    <w:rsid w:val="5F933EA7"/>
    <w:rsid w:val="5F95061E"/>
    <w:rsid w:val="5FBB3C0B"/>
    <w:rsid w:val="5FC1266C"/>
    <w:rsid w:val="604F21F3"/>
    <w:rsid w:val="615915F1"/>
    <w:rsid w:val="617E254E"/>
    <w:rsid w:val="61A445E9"/>
    <w:rsid w:val="620773C8"/>
    <w:rsid w:val="62163194"/>
    <w:rsid w:val="624D024D"/>
    <w:rsid w:val="63620DDD"/>
    <w:rsid w:val="6442018B"/>
    <w:rsid w:val="6445578A"/>
    <w:rsid w:val="650E086A"/>
    <w:rsid w:val="65335F8E"/>
    <w:rsid w:val="659C0418"/>
    <w:rsid w:val="659E7F38"/>
    <w:rsid w:val="660C2FD4"/>
    <w:rsid w:val="66311DB4"/>
    <w:rsid w:val="664347AD"/>
    <w:rsid w:val="66B26569"/>
    <w:rsid w:val="672B7557"/>
    <w:rsid w:val="67430383"/>
    <w:rsid w:val="67930FEC"/>
    <w:rsid w:val="67D56FA7"/>
    <w:rsid w:val="688B32AB"/>
    <w:rsid w:val="691645CB"/>
    <w:rsid w:val="69D17C37"/>
    <w:rsid w:val="6A2375F3"/>
    <w:rsid w:val="6AEA3A74"/>
    <w:rsid w:val="6BAA0708"/>
    <w:rsid w:val="6C030E15"/>
    <w:rsid w:val="6C041DD5"/>
    <w:rsid w:val="6DAB5529"/>
    <w:rsid w:val="6DD54F1D"/>
    <w:rsid w:val="6DFE435A"/>
    <w:rsid w:val="6EAA735F"/>
    <w:rsid w:val="6F542AF6"/>
    <w:rsid w:val="6FA810EC"/>
    <w:rsid w:val="6FEB5EE7"/>
    <w:rsid w:val="70046E9D"/>
    <w:rsid w:val="70DA6258"/>
    <w:rsid w:val="70FB631F"/>
    <w:rsid w:val="71194245"/>
    <w:rsid w:val="72231A60"/>
    <w:rsid w:val="73575A5E"/>
    <w:rsid w:val="736432CE"/>
    <w:rsid w:val="743631A3"/>
    <w:rsid w:val="74F85AC4"/>
    <w:rsid w:val="757435D5"/>
    <w:rsid w:val="75927D99"/>
    <w:rsid w:val="75AF6C8B"/>
    <w:rsid w:val="767E681C"/>
    <w:rsid w:val="76C456A1"/>
    <w:rsid w:val="77297AB4"/>
    <w:rsid w:val="77371D7C"/>
    <w:rsid w:val="77474C4B"/>
    <w:rsid w:val="77610917"/>
    <w:rsid w:val="776719EC"/>
    <w:rsid w:val="77695E74"/>
    <w:rsid w:val="7982755C"/>
    <w:rsid w:val="79D660CB"/>
    <w:rsid w:val="79EC3963"/>
    <w:rsid w:val="7D6B62D0"/>
    <w:rsid w:val="7D763439"/>
    <w:rsid w:val="7DBC32DF"/>
    <w:rsid w:val="7E3D3DE4"/>
    <w:rsid w:val="7E87224E"/>
    <w:rsid w:val="7EFE5B70"/>
    <w:rsid w:val="7F851107"/>
    <w:rsid w:val="7FAF28BE"/>
    <w:rsid w:val="7FD94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批注框文本 Char"/>
    <w:basedOn w:val="7"/>
    <w:link w:val="3"/>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15</Pages>
  <Words>6175</Words>
  <Characters>6843</Characters>
  <Lines>60</Lines>
  <Paragraphs>17</Paragraphs>
  <TotalTime>10</TotalTime>
  <ScaleCrop>false</ScaleCrop>
  <LinksUpToDate>false</LinksUpToDate>
  <CharactersWithSpaces>6880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2022-09-15T11:16:43Z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7ACD0375394E482D848AEB663C734D3B</vt:lpwstr>
  </property>
</Properties>
</file>