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sz w:val="52"/>
          <w:szCs w:val="52"/>
        </w:rPr>
      </w:pPr>
      <w:r>
        <w:rPr>
          <w:rFonts w:hint="eastAsia" w:ascii="黑体" w:eastAsia="黑体" w:cs="ArialUnicodeMS"/>
          <w:kern w:val="0"/>
          <w:sz w:val="52"/>
          <w:szCs w:val="52"/>
        </w:rPr>
        <w:t>柳州市</w:t>
      </w:r>
      <w:r>
        <w:rPr>
          <w:rFonts w:hint="eastAsia" w:ascii="黑体" w:hAnsi="黑体" w:eastAsia="黑体"/>
          <w:bCs/>
          <w:color w:val="44546A" w:themeColor="text2"/>
          <w:sz w:val="52"/>
          <w:szCs w:val="52"/>
          <w:u w:val="single"/>
        </w:rPr>
        <w:t>融安县人民法院</w:t>
      </w:r>
    </w:p>
    <w:p>
      <w:pPr>
        <w:jc w:val="center"/>
        <w:rPr>
          <w:rFonts w:ascii="黑体" w:eastAsia="黑体" w:cs="ArialUnicodeMS"/>
          <w:kern w:val="0"/>
          <w:sz w:val="52"/>
          <w:szCs w:val="52"/>
        </w:rPr>
      </w:pPr>
      <w:r>
        <w:rPr>
          <w:rFonts w:hint="eastAsia" w:ascii="黑体" w:eastAsia="黑体"/>
          <w:kern w:val="0"/>
          <w:sz w:val="52"/>
          <w:szCs w:val="52"/>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rPr>
        <w:t>融安县人民法院</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融安县人民法院</w:t>
      </w:r>
      <w:r>
        <w:rPr>
          <w:rFonts w:hint="eastAsia" w:ascii="仿宋_GB2312" w:eastAsia="仿宋_GB2312"/>
          <w:b/>
          <w:sz w:val="32"/>
          <w:szCs w:val="32"/>
        </w:rPr>
        <w:t>2021年部门决算报表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融安县人民法院</w:t>
      </w:r>
      <w:r>
        <w:rPr>
          <w:rFonts w:hint="eastAsia" w:ascii="仿宋_GB2312" w:eastAsia="仿宋_GB2312"/>
          <w:b/>
          <w:sz w:val="32"/>
          <w:szCs w:val="32"/>
        </w:rPr>
        <w:t>2021年度部门决算情况说明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三、2021年度一般公共预算财政拨款基本支出决算情况说明。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 xml:space="preserve">2021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五、2021年度国有资本经营预算支出决算情况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rPr>
        <w:t>融安县人民法院</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融安县人民法院的主要职能是依法审判本院管辖的刑事、民事、行政案件和上级人民法院交由审判的案件；依法受理国家赔偿案件和决定国家赔偿；依法执行已发生法律效力的判决、裁定以及国家行政机关依法申请执行的案件；调查研究审判工作中适用法律、执行政策的疑难问题，提出解决问题的办法、意见和司法建议；开展司法统计工作，参与地方立法和综合治理工作；负责有关办案经费和物质装备的管理工作。</w:t>
      </w:r>
    </w:p>
    <w:p>
      <w:pPr>
        <w:ind w:firstLine="645"/>
        <w:rPr>
          <w:rFonts w:ascii="仿宋_GB2312" w:eastAsia="仿宋_GB2312"/>
          <w:sz w:val="32"/>
          <w:szCs w:val="32"/>
        </w:rPr>
      </w:pPr>
      <w:r>
        <w:rPr>
          <w:rFonts w:hint="eastAsia" w:ascii="仿宋_GB2312" w:eastAsia="仿宋_GB2312"/>
          <w:sz w:val="32"/>
          <w:szCs w:val="32"/>
        </w:rPr>
        <w:t>2021年本单位的主要工作任务是：坚持以习近平新时代中国特色社会主义思想为指导，深入学习贯彻党的十九大和十九届四中全会精神，紧紧围绕司法为民公正司法主线，坚持执法办案第一要务，深入开展扫黑除恶专项斗争，深化司法体制综合配套改革，全面加强队伍建设，认真接受各方监督，为维护社会安全稳定，服务经济高质量发展，优化营商环境提供强有力的司法保障</w:t>
      </w:r>
    </w:p>
    <w:p>
      <w:pPr>
        <w:ind w:firstLine="645"/>
        <w:rPr>
          <w:rFonts w:ascii="仿宋_GB2312" w:eastAsia="仿宋_GB2312"/>
          <w:sz w:val="32"/>
          <w:szCs w:val="32"/>
        </w:rPr>
      </w:pPr>
      <w:r>
        <w:rPr>
          <w:rFonts w:hint="eastAsia" w:ascii="仿宋_GB2312" w:eastAsia="仿宋_GB2312"/>
          <w:sz w:val="32"/>
          <w:szCs w:val="32"/>
        </w:rPr>
        <w:t>二、单位机构设置情况</w:t>
      </w:r>
    </w:p>
    <w:p>
      <w:pPr>
        <w:ind w:firstLine="646"/>
        <w:rPr>
          <w:rFonts w:ascii="仿宋_GB2312" w:eastAsia="仿宋_GB2312"/>
          <w:sz w:val="32"/>
          <w:szCs w:val="32"/>
        </w:rPr>
      </w:pPr>
      <w:r>
        <w:rPr>
          <w:rFonts w:hint="eastAsia" w:ascii="仿宋_GB2312" w:eastAsia="仿宋_GB2312"/>
          <w:sz w:val="32"/>
          <w:szCs w:val="32"/>
        </w:rPr>
        <w:t>单位现设12个部门，分别为：综合办公室、政治部、执行局、刑事审判庭、综合审判庭、民事审判庭、立案庭（诉讼服务中心）、审判管理办公室、司法警察大队、大将人民法庭、大良人民法庭、泗顶人民法庭。</w:t>
      </w:r>
    </w:p>
    <w:p>
      <w:pPr>
        <w:ind w:firstLine="646"/>
        <w:rPr>
          <w:rFonts w:ascii="仿宋_GB2312" w:eastAsia="仿宋_GB2312"/>
          <w:sz w:val="32"/>
          <w:szCs w:val="32"/>
        </w:rPr>
      </w:pPr>
      <w:r>
        <w:rPr>
          <w:rFonts w:hint="eastAsia" w:ascii="仿宋_GB2312" w:eastAsia="仿宋_GB2312"/>
          <w:sz w:val="32"/>
          <w:szCs w:val="32"/>
        </w:rPr>
        <w:t>本单位2021年年末编制人数为73人，</w:t>
      </w:r>
      <w:r>
        <w:rPr>
          <w:rFonts w:hint="eastAsia" w:ascii="仿宋_GB2312" w:eastAsia="仿宋_GB2312"/>
          <w:color w:val="000000"/>
          <w:sz w:val="32"/>
          <w:szCs w:val="32"/>
          <w:shd w:val="clear" w:color="auto" w:fill="FFFFFF"/>
        </w:rPr>
        <w:t>其中行政人员编制数为73人，参照公务员法管理人员编制数为0人。2021年年末实有人数75人，其中在职人员73人，离休人员2人。</w:t>
      </w:r>
    </w:p>
    <w:p>
      <w:pPr>
        <w:ind w:firstLine="645"/>
        <w:rPr>
          <w:rFonts w:ascii="仿宋_GB2312" w:eastAsia="仿宋_GB2312"/>
          <w:sz w:val="32"/>
          <w:szCs w:val="32"/>
        </w:rPr>
      </w:pPr>
    </w:p>
    <w:p>
      <w:pPr>
        <w:jc w:val="center"/>
      </w:pPr>
    </w:p>
    <w:p>
      <w:pPr>
        <w:jc w:val="center"/>
        <w:rPr>
          <w:rFonts w:ascii="仿宋_GB2312" w:eastAsia="仿宋_GB2312"/>
          <w:b/>
          <w:sz w:val="32"/>
          <w:szCs w:val="32"/>
        </w:rPr>
      </w:pPr>
    </w:p>
    <w:p>
      <w:pPr>
        <w:jc w:val="center"/>
      </w:pP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融安县人民法院</w:t>
      </w:r>
      <w:r>
        <w:rPr>
          <w:rFonts w:hint="eastAsia" w:ascii="仿宋_GB2312" w:eastAsia="仿宋_GB2312"/>
          <w:b/>
          <w:sz w:val="32"/>
          <w:szCs w:val="32"/>
        </w:rPr>
        <w:t xml:space="preserve"> 2021年部门决算报表</w:t>
      </w:r>
    </w:p>
    <w:p>
      <w:pPr>
        <w:ind w:firstLine="0" w:firstLineChars="0"/>
        <w:rPr>
          <w:rFonts w:ascii="仿宋_GB2312" w:hAnsi="黑体" w:eastAsia="仿宋_GB2312"/>
          <w:sz w:val="32"/>
          <w:szCs w:val="32"/>
        </w:rPr>
      </w:pPr>
      <w:r>
        <w:rPr>
          <w:rFonts w:hint="eastAsia" w:ascii="仿宋_GB2312" w:hAnsi="黑体" w:eastAsia="仿宋_GB2312"/>
          <w:sz w:val="32"/>
          <w:szCs w:val="32"/>
        </w:rPr>
        <w:t>一、《收入支出决算总表》</w:t>
      </w:r>
    </w:p>
    <w:p>
      <w:pPr>
        <w:ind w:firstLine="0" w:firstLineChars="0"/>
        <w:rPr>
          <w:rFonts w:ascii="仿宋_GB2312" w:hAnsi="黑体" w:eastAsia="仿宋_GB2312"/>
          <w:sz w:val="32"/>
          <w:szCs w:val="32"/>
        </w:rPr>
      </w:pPr>
      <w:r>
        <w:rPr>
          <w:rFonts w:hint="eastAsia" w:ascii="仿宋_GB2312" w:hAnsi="黑体" w:eastAsia="仿宋_GB2312"/>
          <w:sz w:val="32"/>
          <w:szCs w:val="32"/>
        </w:rPr>
        <w:t>二、《收入决算表》</w:t>
      </w:r>
    </w:p>
    <w:p>
      <w:pPr>
        <w:ind w:firstLine="0" w:firstLineChars="0"/>
        <w:rPr>
          <w:rFonts w:ascii="仿宋_GB2312" w:hAnsi="黑体" w:eastAsia="仿宋_GB2312"/>
          <w:sz w:val="32"/>
          <w:szCs w:val="32"/>
        </w:rPr>
      </w:pPr>
      <w:r>
        <w:rPr>
          <w:rFonts w:hint="eastAsia" w:ascii="仿宋_GB2312" w:hAnsi="黑体" w:eastAsia="仿宋_GB2312"/>
          <w:sz w:val="32"/>
          <w:szCs w:val="32"/>
        </w:rPr>
        <w:t>三、《支出决算表》</w:t>
      </w:r>
    </w:p>
    <w:p>
      <w:pPr>
        <w:ind w:firstLine="0" w:firstLineChars="0"/>
        <w:rPr>
          <w:rFonts w:ascii="仿宋_GB2312" w:hAnsi="黑体" w:eastAsia="仿宋_GB2312"/>
          <w:sz w:val="32"/>
          <w:szCs w:val="32"/>
        </w:rPr>
      </w:pPr>
      <w:r>
        <w:rPr>
          <w:rFonts w:hint="eastAsia" w:ascii="仿宋_GB2312" w:hAnsi="黑体" w:eastAsia="仿宋_GB2312"/>
          <w:sz w:val="32"/>
          <w:szCs w:val="32"/>
        </w:rPr>
        <w:t>四、《财政拨款收入支出决算总表》</w:t>
      </w:r>
    </w:p>
    <w:p>
      <w:pPr>
        <w:ind w:firstLine="0" w:firstLineChars="0"/>
        <w:rPr>
          <w:rFonts w:ascii="仿宋_GB2312" w:hAnsi="黑体" w:eastAsia="仿宋_GB2312"/>
          <w:sz w:val="32"/>
          <w:szCs w:val="32"/>
        </w:rPr>
      </w:pPr>
      <w:r>
        <w:rPr>
          <w:rFonts w:hint="eastAsia" w:ascii="仿宋_GB2312" w:hAnsi="黑体" w:eastAsia="仿宋_GB2312"/>
          <w:sz w:val="32"/>
          <w:szCs w:val="32"/>
        </w:rPr>
        <w:t>五、《一般公共预算财政拨款支出决算表》</w:t>
      </w:r>
    </w:p>
    <w:p>
      <w:pPr>
        <w:ind w:firstLine="0" w:firstLineChars="0"/>
        <w:rPr>
          <w:rFonts w:ascii="仿宋_GB2312" w:hAnsi="黑体" w:eastAsia="仿宋_GB2312"/>
          <w:sz w:val="32"/>
          <w:szCs w:val="32"/>
        </w:rPr>
      </w:pPr>
      <w:r>
        <w:rPr>
          <w:rFonts w:hint="eastAsia" w:ascii="仿宋_GB2312" w:hAnsi="黑体" w:eastAsia="仿宋_GB2312"/>
          <w:sz w:val="32"/>
          <w:szCs w:val="32"/>
        </w:rPr>
        <w:t>六、《一般公共预算财政拨款基本支出决算表》</w:t>
      </w:r>
    </w:p>
    <w:p>
      <w:pPr>
        <w:ind w:firstLine="0" w:firstLineChars="0"/>
        <w:rPr>
          <w:rFonts w:ascii="仿宋_GB2312" w:hAnsi="黑体" w:eastAsia="仿宋_GB2312"/>
          <w:sz w:val="32"/>
          <w:szCs w:val="32"/>
        </w:rPr>
      </w:pPr>
      <w:r>
        <w:rPr>
          <w:rFonts w:hint="eastAsia" w:ascii="仿宋_GB2312" w:hAnsi="黑体" w:eastAsia="仿宋_GB2312"/>
          <w:sz w:val="32"/>
          <w:szCs w:val="32"/>
        </w:rPr>
        <w:t>七、《一般公共预算财政拨款“三公经费”支出决算表》</w:t>
      </w:r>
    </w:p>
    <w:p>
      <w:pPr>
        <w:ind w:firstLine="0" w:firstLineChars="0"/>
        <w:rPr>
          <w:rFonts w:ascii="仿宋_GB2312" w:hAnsi="黑体" w:eastAsia="仿宋_GB2312"/>
          <w:sz w:val="32"/>
          <w:szCs w:val="32"/>
        </w:rPr>
      </w:pPr>
      <w:r>
        <w:rPr>
          <w:rFonts w:hint="eastAsia" w:ascii="仿宋_GB2312" w:hAnsi="黑体" w:eastAsia="仿宋_GB2312"/>
          <w:sz w:val="32"/>
          <w:szCs w:val="32"/>
        </w:rPr>
        <w:t>八、《政府性基金预算财政拨款收入支出决算表》</w:t>
      </w:r>
    </w:p>
    <w:p>
      <w:pPr>
        <w:ind w:firstLine="0" w:firstLineChars="0"/>
        <w:rPr>
          <w:rFonts w:ascii="仿宋_GB2312" w:hAnsi="黑体" w:eastAsia="仿宋_GB2312"/>
          <w:b/>
          <w:sz w:val="32"/>
          <w:szCs w:val="32"/>
        </w:rPr>
      </w:pPr>
      <w:r>
        <w:rPr>
          <w:rFonts w:hint="eastAsia" w:ascii="仿宋_GB2312" w:hAnsi="黑体" w:eastAsia="仿宋_GB2312"/>
          <w:sz w:val="32"/>
          <w:szCs w:val="32"/>
        </w:rPr>
        <w:t>九、《</w:t>
      </w:r>
      <w:r>
        <w:rPr>
          <w:rFonts w:hint="eastAsia" w:ascii="仿宋_GB2312" w:eastAsia="仿宋_GB2312"/>
          <w:sz w:val="32"/>
          <w:szCs w:val="32"/>
        </w:rPr>
        <w:t>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r>
        <w:rPr>
          <w:rFonts w:hint="eastAsia" w:ascii="仿宋_GB2312" w:hAnsi="黑体" w:eastAsia="仿宋_GB2312"/>
          <w:sz w:val="32"/>
          <w:szCs w:val="32"/>
        </w:rPr>
        <w:t>》</w:t>
      </w:r>
    </w:p>
    <w:p>
      <w:pPr>
        <w:jc w:val="center"/>
      </w:pPr>
    </w:p>
    <w:tbl>
      <w:tblPr>
        <w:tblStyle w:val="5"/>
        <w:tblW w:w="10711" w:type="dxa"/>
        <w:tblInd w:w="93" w:type="dxa"/>
        <w:tblLayout w:type="fixed"/>
        <w:tblCellMar>
          <w:top w:w="0" w:type="dxa"/>
          <w:left w:w="108" w:type="dxa"/>
          <w:bottom w:w="0" w:type="dxa"/>
          <w:right w:w="108" w:type="dxa"/>
        </w:tblCellMar>
      </w:tblPr>
      <w:tblGrid>
        <w:gridCol w:w="3691"/>
        <w:gridCol w:w="823"/>
        <w:gridCol w:w="976"/>
        <w:gridCol w:w="3825"/>
        <w:gridCol w:w="491"/>
        <w:gridCol w:w="905"/>
      </w:tblGrid>
      <w:tr>
        <w:tblPrEx>
          <w:tblCellMar>
            <w:top w:w="0" w:type="dxa"/>
            <w:left w:w="108" w:type="dxa"/>
            <w:bottom w:w="0" w:type="dxa"/>
            <w:right w:w="108" w:type="dxa"/>
          </w:tblCellMar>
        </w:tblPrEx>
        <w:trPr>
          <w:trHeight w:val="360" w:hRule="atLeast"/>
        </w:trPr>
        <w:tc>
          <w:tcPr>
            <w:tcW w:w="10711" w:type="dxa"/>
            <w:gridSpan w:val="6"/>
            <w:tcBorders>
              <w:top w:val="nil"/>
              <w:left w:val="nil"/>
              <w:bottom w:val="nil"/>
              <w:right w:val="nil"/>
            </w:tcBorders>
            <w:shd w:val="clear" w:color="auto" w:fill="auto"/>
            <w:vAlign w:val="center"/>
          </w:tcPr>
          <w:p>
            <w:pPr>
              <w:widowControl/>
              <w:jc w:val="center"/>
              <w:rPr>
                <w:rFonts w:ascii="华文中宋" w:hAnsi="华文中宋" w:eastAsia="华文中宋" w:cs="宋体"/>
                <w:color w:val="000000"/>
                <w:kern w:val="0"/>
                <w:sz w:val="32"/>
                <w:szCs w:val="32"/>
              </w:rPr>
            </w:pPr>
            <w:r>
              <w:rPr>
                <w:rFonts w:hint="eastAsia"/>
                <w:color w:val="000000"/>
                <w:sz w:val="32"/>
                <w:szCs w:val="32"/>
                <w:shd w:val="clear" w:color="auto" w:fill="FFFFFF"/>
              </w:rPr>
              <w:t>(此部分另附表格，详见附件：融安县人民法院2021年度部门决算公开表)</w:t>
            </w:r>
          </w:p>
        </w:tc>
      </w:tr>
      <w:tr>
        <w:tblPrEx>
          <w:tblCellMar>
            <w:top w:w="0" w:type="dxa"/>
            <w:left w:w="108" w:type="dxa"/>
            <w:bottom w:w="0" w:type="dxa"/>
            <w:right w:w="108" w:type="dxa"/>
          </w:tblCellMar>
        </w:tblPrEx>
        <w:trPr>
          <w:trHeight w:val="199" w:hRule="atLeast"/>
        </w:trPr>
        <w:tc>
          <w:tcPr>
            <w:tcW w:w="3691" w:type="dxa"/>
            <w:tcBorders>
              <w:top w:val="nil"/>
              <w:left w:val="nil"/>
              <w:bottom w:val="nil"/>
              <w:right w:val="nil"/>
            </w:tcBorders>
            <w:shd w:val="clear" w:color="000000" w:fill="FFFFFF"/>
            <w:vAlign w:val="center"/>
          </w:tcPr>
          <w:p>
            <w:pPr>
              <w:widowControl/>
              <w:jc w:val="right"/>
              <w:rPr>
                <w:rFonts w:ascii="宋体" w:hAnsi="宋体" w:cs="宋体"/>
                <w:kern w:val="0"/>
                <w:sz w:val="20"/>
                <w:szCs w:val="20"/>
              </w:rPr>
            </w:pPr>
          </w:p>
        </w:tc>
        <w:tc>
          <w:tcPr>
            <w:tcW w:w="823" w:type="dxa"/>
            <w:tcBorders>
              <w:top w:val="nil"/>
              <w:left w:val="nil"/>
              <w:bottom w:val="nil"/>
              <w:right w:val="nil"/>
            </w:tcBorders>
            <w:shd w:val="clear" w:color="000000" w:fill="FFFFFF"/>
            <w:vAlign w:val="center"/>
          </w:tcPr>
          <w:p>
            <w:pPr>
              <w:widowControl/>
              <w:jc w:val="right"/>
              <w:rPr>
                <w:rFonts w:ascii="宋体" w:hAnsi="宋体" w:cs="宋体"/>
                <w:kern w:val="0"/>
                <w:sz w:val="20"/>
                <w:szCs w:val="20"/>
              </w:rPr>
            </w:pPr>
          </w:p>
        </w:tc>
        <w:tc>
          <w:tcPr>
            <w:tcW w:w="976" w:type="dxa"/>
            <w:tcBorders>
              <w:top w:val="nil"/>
              <w:left w:val="nil"/>
              <w:bottom w:val="nil"/>
              <w:right w:val="nil"/>
            </w:tcBorders>
            <w:shd w:val="clear" w:color="000000" w:fill="FFFFFF"/>
            <w:vAlign w:val="center"/>
          </w:tcPr>
          <w:p>
            <w:pPr>
              <w:widowControl/>
              <w:jc w:val="right"/>
              <w:rPr>
                <w:rFonts w:ascii="宋体" w:hAnsi="宋体" w:cs="宋体"/>
                <w:kern w:val="0"/>
                <w:sz w:val="20"/>
                <w:szCs w:val="20"/>
              </w:rPr>
            </w:pPr>
          </w:p>
        </w:tc>
        <w:tc>
          <w:tcPr>
            <w:tcW w:w="3825" w:type="dxa"/>
            <w:tcBorders>
              <w:top w:val="nil"/>
              <w:left w:val="nil"/>
              <w:bottom w:val="nil"/>
              <w:right w:val="nil"/>
            </w:tcBorders>
            <w:shd w:val="clear" w:color="000000" w:fill="FFFFFF"/>
            <w:vAlign w:val="center"/>
          </w:tcPr>
          <w:p>
            <w:pPr>
              <w:widowControl/>
              <w:jc w:val="right"/>
              <w:rPr>
                <w:rFonts w:ascii="宋体" w:hAnsi="宋体" w:cs="宋体"/>
                <w:kern w:val="0"/>
                <w:sz w:val="20"/>
                <w:szCs w:val="20"/>
              </w:rPr>
            </w:pPr>
          </w:p>
        </w:tc>
        <w:tc>
          <w:tcPr>
            <w:tcW w:w="491" w:type="dxa"/>
            <w:tcBorders>
              <w:top w:val="nil"/>
              <w:left w:val="nil"/>
              <w:bottom w:val="nil"/>
              <w:right w:val="nil"/>
            </w:tcBorders>
            <w:shd w:val="clear" w:color="000000" w:fill="FFFFFF"/>
            <w:vAlign w:val="center"/>
          </w:tcPr>
          <w:p>
            <w:pPr>
              <w:widowControl/>
              <w:jc w:val="right"/>
              <w:rPr>
                <w:rFonts w:ascii="宋体" w:hAnsi="宋体" w:cs="宋体"/>
                <w:kern w:val="0"/>
                <w:sz w:val="20"/>
                <w:szCs w:val="20"/>
              </w:rPr>
            </w:pPr>
          </w:p>
        </w:tc>
        <w:tc>
          <w:tcPr>
            <w:tcW w:w="905" w:type="dxa"/>
            <w:tcBorders>
              <w:top w:val="nil"/>
              <w:left w:val="nil"/>
              <w:bottom w:val="nil"/>
              <w:right w:val="nil"/>
            </w:tcBorders>
            <w:shd w:val="clear" w:color="000000" w:fill="FFFFFF"/>
            <w:vAlign w:val="center"/>
          </w:tcPr>
          <w:p>
            <w:pPr>
              <w:widowControl/>
              <w:ind w:right="100"/>
              <w:jc w:val="right"/>
              <w:rPr>
                <w:rFonts w:ascii="宋体" w:hAnsi="宋体" w:cs="宋体"/>
                <w:color w:val="000000"/>
                <w:kern w:val="0"/>
                <w:sz w:val="20"/>
                <w:szCs w:val="20"/>
              </w:rPr>
            </w:pPr>
          </w:p>
        </w:tc>
      </w:tr>
    </w:tbl>
    <w:p/>
    <w:p/>
    <w:p/>
    <w:p/>
    <w:p>
      <w:p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jc w:val="center"/>
        <w:rPr>
          <w:rFonts w:ascii="方正小标宋简体" w:hAnsi="宋体" w:eastAsia="方正小标宋简体" w:cs="宋体"/>
          <w:kern w:val="0"/>
          <w:sz w:val="36"/>
          <w:szCs w:val="36"/>
        </w:r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融安县人民法院</w:t>
      </w:r>
      <w:r>
        <w:rPr>
          <w:rFonts w:hint="eastAsia" w:ascii="仿宋_GB2312" w:eastAsia="仿宋_GB2312"/>
          <w:b/>
          <w:sz w:val="32"/>
          <w:szCs w:val="32"/>
        </w:rPr>
        <w:t>2021年度部门决算情况说明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（一）本单位2021年度总收入</w:t>
      </w:r>
      <w:r>
        <w:rPr>
          <w:rFonts w:hint="eastAsia" w:ascii="仿宋_GB2312" w:eastAsia="仿宋_GB2312"/>
          <w:kern w:val="0"/>
          <w:sz w:val="32"/>
          <w:szCs w:val="32"/>
        </w:rPr>
        <w:t>2516.92</w:t>
      </w:r>
      <w:r>
        <w:rPr>
          <w:rFonts w:hint="eastAsia" w:ascii="仿宋_GB2312" w:eastAsia="仿宋_GB2312" w:cs="仿宋_GB2312"/>
          <w:kern w:val="0"/>
          <w:sz w:val="32"/>
          <w:szCs w:val="32"/>
        </w:rPr>
        <w:t xml:space="preserve">万元，其中本年收入2514.7万元, </w:t>
      </w:r>
      <w:r>
        <w:rPr>
          <w:rFonts w:hint="eastAsia" w:ascii="仿宋_GB2312" w:hAnsi="黑体" w:eastAsia="仿宋_GB2312" w:cs="仿宋_GB2312"/>
          <w:kern w:val="0"/>
          <w:sz w:val="32"/>
          <w:szCs w:val="32"/>
        </w:rPr>
        <w:t>较2020年度决算数减少225.15万元，下降8%。</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rPr>
        <w:t>2153.1</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较2020年度决算数减少3.6万元，下降0.2%，主要原因是：</w:t>
      </w:r>
      <w:r>
        <w:rPr>
          <w:rFonts w:hint="eastAsia" w:ascii="仿宋_GB2312" w:eastAsia="仿宋_GB2312" w:cs="仿宋_GB2312"/>
          <w:kern w:val="0"/>
          <w:sz w:val="32"/>
          <w:szCs w:val="32"/>
        </w:rPr>
        <w:t>人员编制减少。</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rPr>
        <w:t>0</w:t>
      </w:r>
      <w:r>
        <w:rPr>
          <w:rFonts w:hint="eastAsia" w:ascii="仿宋_GB2312" w:eastAsia="仿宋_GB2312" w:cs="仿宋_GB2312"/>
          <w:kern w:val="0"/>
          <w:sz w:val="32"/>
          <w:szCs w:val="32"/>
        </w:rPr>
        <w:t xml:space="preserve">万元 </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4.事业收入</w:t>
      </w:r>
      <w:r>
        <w:rPr>
          <w:rFonts w:hint="eastAsia" w:ascii="仿宋_GB2312" w:eastAsia="仿宋_GB2312"/>
          <w:kern w:val="0"/>
          <w:sz w:val="32"/>
          <w:szCs w:val="32"/>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rPr>
        <w:t>361.61</w:t>
      </w:r>
      <w:r>
        <w:rPr>
          <w:rFonts w:hint="eastAsia" w:ascii="仿宋_GB2312" w:eastAsia="仿宋_GB2312" w:cs="仿宋_GB2312"/>
          <w:kern w:val="0"/>
          <w:sz w:val="32"/>
          <w:szCs w:val="32"/>
        </w:rPr>
        <w:t>万元，为部门单位在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autoSpaceDE w:val="0"/>
        <w:autoSpaceDN w:val="0"/>
        <w:adjustRightInd w:val="0"/>
        <w:spacing w:line="560" w:lineRule="exact"/>
        <w:jc w:val="left"/>
        <w:rPr>
          <w:rFonts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较2020年度决算数减少221.55万元，下降38 %，主要原因是：</w:t>
      </w:r>
      <w:r>
        <w:rPr>
          <w:rFonts w:hint="eastAsia" w:ascii="仿宋_GB2312" w:eastAsia="仿宋_GB2312"/>
          <w:sz w:val="32"/>
          <w:szCs w:val="32"/>
        </w:rPr>
        <w:t>2021年度人员编制减少，司法改革绩效奖励不再由县区财政负担。</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rPr>
        <w:t>2.21</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与2020年度决算数一致。</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（二）本单位2021年度总支出</w:t>
      </w:r>
      <w:r>
        <w:rPr>
          <w:rFonts w:hint="eastAsia" w:ascii="仿宋_GB2312" w:eastAsia="仿宋_GB2312"/>
          <w:kern w:val="0"/>
          <w:sz w:val="32"/>
          <w:szCs w:val="32"/>
        </w:rPr>
        <w:t>2516.92</w:t>
      </w:r>
      <w:r>
        <w:rPr>
          <w:rFonts w:hint="eastAsia" w:ascii="仿宋_GB2312" w:eastAsia="仿宋_GB2312" w:cs="仿宋_GB2312"/>
          <w:kern w:val="0"/>
          <w:sz w:val="32"/>
          <w:szCs w:val="32"/>
        </w:rPr>
        <w:t xml:space="preserve">万元，其中本年支出2514.7万元, </w:t>
      </w:r>
      <w:r>
        <w:rPr>
          <w:rFonts w:hint="eastAsia" w:ascii="仿宋_GB2312" w:hAnsi="黑体" w:eastAsia="仿宋_GB2312" w:cs="仿宋_GB2312"/>
          <w:kern w:val="0"/>
          <w:sz w:val="32"/>
          <w:szCs w:val="32"/>
        </w:rPr>
        <w:t>较2020年度决算数减少219.14万元，下降8%。</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.公共安全支出1943.22万元：主要用于单位日常运行，包括法院行政运行、一般行政管理事务、案件审判、案件执行、“两庭”建设、其他法院支出。</w:t>
      </w:r>
      <w:r>
        <w:rPr>
          <w:rFonts w:hint="eastAsia" w:ascii="仿宋_GB2312" w:hAnsi="黑体" w:eastAsia="仿宋_GB2312" w:cs="仿宋_GB2312"/>
          <w:kern w:val="0"/>
          <w:sz w:val="32"/>
          <w:szCs w:val="32"/>
        </w:rPr>
        <w:t>较2020年度决算数减少203.94万元，下降9.4%，主要原因是：2021年度在职人员人数比2020年度有所减少。</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2．社会保障和就业支出281.58万元：主要用于离退休人员经费、机关事业基本养老保险、职业年金、工伤保险支出。较2020年度决算数减少12.76万元，下降4.3%，主要原因是：2021年度社保基数下降且在职人员比2020年度有所减少。</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3.卫生健康支出140.61万元：主要用于行政单位医疗保险、公务员医疗补助支出。较2020年度决算数减少50万元，下降26.2%，主要原因是：2021年度社保基数下降且在职人员比2020年度有所减少。</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4.住房保障支出149.3万元：主要用于按照规定标准为职工缴纳住房公积金支出。较2020年度决算数增加了47.57万元，增长46%，主要原因是：补缴了2019年县级绩效的公积金。</w:t>
      </w:r>
      <w:r>
        <w:rPr>
          <w:rFonts w:ascii="仿宋_GB2312" w:hAnsi="黑体" w:eastAsia="仿宋_GB2312" w:cs="仿宋_GB2312"/>
          <w:kern w:val="0"/>
          <w:sz w:val="32"/>
          <w:szCs w:val="32"/>
        </w:rPr>
        <w:t xml:space="preserve"> </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.年末结转和结余</w:t>
      </w:r>
      <w:r>
        <w:rPr>
          <w:rFonts w:hint="eastAsia" w:ascii="仿宋_GB2312" w:eastAsia="仿宋_GB2312"/>
          <w:kern w:val="0"/>
          <w:sz w:val="32"/>
          <w:szCs w:val="32"/>
        </w:rPr>
        <w:t>2.21</w:t>
      </w:r>
      <w:r>
        <w:rPr>
          <w:rFonts w:hint="eastAsia" w:ascii="仿宋_GB2312" w:eastAsia="仿宋_GB2312" w:cs="仿宋_GB2312"/>
          <w:kern w:val="0"/>
          <w:sz w:val="32"/>
          <w:szCs w:val="32"/>
        </w:rPr>
        <w:t>万元，为本年度或以前年度</w:t>
      </w:r>
    </w:p>
    <w:p>
      <w:pPr>
        <w:autoSpaceDE w:val="0"/>
        <w:autoSpaceDN w:val="0"/>
        <w:adjustRightInd w:val="0"/>
        <w:spacing w:line="560" w:lineRule="exact"/>
        <w:jc w:val="left"/>
        <w:rPr>
          <w:rFonts w:ascii="仿宋_GB2312" w:hAnsi="黑体" w:eastAsia="仿宋_GB2312" w:cs="仿宋_GB2312"/>
          <w:kern w:val="0"/>
          <w:sz w:val="32"/>
          <w:szCs w:val="32"/>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与2020年度决算数一致</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 xml:space="preserve">2021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rPr>
        <w:t>2513.1</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较2020年度决算数增加2.41万元，增长0.1%。</w:t>
      </w:r>
      <w:r>
        <w:rPr>
          <w:rFonts w:hint="eastAsia" w:ascii="仿宋_GB2312" w:eastAsia="仿宋_GB2312" w:cs="仿宋_GB2312"/>
          <w:kern w:val="0"/>
          <w:sz w:val="32"/>
          <w:szCs w:val="32"/>
        </w:rPr>
        <w:t>其中：基本支出</w:t>
      </w:r>
      <w:r>
        <w:rPr>
          <w:rFonts w:hint="eastAsia" w:ascii="仿宋_GB2312" w:eastAsia="仿宋_GB2312"/>
          <w:kern w:val="0"/>
          <w:sz w:val="32"/>
          <w:szCs w:val="32"/>
        </w:rPr>
        <w:t>1361.51</w:t>
      </w:r>
      <w:r>
        <w:rPr>
          <w:rFonts w:hint="eastAsia" w:ascii="仿宋_GB2312" w:eastAsia="仿宋_GB2312" w:cs="仿宋_GB2312"/>
          <w:kern w:val="0"/>
          <w:sz w:val="32"/>
          <w:szCs w:val="32"/>
        </w:rPr>
        <w:t>万元，项目支出</w:t>
      </w:r>
      <w:r>
        <w:rPr>
          <w:rFonts w:hint="eastAsia" w:ascii="仿宋_GB2312" w:eastAsia="仿宋_GB2312"/>
          <w:kern w:val="0"/>
          <w:sz w:val="32"/>
          <w:szCs w:val="32"/>
        </w:rPr>
        <w:t>791.59</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公共预算财政拨款支出年初预算为1806.32万元，支出决算为2153.1万元，完成年初预算的119.20%。其中：</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rPr>
        <w:t>（一）</w:t>
      </w:r>
      <w:r>
        <w:rPr>
          <w:rFonts w:hint="eastAsia" w:ascii="仿宋_GB2312" w:eastAsia="仿宋_GB2312" w:cs="仿宋_GB2312"/>
          <w:bCs/>
          <w:kern w:val="0"/>
          <w:sz w:val="32"/>
          <w:szCs w:val="32"/>
        </w:rPr>
        <w:t>公共安全支出（类）法院（款）行政运行（项）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年初预算为959.33万元，支出决算为957.94万元，完成年初预算的99.8%。决算数小于预算数的主要原因是</w:t>
      </w:r>
      <w:r>
        <w:rPr>
          <w:rFonts w:hint="eastAsia" w:ascii="仿宋_GB2312" w:eastAsia="仿宋_GB2312" w:cs="仿宋_GB2312"/>
          <w:kern w:val="0"/>
          <w:sz w:val="32"/>
          <w:szCs w:val="32"/>
          <w:highlight w:val="none"/>
        </w:rPr>
        <w:t>落实过紧日子要求压减办公支出</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eastAsia="仿宋_GB2312" w:cs="仿宋_GB2312"/>
          <w:bCs/>
          <w:kern w:val="0"/>
          <w:sz w:val="32"/>
          <w:szCs w:val="32"/>
        </w:rPr>
        <w:t>（二）公共安全支出（类）法院（款）一般行政管理事务（项）。</w:t>
      </w:r>
      <w:r>
        <w:rPr>
          <w:rFonts w:hint="eastAsia" w:ascii="仿宋_GB2312" w:hAnsi="黑体" w:eastAsia="仿宋_GB2312" w:cs="仿宋_GB2312"/>
          <w:kern w:val="0"/>
          <w:sz w:val="32"/>
          <w:szCs w:val="32"/>
        </w:rPr>
        <w:t>年初预算为18.85万元，支出决算为18.85万元，完成年初预算的100%。</w:t>
      </w:r>
    </w:p>
    <w:p>
      <w:pPr>
        <w:numPr>
          <w:ilvl w:val="255"/>
          <w:numId w:val="0"/>
        </w:num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bCs/>
          <w:kern w:val="0"/>
          <w:sz w:val="32"/>
          <w:szCs w:val="32"/>
        </w:rPr>
        <w:t>公共安全支出（类）法院（款）案件审判（项）。</w:t>
      </w:r>
      <w:r>
        <w:rPr>
          <w:rFonts w:hint="eastAsia" w:ascii="仿宋_GB2312" w:hAnsi="黑体" w:eastAsia="仿宋_GB2312" w:cs="仿宋_GB2312"/>
          <w:kern w:val="0"/>
          <w:sz w:val="32"/>
          <w:szCs w:val="32"/>
        </w:rPr>
        <w:t>年初预算为12万元，支出决算为262.27万元，完成年初预算的2185.58</w:t>
      </w:r>
      <w:r>
        <w:rPr>
          <w:rFonts w:ascii="仿宋_GB2312" w:hAnsi="黑体" w:eastAsia="仿宋_GB2312" w:cs="仿宋_GB2312"/>
          <w:kern w:val="0"/>
          <w:sz w:val="32"/>
          <w:szCs w:val="32"/>
        </w:rPr>
        <w:t>%</w:t>
      </w:r>
      <w:r>
        <w:rPr>
          <w:rFonts w:hint="eastAsia" w:ascii="仿宋_GB2312" w:hAnsi="黑体" w:eastAsia="仿宋_GB2312" w:cs="仿宋_GB2312"/>
          <w:kern w:val="0"/>
          <w:sz w:val="32"/>
          <w:szCs w:val="32"/>
        </w:rPr>
        <w:t>。决算数大于预算数的主要原因是上级下达了2021年政法转移支付经费共284万元，不列入年初预算，用于弥补办案经费及业务装备经费等需要。</w:t>
      </w:r>
      <w:r>
        <w:rPr>
          <w:rFonts w:hint="eastAsia" w:ascii="仿宋_GB2312" w:eastAsia="仿宋_GB2312" w:cs="仿宋_GB2312"/>
          <w:kern w:val="0"/>
          <w:sz w:val="32"/>
          <w:szCs w:val="32"/>
        </w:rPr>
        <w:t xml:space="preserve"> </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cs="仿宋_GB2312"/>
          <w:bCs/>
          <w:kern w:val="0"/>
          <w:sz w:val="32"/>
          <w:szCs w:val="32"/>
        </w:rPr>
        <w:t>公共安全支出（类）法院（款）案件执行（项）。</w:t>
      </w:r>
      <w:r>
        <w:rPr>
          <w:rFonts w:hint="eastAsia" w:ascii="仿宋_GB2312" w:hAnsi="黑体" w:eastAsia="仿宋_GB2312" w:cs="仿宋_GB2312"/>
          <w:kern w:val="0"/>
          <w:sz w:val="32"/>
          <w:szCs w:val="32"/>
        </w:rPr>
        <w:t>年初预算为8.52万元，支出决算为8.77万元，完成年初预算的102.93%。决算数大于预算数的主要原因是2021年初发放了2020年11-12月在编法警加班费。</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bCs/>
          <w:kern w:val="0"/>
          <w:sz w:val="32"/>
          <w:szCs w:val="32"/>
        </w:rPr>
        <w:t>公共安全支出（类）法院（款）“两庭”建设（项）。</w:t>
      </w:r>
      <w:r>
        <w:rPr>
          <w:rFonts w:hint="eastAsia" w:ascii="仿宋_GB2312" w:hAnsi="黑体" w:eastAsia="仿宋_GB2312" w:cs="仿宋_GB2312"/>
          <w:kern w:val="0"/>
          <w:sz w:val="32"/>
          <w:szCs w:val="32"/>
        </w:rPr>
        <w:t>年初预算为29.5万元，支出决算为27.68万元，完成年初预算的93.8%。</w:t>
      </w:r>
      <w:r>
        <w:rPr>
          <w:rFonts w:hint="eastAsia" w:ascii="仿宋_GB2312" w:hAnsi="黑体" w:eastAsia="仿宋_GB2312" w:cs="仿宋_GB2312"/>
          <w:b w:val="0"/>
          <w:bCs/>
          <w:kern w:val="0"/>
          <w:sz w:val="32"/>
          <w:szCs w:val="32"/>
        </w:rPr>
        <w:t>决算数小于预算数的主要原因是“两庭”建设经费可结转下一年使用，当年</w:t>
      </w:r>
      <w:r>
        <w:rPr>
          <w:rFonts w:hint="eastAsia" w:ascii="仿宋_GB2312" w:hAnsi="黑体" w:eastAsia="仿宋_GB2312" w:cs="仿宋_GB2312"/>
          <w:bCs/>
          <w:kern w:val="0"/>
          <w:sz w:val="32"/>
          <w:szCs w:val="32"/>
        </w:rPr>
        <w:t>部分款项未支付。</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cs="仿宋_GB2312"/>
          <w:bCs/>
          <w:kern w:val="0"/>
          <w:sz w:val="32"/>
          <w:szCs w:val="32"/>
        </w:rPr>
        <w:t>公共安全支出（类）法院（款）其他法院支出（项）。</w:t>
      </w:r>
      <w:r>
        <w:rPr>
          <w:rFonts w:hint="eastAsia" w:ascii="仿宋_GB2312" w:hAnsi="黑体" w:eastAsia="仿宋_GB2312" w:cs="仿宋_GB2312"/>
          <w:kern w:val="0"/>
          <w:sz w:val="32"/>
          <w:szCs w:val="32"/>
        </w:rPr>
        <w:t>年初预算为381.95万元，支出决算为474.02万元，完成年初预算的124.11%。决算数大于预算数的主要原因是一、聘用人员工资待遇提高且补发了以前年度的增资部分；二、为聘用人员购买了公积金。</w:t>
      </w:r>
    </w:p>
    <w:p>
      <w:pPr>
        <w:autoSpaceDE w:val="0"/>
        <w:autoSpaceDN w:val="0"/>
        <w:adjustRightInd w:val="0"/>
        <w:spacing w:line="560" w:lineRule="exact"/>
        <w:ind w:firstLine="640" w:firstLineChars="200"/>
        <w:jc w:val="left"/>
        <w:rPr>
          <w:rFonts w:ascii="仿宋_GB2312" w:hAnsi="黑体" w:eastAsia="仿宋_GB2312" w:cs="仿宋_GB2312"/>
          <w:kern w:val="0"/>
          <w:sz w:val="32"/>
          <w:szCs w:val="32"/>
        </w:rPr>
      </w:pPr>
      <w:r>
        <w:rPr>
          <w:rFonts w:hint="eastAsia" w:ascii="仿宋_GB2312" w:eastAsia="仿宋_GB2312" w:cs="仿宋_GB2312"/>
          <w:kern w:val="0"/>
          <w:sz w:val="32"/>
          <w:szCs w:val="32"/>
        </w:rPr>
        <w:t>（七）</w:t>
      </w:r>
      <w:r>
        <w:rPr>
          <w:rFonts w:hint="eastAsia" w:ascii="仿宋_GB2312" w:eastAsia="仿宋_GB2312" w:cs="仿宋_GB2312"/>
          <w:bCs/>
          <w:kern w:val="0"/>
          <w:sz w:val="32"/>
          <w:szCs w:val="32"/>
        </w:rPr>
        <w:t>社会保障和就业支出（类）行政事业单位养老支出（款）行政单位离退休（项）。</w:t>
      </w:r>
      <w:r>
        <w:rPr>
          <w:rFonts w:hint="eastAsia" w:ascii="仿宋_GB2312" w:hAnsi="黑体" w:eastAsia="仿宋_GB2312" w:cs="仿宋_GB2312"/>
          <w:kern w:val="0"/>
          <w:sz w:val="32"/>
          <w:szCs w:val="32"/>
        </w:rPr>
        <w:t>年初预算为36.92万元，支出决算为41.96万元，完成年初预算的113.65%。决算数大于预算数的主要原因是按文件要求，提高了2021年离退休人员春节慰问金的标准。</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kern w:val="0"/>
          <w:sz w:val="32"/>
          <w:szCs w:val="32"/>
        </w:rPr>
        <w:t>（八）</w:t>
      </w:r>
      <w:r>
        <w:rPr>
          <w:rFonts w:hint="eastAsia" w:ascii="仿宋_GB2312" w:eastAsia="仿宋_GB2312" w:cs="仿宋_GB2312"/>
          <w:bCs/>
          <w:kern w:val="0"/>
          <w:sz w:val="32"/>
          <w:szCs w:val="32"/>
        </w:rPr>
        <w:t>社会保障和就业支出（类）行政事业单位养老支出（款）机关事业单位基本养老保险缴费支出（项）。</w:t>
      </w:r>
      <w:r>
        <w:rPr>
          <w:rFonts w:hint="eastAsia" w:ascii="仿宋_GB2312" w:hAnsi="黑体" w:eastAsia="仿宋_GB2312" w:cs="仿宋_GB2312"/>
          <w:kern w:val="0"/>
          <w:sz w:val="32"/>
          <w:szCs w:val="32"/>
        </w:rPr>
        <w:t>年初预算为113.89万元，支出决算为114.57万元，完成年初预算的100.60%。决算数大于预算数的主要原因是财政追加增人增资部分的</w:t>
      </w:r>
      <w:r>
        <w:rPr>
          <w:rFonts w:hint="eastAsia" w:ascii="仿宋_GB2312" w:eastAsia="仿宋_GB2312" w:cs="仿宋_GB2312"/>
          <w:bCs/>
          <w:kern w:val="0"/>
          <w:sz w:val="32"/>
          <w:szCs w:val="32"/>
        </w:rPr>
        <w:t>机关事业单位基本养老保险拨款</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kern w:val="0"/>
          <w:sz w:val="32"/>
          <w:szCs w:val="32"/>
        </w:rPr>
        <w:t>（九）</w:t>
      </w:r>
      <w:r>
        <w:rPr>
          <w:rFonts w:hint="eastAsia" w:ascii="仿宋_GB2312" w:eastAsia="仿宋_GB2312" w:cs="仿宋_GB2312"/>
          <w:bCs/>
          <w:kern w:val="0"/>
          <w:sz w:val="32"/>
          <w:szCs w:val="32"/>
        </w:rPr>
        <w:t>社会保障和就业支出（类）行政事业单位养老支出（款）机关事业单位职业年金缴费支出（项）。</w:t>
      </w:r>
      <w:r>
        <w:rPr>
          <w:rFonts w:hint="eastAsia" w:ascii="仿宋_GB2312" w:hAnsi="黑体" w:eastAsia="仿宋_GB2312" w:cs="仿宋_GB2312"/>
          <w:kern w:val="0"/>
          <w:sz w:val="32"/>
          <w:szCs w:val="32"/>
        </w:rPr>
        <w:t>年初预算为56.94万元，支出决算为57.29万元，完成年初预算的100.61%。决算数大于预算数的主要原因是财政追加增人增资部分的</w:t>
      </w:r>
      <w:r>
        <w:rPr>
          <w:rFonts w:hint="eastAsia" w:ascii="仿宋_GB2312" w:eastAsia="仿宋_GB2312" w:cs="仿宋_GB2312"/>
          <w:bCs/>
          <w:kern w:val="0"/>
          <w:sz w:val="32"/>
          <w:szCs w:val="32"/>
        </w:rPr>
        <w:t>机关事业单位职业年金拨款</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hAnsi="黑体" w:eastAsia="仿宋_GB2312" w:cs="仿宋_GB2312"/>
          <w:kern w:val="0"/>
          <w:sz w:val="32"/>
          <w:szCs w:val="32"/>
        </w:rPr>
      </w:pPr>
      <w:r>
        <w:rPr>
          <w:rFonts w:hint="eastAsia" w:ascii="仿宋_GB2312" w:eastAsia="仿宋_GB2312" w:cs="仿宋_GB2312"/>
          <w:kern w:val="0"/>
          <w:sz w:val="32"/>
          <w:szCs w:val="32"/>
        </w:rPr>
        <w:t>（十）</w:t>
      </w:r>
      <w:r>
        <w:rPr>
          <w:rFonts w:hint="eastAsia" w:ascii="仿宋_GB2312" w:eastAsia="仿宋_GB2312" w:cs="仿宋_GB2312"/>
          <w:bCs/>
          <w:kern w:val="0"/>
          <w:sz w:val="32"/>
          <w:szCs w:val="32"/>
        </w:rPr>
        <w:t>社会保障和就业支出（类）其他社会保障和就业支出（款）其他社会保障和就业支出（项）。</w:t>
      </w:r>
      <w:r>
        <w:rPr>
          <w:rFonts w:hint="eastAsia" w:ascii="仿宋_GB2312" w:hAnsi="黑体" w:eastAsia="仿宋_GB2312" w:cs="仿宋_GB2312"/>
          <w:kern w:val="0"/>
          <w:sz w:val="32"/>
          <w:szCs w:val="32"/>
        </w:rPr>
        <w:t>年初预算为2.19万元，支出决算为2.19万元，完成年初预算的100%。</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（十一）</w:t>
      </w:r>
      <w:r>
        <w:rPr>
          <w:rFonts w:hint="eastAsia" w:ascii="仿宋_GB2312" w:eastAsia="仿宋_GB2312" w:cs="仿宋_GB2312"/>
          <w:bCs/>
          <w:kern w:val="0"/>
          <w:sz w:val="32"/>
          <w:szCs w:val="32"/>
        </w:rPr>
        <w:t>卫生健康支出（类）行政事业单位医疗（款）行政单位医疗（项）。</w:t>
      </w:r>
      <w:r>
        <w:rPr>
          <w:rFonts w:hint="eastAsia" w:ascii="仿宋_GB2312" w:hAnsi="黑体" w:eastAsia="仿宋_GB2312" w:cs="仿宋_GB2312"/>
          <w:kern w:val="0"/>
          <w:sz w:val="32"/>
          <w:szCs w:val="32"/>
        </w:rPr>
        <w:t>年初预算为65.12万元，支出决算为67.85万元，完成年初预算的104.2%。决算数大于预算数的主要原因是财政追加增人增资部分的</w:t>
      </w:r>
      <w:r>
        <w:rPr>
          <w:rFonts w:hint="eastAsia" w:ascii="仿宋_GB2312" w:eastAsia="仿宋_GB2312" w:cs="仿宋_GB2312"/>
          <w:bCs/>
          <w:kern w:val="0"/>
          <w:sz w:val="32"/>
          <w:szCs w:val="32"/>
        </w:rPr>
        <w:t>行政单位医疗保险拨款</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hint="eastAsia" w:ascii="GB2312" w:hAnsi="GB2312"/>
          <w:color w:val="333333"/>
          <w:shd w:val="clear" w:color="auto" w:fill="FFFFFF"/>
        </w:rPr>
      </w:pPr>
      <w:r>
        <w:rPr>
          <w:rFonts w:hint="eastAsia" w:ascii="仿宋_GB2312" w:eastAsia="仿宋_GB2312" w:cs="仿宋_GB2312"/>
          <w:kern w:val="0"/>
          <w:sz w:val="32"/>
          <w:szCs w:val="32"/>
        </w:rPr>
        <w:t>（十二）</w:t>
      </w:r>
      <w:r>
        <w:rPr>
          <w:rFonts w:hint="eastAsia" w:ascii="仿宋_GB2312" w:eastAsia="仿宋_GB2312" w:cs="仿宋_GB2312"/>
          <w:bCs/>
          <w:kern w:val="0"/>
          <w:sz w:val="32"/>
          <w:szCs w:val="32"/>
        </w:rPr>
        <w:t>卫生健康支出（类）行政事业单位医疗（款）公务员医疗补助（项）。</w:t>
      </w:r>
      <w:r>
        <w:rPr>
          <w:rFonts w:hint="eastAsia" w:ascii="仿宋_GB2312" w:hAnsi="黑体" w:eastAsia="仿宋_GB2312" w:cs="仿宋_GB2312"/>
          <w:kern w:val="0"/>
          <w:sz w:val="32"/>
          <w:szCs w:val="32"/>
        </w:rPr>
        <w:t>年初预算为35.7万元，支出决算为33.77万元，完成年初预算的94.6%。决算数小于预算数的主要原因是财政核减公务员医疗补助</w:t>
      </w:r>
      <w:r>
        <w:rPr>
          <w:rFonts w:hint="eastAsia" w:ascii="GB2312" w:hAnsi="GB2312"/>
          <w:color w:val="333333"/>
          <w:shd w:val="clear" w:color="auto" w:fill="FFFFFF"/>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（十三）</w:t>
      </w:r>
      <w:r>
        <w:rPr>
          <w:rFonts w:hint="eastAsia" w:ascii="仿宋_GB2312" w:eastAsia="仿宋_GB2312" w:cs="仿宋_GB2312"/>
          <w:bCs/>
          <w:kern w:val="0"/>
          <w:sz w:val="32"/>
          <w:szCs w:val="32"/>
        </w:rPr>
        <w:t>住房保障支出（类）住房改革支出（款）住房公积金（项）。</w:t>
      </w:r>
      <w:r>
        <w:rPr>
          <w:rFonts w:hint="eastAsia" w:ascii="仿宋_GB2312" w:hAnsi="黑体" w:eastAsia="仿宋_GB2312" w:cs="仿宋_GB2312"/>
          <w:kern w:val="0"/>
          <w:sz w:val="32"/>
          <w:szCs w:val="32"/>
        </w:rPr>
        <w:t>年初预算为85.42万元，支出决算为85.93万元，完成年初预算的100.60%。决算数大于预算数的主要原因是财政追加增人增资部分的</w:t>
      </w:r>
      <w:r>
        <w:rPr>
          <w:rFonts w:hint="eastAsia" w:ascii="仿宋_GB2312" w:eastAsia="仿宋_GB2312" w:cs="仿宋_GB2312"/>
          <w:bCs/>
          <w:kern w:val="0"/>
          <w:sz w:val="32"/>
          <w:szCs w:val="32"/>
        </w:rPr>
        <w:t>住房公积金拨款</w:t>
      </w:r>
      <w:r>
        <w:rPr>
          <w:rFonts w:hint="eastAsia" w:ascii="仿宋_GB2312" w:hAnsi="黑体"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三、2021年度一般公共预算财政拨款基本支出决算情况说明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公共预算财政拨款基本支出1361.51万元，支出具体情况如下：</w:t>
      </w:r>
    </w:p>
    <w:p>
      <w:pPr>
        <w:autoSpaceDE w:val="0"/>
        <w:autoSpaceDN w:val="0"/>
        <w:adjustRightInd w:val="0"/>
        <w:spacing w:line="560" w:lineRule="exact"/>
        <w:ind w:firstLine="640" w:firstLineChars="200"/>
        <w:jc w:val="left"/>
        <w:rPr>
          <w:rFonts w:ascii="仿宋_GB2312" w:hAnsi="黑体" w:eastAsia="仿宋_GB2312" w:cs="仿宋_GB2312"/>
          <w:bCs w:val="0"/>
          <w:kern w:val="0"/>
          <w:sz w:val="32"/>
          <w:szCs w:val="32"/>
        </w:rPr>
      </w:pPr>
      <w:r>
        <w:rPr>
          <w:rFonts w:hint="eastAsia" w:ascii="仿宋_GB2312" w:eastAsia="仿宋_GB2312"/>
          <w:bCs/>
          <w:kern w:val="0"/>
          <w:sz w:val="32"/>
          <w:szCs w:val="32"/>
        </w:rPr>
        <w:t>（一）工资福利支出1071.98万元，完成年初预算的99.8%。</w:t>
      </w:r>
      <w:r>
        <w:rPr>
          <w:rFonts w:hint="eastAsia" w:ascii="仿宋_GB2312" w:hAnsi="黑体" w:eastAsia="仿宋_GB2312" w:cs="仿宋_GB2312"/>
          <w:kern w:val="0"/>
          <w:sz w:val="32"/>
          <w:szCs w:val="32"/>
        </w:rPr>
        <w:t>决算数小于预算数的主要原因</w:t>
      </w:r>
      <w:r>
        <w:rPr>
          <w:rFonts w:hint="eastAsia" w:ascii="仿宋_GB2312" w:eastAsia="仿宋_GB2312" w:cs="仿宋_GB2312"/>
          <w:kern w:val="0"/>
          <w:sz w:val="32"/>
          <w:szCs w:val="32"/>
        </w:rPr>
        <w:t>人员编制数量减少</w:t>
      </w:r>
      <w:r>
        <w:rPr>
          <w:rFonts w:hint="eastAsia" w:ascii="仿宋_GB2312" w:hAnsi="黑体" w:eastAsia="仿宋_GB2312" w:cs="仿宋_GB2312"/>
          <w:kern w:val="0"/>
          <w:sz w:val="32"/>
          <w:szCs w:val="32"/>
        </w:rPr>
        <w:t>。支出内容主要包括：基本工资、津贴补贴、奖金、机关事业单位基本养老保险缴费、职业年金缴费、职工基本医疗保险缴费、公务员医疗补助缴费、其他社会保障缴费、住房公积金、其他工资福利支出。</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bCs/>
          <w:kern w:val="0"/>
          <w:sz w:val="32"/>
          <w:szCs w:val="32"/>
        </w:rPr>
        <w:t>（二）商品和服务支出210.85万元，完成年初预算的88.7%。</w:t>
      </w:r>
      <w:r>
        <w:rPr>
          <w:rFonts w:hint="eastAsia" w:ascii="仿宋_GB2312" w:hAnsi="黑体" w:eastAsia="仿宋_GB2312" w:cs="仿宋_GB2312"/>
          <w:kern w:val="0"/>
          <w:sz w:val="32"/>
          <w:szCs w:val="32"/>
        </w:rPr>
        <w:t>决算数小于预算数的主要原因是</w:t>
      </w:r>
      <w:r>
        <w:rPr>
          <w:rFonts w:hint="eastAsia" w:ascii="仿宋_GB2312" w:eastAsia="仿宋_GB2312" w:cs="仿宋_GB2312"/>
          <w:kern w:val="0"/>
          <w:sz w:val="32"/>
          <w:szCs w:val="32"/>
        </w:rPr>
        <w:t>人员编制数量减少、落实过紧日子要求压减办公支出。支出内容主要包括：办公费、水费、电费、邮电费、物业管理费、差旅费、维修（护）费、公务接待费、工会经费、福利费、其他交通费用、其他商品和服务支出。</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（三）对个人和家庭的补助56.15万元，</w:t>
      </w:r>
      <w:r>
        <w:rPr>
          <w:rFonts w:hint="eastAsia" w:ascii="仿宋_GB2312" w:eastAsia="仿宋_GB2312"/>
          <w:bCs/>
          <w:kern w:val="0"/>
          <w:sz w:val="32"/>
          <w:szCs w:val="32"/>
        </w:rPr>
        <w:t>完成年初预算的130.61%，</w:t>
      </w:r>
      <w:r>
        <w:rPr>
          <w:rFonts w:hint="eastAsia" w:ascii="仿宋_GB2312" w:hAnsi="黑体" w:eastAsia="仿宋_GB2312" w:cs="仿宋_GB2312"/>
          <w:kern w:val="0"/>
          <w:sz w:val="32"/>
          <w:szCs w:val="32"/>
        </w:rPr>
        <w:t>决算数小于预算数的主要原因是按文件要求，提高了2021年离退休人员春节慰问金的标准。</w:t>
      </w:r>
      <w:r>
        <w:rPr>
          <w:rFonts w:hint="eastAsia" w:ascii="仿宋_GB2312" w:eastAsia="仿宋_GB2312" w:cs="仿宋_GB2312"/>
          <w:kern w:val="0"/>
          <w:sz w:val="32"/>
          <w:szCs w:val="32"/>
        </w:rPr>
        <w:t>支出内容主要包括</w:t>
      </w:r>
      <w:r>
        <w:rPr>
          <w:rFonts w:hint="eastAsia" w:ascii="仿宋_GB2312" w:hAnsi="黑体" w:eastAsia="仿宋_GB2312" w:cs="仿宋_GB2312"/>
          <w:kern w:val="0"/>
          <w:sz w:val="32"/>
          <w:szCs w:val="32"/>
        </w:rPr>
        <w:t>、离休费、退休费、生活补助、医疗费补助、其他对个人和家庭的补助。</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hAnsi="黑体" w:eastAsia="仿宋_GB2312" w:cs="仿宋_GB2312"/>
          <w:kern w:val="0"/>
          <w:sz w:val="32"/>
          <w:szCs w:val="32"/>
        </w:rPr>
        <w:t>（四）资本性支出22.53万元，</w:t>
      </w:r>
      <w:r>
        <w:rPr>
          <w:rFonts w:hint="eastAsia" w:ascii="仿宋_GB2312" w:eastAsia="仿宋_GB2312"/>
          <w:bCs/>
          <w:kern w:val="0"/>
          <w:sz w:val="32"/>
          <w:szCs w:val="32"/>
        </w:rPr>
        <w:t>年初预算数为0，决算数大于预算数的主要原因是年初无资本性支出的预算，由于办公需要，用公用经费购买了办公设备。支出主要内容包括：办公设备购置、其他资本性支出。</w:t>
      </w:r>
    </w:p>
    <w:p>
      <w:pPr>
        <w:autoSpaceDE w:val="0"/>
        <w:autoSpaceDN w:val="0"/>
        <w:adjustRightInd w:val="0"/>
        <w:spacing w:line="560" w:lineRule="exact"/>
        <w:ind w:firstLine="0" w:firstLineChars="0"/>
        <w:jc w:val="left"/>
        <w:rPr>
          <w:rFonts w:ascii="黑体" w:hAnsi="黑体" w:eastAsia="黑体" w:cs="仿宋_GB2312"/>
          <w:kern w:val="0"/>
          <w:sz w:val="32"/>
          <w:szCs w:val="32"/>
        </w:rPr>
      </w:pPr>
      <w:r>
        <w:rPr>
          <w:rFonts w:hint="eastAsia" w:ascii="黑体" w:hAnsi="黑体" w:eastAsia="黑体" w:cs="仿宋_GB2312"/>
          <w:kern w:val="0"/>
          <w:sz w:val="32"/>
          <w:szCs w:val="32"/>
        </w:rPr>
        <w:t xml:space="preserve">    四、2021年度政府性基金支出决算情况</w:t>
      </w:r>
    </w:p>
    <w:p>
      <w:pPr>
        <w:autoSpaceDE w:val="0"/>
        <w:autoSpaceDN w:val="0"/>
        <w:adjustRightInd w:val="0"/>
        <w:spacing w:line="560" w:lineRule="exact"/>
        <w:ind w:firstLine="640" w:firstLineChars="200"/>
        <w:jc w:val="left"/>
        <w:rPr>
          <w:rFonts w:ascii="仿宋_GB2312" w:eastAsia="仿宋_GB2312" w:cs="仿宋_GB2312"/>
          <w:b/>
          <w:bCs/>
          <w:kern w:val="0"/>
          <w:sz w:val="32"/>
          <w:szCs w:val="32"/>
        </w:rPr>
      </w:pPr>
      <w:r>
        <w:rPr>
          <w:rFonts w:hint="eastAsia" w:ascii="仿宋_GB2312" w:eastAsia="仿宋_GB2312" w:cs="仿宋_GB2312"/>
          <w:kern w:val="0"/>
          <w:sz w:val="32"/>
          <w:szCs w:val="32"/>
        </w:rPr>
        <w:t>融安县人民法院2021年度没有政府性基金收入，也没有政府性基金安排的支出，故无数据情况说明。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五、2021年度国有资本经营预算支出决算情况</w:t>
      </w:r>
    </w:p>
    <w:p>
      <w:pPr>
        <w:autoSpaceDE w:val="0"/>
        <w:autoSpaceDN w:val="0"/>
        <w:adjustRightInd w:val="0"/>
        <w:spacing w:line="560" w:lineRule="exact"/>
        <w:ind w:firstLine="640" w:firstLineChars="200"/>
        <w:jc w:val="left"/>
        <w:rPr>
          <w:rFonts w:ascii="仿宋_GB2312" w:eastAsia="仿宋_GB2312" w:cs="仿宋_GB2312"/>
          <w:b/>
          <w:bCs/>
          <w:kern w:val="0"/>
          <w:sz w:val="32"/>
          <w:szCs w:val="32"/>
        </w:rPr>
      </w:pPr>
      <w:r>
        <w:rPr>
          <w:rFonts w:hint="eastAsia" w:ascii="仿宋_GB2312" w:eastAsia="仿宋_GB2312" w:cs="仿宋_GB2312"/>
          <w:kern w:val="0"/>
          <w:sz w:val="32"/>
          <w:szCs w:val="32"/>
        </w:rPr>
        <w:t>融安县人民法院2021年度没有国有资本经营预算财政拨款收入，也没有国有资本经营预算财政拨款安排的支出，故无数据情况说明。</w:t>
      </w:r>
    </w:p>
    <w:p>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公共预算财政拨款安排的“三公”经费支出15.73万元，完成年初预算的89.9%，比上年减少1.77万元，主要原因是认真贯彻落实中央八项规定</w:t>
      </w:r>
      <w:bookmarkStart w:id="0" w:name="_GoBack"/>
      <w:bookmarkEnd w:id="0"/>
      <w:r>
        <w:rPr>
          <w:rFonts w:hint="eastAsia" w:ascii="仿宋_GB2312" w:eastAsia="仿宋_GB2312" w:cs="仿宋_GB2312"/>
          <w:kern w:val="0"/>
          <w:sz w:val="32"/>
          <w:szCs w:val="32"/>
        </w:rPr>
        <w:t>精神和厉行节约要求，进一步从严控制“三公”经费开支，公务接待支出减少。其中：因公出国（境）费支出决算0万元，公务用车购置及运行费支出决算14.1万元，公务接待费支出决算1.63万元。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（一）因公出国（境）费支出0万元，完成年初预算的100%。 </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（二）公务用车购置及运行费支出14.1万元。其中：</w:t>
      </w:r>
    </w:p>
    <w:p>
      <w:pPr>
        <w:autoSpaceDE w:val="0"/>
        <w:autoSpaceDN w:val="0"/>
        <w:adjustRightInd w:val="0"/>
        <w:spacing w:line="560" w:lineRule="exact"/>
        <w:ind w:firstLine="960" w:firstLineChars="300"/>
        <w:jc w:val="left"/>
        <w:rPr>
          <w:rFonts w:ascii="仿宋_GB2312" w:eastAsia="仿宋_GB2312" w:cs="仿宋_GB2312"/>
          <w:kern w:val="0"/>
          <w:sz w:val="32"/>
          <w:szCs w:val="32"/>
        </w:rPr>
      </w:pPr>
      <w:r>
        <w:rPr>
          <w:rFonts w:hint="eastAsia" w:ascii="仿宋_GB2312" w:eastAsia="仿宋_GB2312" w:cs="仿宋_GB2312"/>
          <w:kern w:val="0"/>
          <w:sz w:val="32"/>
          <w:szCs w:val="32"/>
        </w:rPr>
        <w:t>公务用车购置支出0万元，完成年初预算的100%，比上年减少14.2万元，原因是2021年车辆编制上划，本单位无公务用车购置费。</w:t>
      </w:r>
    </w:p>
    <w:p>
      <w:pPr>
        <w:autoSpaceDE w:val="0"/>
        <w:autoSpaceDN w:val="0"/>
        <w:adjustRightInd w:val="0"/>
        <w:spacing w:line="560" w:lineRule="exact"/>
        <w:ind w:firstLine="640" w:firstLineChars="200"/>
        <w:jc w:val="left"/>
        <w:rPr>
          <w:rFonts w:ascii="仿宋_GB2312" w:hAnsi="黑体" w:eastAsia="仿宋_GB2312"/>
          <w:bCs/>
          <w:color w:val="000000"/>
          <w:sz w:val="32"/>
          <w:szCs w:val="32"/>
        </w:rPr>
      </w:pPr>
      <w:r>
        <w:rPr>
          <w:rFonts w:hint="eastAsia" w:ascii="仿宋_GB2312" w:eastAsia="仿宋_GB2312" w:cs="仿宋_GB2312"/>
          <w:kern w:val="0"/>
          <w:sz w:val="32"/>
          <w:szCs w:val="32"/>
        </w:rPr>
        <w:t>公务用车运行支出14.1万元，完成年初预算的100%，比上年减少24.76万元，原因是</w:t>
      </w:r>
      <w:r>
        <w:rPr>
          <w:rFonts w:hint="eastAsia" w:ascii="仿宋_GB2312" w:eastAsia="仿宋_GB2312"/>
          <w:color w:val="000000"/>
          <w:sz w:val="32"/>
          <w:szCs w:val="32"/>
          <w:shd w:val="clear" w:color="auto" w:fill="FFFFFF"/>
        </w:rPr>
        <w:t>财政国库指标限额影响</w:t>
      </w:r>
      <w:r>
        <w:rPr>
          <w:rFonts w:hint="eastAsia"/>
          <w:color w:val="000000"/>
          <w:sz w:val="32"/>
          <w:szCs w:val="32"/>
          <w:shd w:val="clear" w:color="auto" w:fill="FFFFFF"/>
        </w:rPr>
        <w:t>，</w:t>
      </w:r>
      <w:r>
        <w:rPr>
          <w:rFonts w:hint="eastAsia" w:ascii="仿宋_GB2312" w:eastAsia="仿宋_GB2312" w:cs="仿宋_GB2312"/>
          <w:kern w:val="0"/>
          <w:sz w:val="32"/>
          <w:szCs w:val="32"/>
        </w:rPr>
        <w:t>公务用车维修、清洗未能及时结账。主要用于机要文件交换、市内因公出行以及开展业务所需车辆燃料费、维修费、过路过桥费、保险费等。2021年，</w:t>
      </w:r>
      <w:r>
        <w:rPr>
          <w:rFonts w:hint="eastAsia" w:ascii="仿宋_GB2312" w:hAnsi="黑体" w:eastAsia="仿宋_GB2312"/>
          <w:bCs/>
          <w:color w:val="000000"/>
          <w:sz w:val="32"/>
          <w:szCs w:val="32"/>
        </w:rPr>
        <w:t>融安县人民法院所属单位开支财政拨款的公务用车保有量为12辆</w:t>
      </w:r>
      <w:r>
        <w:rPr>
          <w:rFonts w:hint="eastAsia" w:ascii="仿宋_GB2312" w:hAnsi="黑体" w:eastAsia="仿宋_GB2312"/>
          <w:b/>
          <w:color w:val="000000"/>
          <w:sz w:val="32"/>
          <w:szCs w:val="32"/>
        </w:rPr>
        <w:t>，</w:t>
      </w:r>
      <w:r>
        <w:rPr>
          <w:rFonts w:hint="eastAsia" w:ascii="仿宋_GB2312" w:hAnsi="黑体" w:eastAsia="仿宋_GB2312"/>
          <w:bCs/>
          <w:color w:val="000000"/>
          <w:sz w:val="32"/>
          <w:szCs w:val="32"/>
        </w:rPr>
        <w:t>全年运行费支出</w:t>
      </w:r>
      <w:r>
        <w:rPr>
          <w:rFonts w:ascii="仿宋_GB2312" w:hAnsi="黑体" w:eastAsia="仿宋_GB2312"/>
          <w:bCs/>
          <w:color w:val="000000"/>
          <w:sz w:val="32"/>
          <w:szCs w:val="32"/>
        </w:rPr>
        <w:t>14.1</w:t>
      </w:r>
      <w:r>
        <w:rPr>
          <w:rFonts w:hint="eastAsia" w:ascii="仿宋_GB2312" w:hAnsi="黑体" w:eastAsia="仿宋_GB2312"/>
          <w:bCs/>
          <w:color w:val="000000"/>
          <w:sz w:val="32"/>
          <w:szCs w:val="32"/>
        </w:rPr>
        <w:t>万元，平均每辆1.18万元。</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（三）公务接待费支出1.63万元，完成年初预算的48.22%， 比上年增加0.04万元，原因是公务接待人数有所增加，但支出金额控制在预算范围内。国内公务接待批次15次，人次148次，国（境）外公务接待批次0次，人次0次。</w:t>
      </w:r>
    </w:p>
    <w:p>
      <w:pPr>
        <w:autoSpaceDE w:val="0"/>
        <w:autoSpaceDN w:val="0"/>
        <w:adjustRightInd w:val="0"/>
        <w:spacing w:line="560" w:lineRule="exact"/>
        <w:ind w:firstLine="627" w:firstLineChars="196"/>
        <w:jc w:val="left"/>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本单位2021年度机关运行经费支出233.38万元，比年初预算数减少4.23万元，降低1.78%。主要原因是：人员</w:t>
      </w:r>
      <w:r>
        <w:rPr>
          <w:rFonts w:hint="eastAsia" w:ascii="仿宋_GB2312" w:eastAsia="仿宋_GB2312" w:cs="仿宋_GB2312"/>
          <w:kern w:val="0"/>
          <w:sz w:val="32"/>
          <w:szCs w:val="32"/>
          <w:highlight w:val="none"/>
        </w:rPr>
        <w:t>编制数量</w:t>
      </w:r>
      <w:r>
        <w:rPr>
          <w:rFonts w:hint="eastAsia" w:ascii="仿宋_GB2312" w:eastAsia="仿宋_GB2312" w:cs="仿宋_GB2312"/>
          <w:kern w:val="0"/>
          <w:sz w:val="32"/>
          <w:szCs w:val="32"/>
        </w:rPr>
        <w:t>减少，比2020年减少</w:t>
      </w:r>
      <w:r>
        <w:rPr>
          <w:rFonts w:ascii="仿宋_GB2312" w:eastAsia="仿宋_GB2312" w:cs="仿宋_GB2312"/>
          <w:kern w:val="0"/>
          <w:sz w:val="32"/>
          <w:szCs w:val="32"/>
        </w:rPr>
        <w:t>18.12</w:t>
      </w:r>
      <w:r>
        <w:rPr>
          <w:rFonts w:hint="eastAsia" w:ascii="仿宋_GB2312" w:eastAsia="仿宋_GB2312" w:cs="仿宋_GB2312"/>
          <w:kern w:val="0"/>
          <w:sz w:val="32"/>
          <w:szCs w:val="32"/>
        </w:rPr>
        <w:t>万元，降低</w:t>
      </w:r>
      <w:r>
        <w:rPr>
          <w:rFonts w:ascii="仿宋_GB2312" w:eastAsia="仿宋_GB2312" w:cs="仿宋_GB2312"/>
          <w:kern w:val="0"/>
          <w:sz w:val="32"/>
          <w:szCs w:val="32"/>
        </w:rPr>
        <w:t>7.2</w:t>
      </w:r>
      <w:r>
        <w:rPr>
          <w:rFonts w:hint="eastAsia" w:ascii="仿宋_GB2312" w:eastAsia="仿宋_GB2312" w:cs="仿宋_GB2312"/>
          <w:kern w:val="0"/>
          <w:sz w:val="32"/>
          <w:szCs w:val="32"/>
        </w:rPr>
        <w:t xml:space="preserve"> %。主要原因是：人员编制数量减少 、落实过紧日子要求压减办公支出。</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本单位2021年度政府采购支出总额119.52万元，其中：政府采购货物支出80.69万元、政府采购工程支出0万元、政府采购服务支出38.83万元。授予中小企业合同金额0万元，其中：授予小微企业合同金额0万元，占政府采购支出总额的0%。</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截至2021年12月31日，本单位共有车辆12辆，其中：公务用车0 辆；执法执勤用车12辆；专业技术用车0 辆；单价50万元以上通用设备0台（套），单价100万元以上专用设备0台（套）。 </w:t>
      </w:r>
    </w:p>
    <w:p>
      <w:pPr>
        <w:autoSpaceDE w:val="0"/>
        <w:autoSpaceDN w:val="0"/>
        <w:adjustRightInd w:val="0"/>
        <w:spacing w:line="560" w:lineRule="exact"/>
        <w:ind w:firstLine="640" w:firstLineChars="200"/>
        <w:jc w:val="left"/>
        <w:rPr>
          <w:rFonts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根据财政预算管理要求，我单位组织对2021年度一般公共预算项目支出全面开展绩效自评。共涉及资金247.5万元，占一般公共预算项目支出总额的100%。</w:t>
      </w:r>
    </w:p>
    <w:p>
      <w:pPr>
        <w:spacing w:line="560" w:lineRule="exact"/>
        <w:ind w:firstLine="640" w:firstLineChars="200"/>
        <w:rPr>
          <w:rFonts w:ascii="仿宋_GB2312"/>
          <w:sz w:val="32"/>
          <w:szCs w:val="32"/>
        </w:rPr>
      </w:pPr>
      <w:r>
        <w:rPr>
          <w:rFonts w:hint="eastAsia" w:ascii="仿宋_GB2312" w:eastAsia="仿宋_GB2312" w:cs="仿宋_GB2312"/>
          <w:kern w:val="0"/>
          <w:sz w:val="32"/>
          <w:szCs w:val="32"/>
        </w:rPr>
        <w:t>共组织对“聘用人员支出经费”1个项目进行了部门评价，涉及一般公共预算支出247.5万元。绩效目标完成较好。</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组织对1个单位-融安县人民法院开展整体支出绩效评价试点，涉及一般公共预算支出2821.64万元。从评价情况来看，</w:t>
      </w:r>
      <w:r>
        <w:rPr>
          <w:rFonts w:hint="eastAsia" w:ascii="仿宋_GB2312" w:eastAsia="仿宋_GB2312"/>
          <w:sz w:val="32"/>
          <w:szCs w:val="32"/>
        </w:rPr>
        <w:t>我单位依据申报的2021年整体支出绩效目标和项目绩效目标，在2021年内已全部完成，依据申报的指标值评分，整体支出绩效评分98.32分，项目绩效评分100分</w:t>
      </w:r>
      <w:r>
        <w:rPr>
          <w:rFonts w:hint="eastAsia" w:ascii="仿宋_GB2312"/>
          <w:sz w:val="32"/>
          <w:szCs w:val="32"/>
        </w:rPr>
        <w:t>。</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2.单位决算中项目绩效自评结果。</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我单位根据年初设定的绩效目标，“聘用人员支出经费”项目自评得分为100 分。</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ascii="仿宋_GB2312" w:eastAsia="仿宋_GB2312"/>
          <w:sz w:val="32"/>
          <w:szCs w:val="32"/>
        </w:rPr>
      </w:pPr>
      <w:r>
        <w:rPr>
          <w:rFonts w:hint="eastAsia" w:ascii="仿宋_GB2312" w:eastAsia="仿宋_GB2312"/>
          <w:sz w:val="32"/>
          <w:szCs w:val="32"/>
        </w:rPr>
        <w:t xml:space="preserve">一、财政拨款收入：指柳州市财政部门当年拨付的资金。 </w:t>
      </w:r>
    </w:p>
    <w:p>
      <w:pPr>
        <w:ind w:firstLine="640" w:firstLineChars="200"/>
        <w:rPr>
          <w:rFonts w:ascii="仿宋_GB2312" w:eastAsia="仿宋_GB2312"/>
          <w:sz w:val="32"/>
          <w:szCs w:val="32"/>
        </w:rPr>
      </w:pPr>
      <w:r>
        <w:rPr>
          <w:rFonts w:hint="eastAsia" w:ascii="仿宋_GB2312" w:eastAsia="仿宋_GB2312"/>
          <w:sz w:val="32"/>
          <w:szCs w:val="32"/>
        </w:rPr>
        <w:t>二、其他收入：指除上述“财政拨款收入”“事业收入”“经营收入”等以外的收入。主要是：基层法院由县区财政负担的二次创业绩效奖及配套的四险二金、离退休人员生活补助。</w:t>
      </w:r>
    </w:p>
    <w:p>
      <w:pPr>
        <w:ind w:firstLine="640" w:firstLineChars="200"/>
        <w:rPr>
          <w:rFonts w:ascii="仿宋_GB2312" w:eastAsia="仿宋_GB2312"/>
          <w:sz w:val="32"/>
          <w:szCs w:val="32"/>
        </w:rPr>
      </w:pPr>
      <w:r>
        <w:rPr>
          <w:rFonts w:hint="eastAsia" w:ascii="仿宋_GB2312" w:eastAsia="仿宋_GB2312"/>
          <w:sz w:val="32"/>
          <w:szCs w:val="32"/>
        </w:rPr>
        <w:t xml:space="preserve">三、年初结转和结余：指以前年度尚未完成、结转到本年 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四、年末结转和结余：指本年度或以前年度预算安排、因客观条件发生变化无法按原计划实施，需要延迟到以后年度按有关规定继续使用的资金。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 xml:space="preserve">五、基本支出：指为保障机构正常运转、完成日常工作任务而发生的人员支出和公用支出。 </w:t>
      </w:r>
    </w:p>
    <w:p>
      <w:pPr>
        <w:ind w:firstLine="640" w:firstLineChars="200"/>
        <w:rPr>
          <w:rFonts w:ascii="仿宋_GB2312" w:eastAsia="仿宋_GB2312"/>
          <w:sz w:val="32"/>
          <w:szCs w:val="32"/>
        </w:rPr>
      </w:pPr>
      <w:r>
        <w:rPr>
          <w:rFonts w:hint="eastAsia" w:ascii="仿宋_GB2312" w:eastAsia="仿宋_GB2312"/>
          <w:sz w:val="32"/>
          <w:szCs w:val="32"/>
        </w:rPr>
        <w:t xml:space="preserve">六、项目支出：指在基本支出之外为完成特定行政任务和事业发展目标所发生的支出。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 xml:space="preserve">七、“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ascii="仿宋_GB2312" w:eastAsia="仿宋_GB2312"/>
          <w:sz w:val="32"/>
          <w:szCs w:val="32"/>
        </w:rPr>
      </w:pPr>
      <w:r>
        <w:rPr>
          <w:rFonts w:hint="eastAsia" w:ascii="仿宋_GB2312" w:eastAsia="仿宋_GB2312"/>
          <w:sz w:val="32"/>
          <w:szCs w:val="32"/>
        </w:rPr>
        <w:t>八、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s="仿宋_GB2312"/>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GB2312">
    <w:altName w:val="Times New Roman"/>
    <w:panose1 w:val="00000000000000000000"/>
    <w:charset w:val="00"/>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- 11 -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hjNDNkODRjZTUyODY5NDBlZDQxOWMwN2RjODhiODIifQ=="/>
  </w:docVars>
  <w:rsids>
    <w:rsidRoot w:val="4C256E3D"/>
    <w:rsid w:val="0005499A"/>
    <w:rsid w:val="00066CA3"/>
    <w:rsid w:val="00094DFF"/>
    <w:rsid w:val="000B07C2"/>
    <w:rsid w:val="000D240E"/>
    <w:rsid w:val="000E01BA"/>
    <w:rsid w:val="000E2691"/>
    <w:rsid w:val="0013027E"/>
    <w:rsid w:val="0017242F"/>
    <w:rsid w:val="001746DC"/>
    <w:rsid w:val="00217F3F"/>
    <w:rsid w:val="00220E6D"/>
    <w:rsid w:val="0023667A"/>
    <w:rsid w:val="00261E6F"/>
    <w:rsid w:val="00267F26"/>
    <w:rsid w:val="00285C9D"/>
    <w:rsid w:val="002B10A6"/>
    <w:rsid w:val="002C6E11"/>
    <w:rsid w:val="003013FE"/>
    <w:rsid w:val="00312087"/>
    <w:rsid w:val="00315F94"/>
    <w:rsid w:val="00343A4E"/>
    <w:rsid w:val="0035263E"/>
    <w:rsid w:val="0035365A"/>
    <w:rsid w:val="00393FE5"/>
    <w:rsid w:val="003957B2"/>
    <w:rsid w:val="003C0D25"/>
    <w:rsid w:val="003D7828"/>
    <w:rsid w:val="00403CE1"/>
    <w:rsid w:val="00410F20"/>
    <w:rsid w:val="00415EB7"/>
    <w:rsid w:val="00417BD5"/>
    <w:rsid w:val="004272C3"/>
    <w:rsid w:val="00475D99"/>
    <w:rsid w:val="00501A79"/>
    <w:rsid w:val="00561DB1"/>
    <w:rsid w:val="005720E6"/>
    <w:rsid w:val="00587DDD"/>
    <w:rsid w:val="005B5616"/>
    <w:rsid w:val="005D5BE8"/>
    <w:rsid w:val="005F26C6"/>
    <w:rsid w:val="00603769"/>
    <w:rsid w:val="006330EE"/>
    <w:rsid w:val="00642C0B"/>
    <w:rsid w:val="0065190E"/>
    <w:rsid w:val="00672BA0"/>
    <w:rsid w:val="006A4338"/>
    <w:rsid w:val="006B0492"/>
    <w:rsid w:val="006C1367"/>
    <w:rsid w:val="006D7940"/>
    <w:rsid w:val="006E26EC"/>
    <w:rsid w:val="006F2D75"/>
    <w:rsid w:val="00715385"/>
    <w:rsid w:val="00765A66"/>
    <w:rsid w:val="0077212A"/>
    <w:rsid w:val="007A3B25"/>
    <w:rsid w:val="007B1390"/>
    <w:rsid w:val="007D2FEB"/>
    <w:rsid w:val="008054BA"/>
    <w:rsid w:val="0081457C"/>
    <w:rsid w:val="008538CC"/>
    <w:rsid w:val="00885C07"/>
    <w:rsid w:val="008A4E2F"/>
    <w:rsid w:val="008D169F"/>
    <w:rsid w:val="008E1743"/>
    <w:rsid w:val="0091611F"/>
    <w:rsid w:val="00924777"/>
    <w:rsid w:val="009261F3"/>
    <w:rsid w:val="00955603"/>
    <w:rsid w:val="0097273D"/>
    <w:rsid w:val="00A67388"/>
    <w:rsid w:val="00AA641B"/>
    <w:rsid w:val="00AB14F4"/>
    <w:rsid w:val="00AE0710"/>
    <w:rsid w:val="00AF4671"/>
    <w:rsid w:val="00B32EA9"/>
    <w:rsid w:val="00B420F4"/>
    <w:rsid w:val="00BB7D86"/>
    <w:rsid w:val="00BF430D"/>
    <w:rsid w:val="00C3523D"/>
    <w:rsid w:val="00C501F6"/>
    <w:rsid w:val="00C8701D"/>
    <w:rsid w:val="00CA2EAE"/>
    <w:rsid w:val="00CD3B24"/>
    <w:rsid w:val="00D0171A"/>
    <w:rsid w:val="00D03543"/>
    <w:rsid w:val="00D74E3D"/>
    <w:rsid w:val="00E56E1A"/>
    <w:rsid w:val="00E60FC3"/>
    <w:rsid w:val="00E864FB"/>
    <w:rsid w:val="00EA49EE"/>
    <w:rsid w:val="00EB007A"/>
    <w:rsid w:val="00EB7937"/>
    <w:rsid w:val="00EC07B9"/>
    <w:rsid w:val="00EE285B"/>
    <w:rsid w:val="00F62C87"/>
    <w:rsid w:val="00F66C5B"/>
    <w:rsid w:val="00F831E4"/>
    <w:rsid w:val="00FC0CA9"/>
    <w:rsid w:val="00FC574A"/>
    <w:rsid w:val="00FD37B8"/>
    <w:rsid w:val="05352423"/>
    <w:rsid w:val="094B45FA"/>
    <w:rsid w:val="0A0C33E4"/>
    <w:rsid w:val="0B424B1D"/>
    <w:rsid w:val="0DA86951"/>
    <w:rsid w:val="0E074DDF"/>
    <w:rsid w:val="0F0F5ED6"/>
    <w:rsid w:val="124204B5"/>
    <w:rsid w:val="14F016D4"/>
    <w:rsid w:val="15823E15"/>
    <w:rsid w:val="1612602D"/>
    <w:rsid w:val="16B90A0F"/>
    <w:rsid w:val="182962AB"/>
    <w:rsid w:val="19D073EB"/>
    <w:rsid w:val="1A650904"/>
    <w:rsid w:val="1CC31F67"/>
    <w:rsid w:val="2249565E"/>
    <w:rsid w:val="24D337DC"/>
    <w:rsid w:val="26460DBA"/>
    <w:rsid w:val="2B6F74EB"/>
    <w:rsid w:val="2C1F0B15"/>
    <w:rsid w:val="2C4219FE"/>
    <w:rsid w:val="335718FE"/>
    <w:rsid w:val="34020F86"/>
    <w:rsid w:val="341361ED"/>
    <w:rsid w:val="34A34B7A"/>
    <w:rsid w:val="39A63F06"/>
    <w:rsid w:val="3C017E2C"/>
    <w:rsid w:val="3E6F4772"/>
    <w:rsid w:val="3EA872B2"/>
    <w:rsid w:val="3ED1439F"/>
    <w:rsid w:val="42235D58"/>
    <w:rsid w:val="44500BF5"/>
    <w:rsid w:val="44560C84"/>
    <w:rsid w:val="47F43786"/>
    <w:rsid w:val="48374EDC"/>
    <w:rsid w:val="4C256E3D"/>
    <w:rsid w:val="4CB52F0F"/>
    <w:rsid w:val="4E2875DF"/>
    <w:rsid w:val="50C04C3A"/>
    <w:rsid w:val="532F1F9A"/>
    <w:rsid w:val="559117FB"/>
    <w:rsid w:val="57931D57"/>
    <w:rsid w:val="57AF1BF9"/>
    <w:rsid w:val="595C2FBD"/>
    <w:rsid w:val="5DBB25AC"/>
    <w:rsid w:val="5E995A3E"/>
    <w:rsid w:val="5F933EA7"/>
    <w:rsid w:val="5F95061E"/>
    <w:rsid w:val="5FC1266C"/>
    <w:rsid w:val="617E254E"/>
    <w:rsid w:val="62163194"/>
    <w:rsid w:val="624D024D"/>
    <w:rsid w:val="650E086A"/>
    <w:rsid w:val="6BAA0708"/>
    <w:rsid w:val="70046E9D"/>
    <w:rsid w:val="72231A60"/>
    <w:rsid w:val="743631A3"/>
    <w:rsid w:val="75AF6C8B"/>
    <w:rsid w:val="77474C4B"/>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qFormat/>
    <w:uiPriority w:val="0"/>
    <w:rPr>
      <w:rFonts w:hint="eastAsia" w:ascii="宋体" w:hAnsi="宋体" w:eastAsia="宋体" w:cs="宋体"/>
      <w:color w:val="000000"/>
      <w:sz w:val="22"/>
      <w:szCs w:val="22"/>
      <w:u w:val="none"/>
    </w:rPr>
  </w:style>
  <w:style w:type="character" w:customStyle="1" w:styleId="10">
    <w:name w:val="font01"/>
    <w:basedOn w:val="6"/>
    <w:qFormat/>
    <w:uiPriority w:val="0"/>
    <w:rPr>
      <w:rFonts w:hint="eastAsia" w:ascii="宋体" w:hAnsi="宋体" w:eastAsia="宋体" w:cs="宋体"/>
      <w:color w:val="000000"/>
      <w:sz w:val="24"/>
      <w:szCs w:val="24"/>
      <w:u w:val="none"/>
    </w:rPr>
  </w:style>
  <w:style w:type="character" w:customStyle="1" w:styleId="11">
    <w:name w:val="font2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887563-C593-415B-AAAE-B7F58380084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15</Pages>
  <Words>5823</Words>
  <Characters>6505</Characters>
  <Lines>75</Lines>
  <Paragraphs>21</Paragraphs>
  <TotalTime>1151</TotalTime>
  <ScaleCrop>false</ScaleCrop>
  <LinksUpToDate>false</LinksUpToDate>
  <CharactersWithSpaces>6540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2020-07-15T16:43:00Z</dcterms:created>
  <dc:creator>陈冬雪</dc:creator>
  <cp:lastModifiedBy>哒哒陳</cp:lastModifiedBy>
  <cp:lastPrinted>2021-07-07T09:10:00Z</cp:lastPrinted>
  <dcterms:modified xsi:type="dcterms:W3CDTF">2022-09-13T09:37:27Z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867E39A0828140D9AB7FD8FED8FACEE1</vt:lpwstr>
  </property>
</Properties>
</file>