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val="en-US" w:eastAsia="zh-CN"/>
        </w:rPr>
        <w:t xml:space="preserve">柳江区人民法院       </w:t>
      </w:r>
      <w:r>
        <w:rPr>
          <w:rFonts w:hint="eastAsia" w:ascii="黑体" w:hAnsi="黑体" w:eastAsia="黑体"/>
          <w:bCs/>
          <w:color w:val="000000"/>
          <w:sz w:val="52"/>
          <w:szCs w:val="52"/>
          <w:u w:val="single"/>
          <w:lang w:val="en-US" w:eastAsia="zh-CN"/>
        </w:rPr>
        <w:t xml:space="preserve"> </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val="en-US" w:eastAsia="zh-CN"/>
        </w:rPr>
        <w:t>柳州市</w:t>
      </w:r>
      <w:r>
        <w:rPr>
          <w:rFonts w:hint="eastAsia" w:ascii="仿宋_GB2312" w:hAnsi="黑体" w:eastAsia="仿宋_GB2312"/>
          <w:b/>
          <w:bCs/>
          <w:color w:val="000000"/>
          <w:sz w:val="32"/>
          <w:szCs w:val="32"/>
          <w:u w:val="none"/>
          <w:lang w:val="en-US" w:eastAsia="zh-CN"/>
        </w:rPr>
        <w:t>柳江区人民法院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柳州市</w:t>
      </w:r>
      <w:r>
        <w:rPr>
          <w:rFonts w:hint="eastAsia" w:ascii="仿宋_GB2312" w:hAnsi="黑体" w:eastAsia="仿宋_GB2312"/>
          <w:b/>
          <w:bCs/>
          <w:color w:val="000000"/>
          <w:sz w:val="32"/>
          <w:szCs w:val="32"/>
          <w:u w:val="none"/>
          <w:lang w:val="en-US" w:eastAsia="zh-CN"/>
        </w:rPr>
        <w:t>柳江区人民法院</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w:t>
      </w:r>
      <w:r>
        <w:rPr>
          <w:rFonts w:hint="eastAsia" w:ascii="仿宋_GB2312" w:hAnsi="黑体" w:eastAsia="仿宋_GB2312"/>
          <w:b/>
          <w:bCs/>
          <w:color w:val="000000"/>
          <w:sz w:val="32"/>
          <w:szCs w:val="32"/>
          <w:u w:val="none"/>
          <w:lang w:val="en-US" w:eastAsia="zh-CN"/>
        </w:rPr>
        <w:t>柳江区人民法院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val="en-US" w:eastAsia="zh-CN"/>
        </w:rPr>
        <w:t>柳州市</w:t>
      </w:r>
      <w:r>
        <w:rPr>
          <w:rFonts w:hint="eastAsia" w:ascii="仿宋_GB2312" w:hAnsi="黑体" w:eastAsia="仿宋_GB2312"/>
          <w:b/>
          <w:bCs/>
          <w:color w:val="000000"/>
          <w:sz w:val="32"/>
          <w:szCs w:val="32"/>
          <w:u w:val="none"/>
          <w:lang w:val="en-US" w:eastAsia="zh-CN"/>
        </w:rPr>
        <w:t>柳江区人民法院</w:t>
      </w:r>
      <w:r>
        <w:rPr>
          <w:rFonts w:hint="eastAsia" w:ascii="仿宋_GB2312" w:eastAsia="仿宋_GB2312"/>
          <w:b/>
          <w:sz w:val="32"/>
          <w:szCs w:val="32"/>
        </w:rPr>
        <w:t>概况</w:t>
      </w:r>
    </w:p>
    <w:p>
      <w:pPr>
        <w:numPr>
          <w:ilvl w:val="0"/>
          <w:numId w:val="1"/>
        </w:numPr>
        <w:ind w:firstLine="646"/>
        <w:rPr>
          <w:rFonts w:hint="eastAsia" w:ascii="仿宋_GB2312" w:eastAsia="仿宋_GB2312"/>
          <w:b/>
          <w:bCs/>
          <w:sz w:val="32"/>
          <w:szCs w:val="32"/>
        </w:rPr>
      </w:pPr>
      <w:r>
        <w:rPr>
          <w:rFonts w:hint="eastAsia" w:ascii="仿宋_GB2312" w:eastAsia="仿宋_GB2312"/>
          <w:b/>
          <w:bCs/>
          <w:sz w:val="32"/>
          <w:szCs w:val="32"/>
        </w:rPr>
        <w:t>主要职能</w:t>
      </w:r>
    </w:p>
    <w:p>
      <w:pPr>
        <w:numPr>
          <w:ilvl w:val="-1"/>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lang w:val="en-US" w:eastAsia="zh-CN"/>
        </w:rPr>
        <w:t>部门主要职能</w:t>
      </w:r>
    </w:p>
    <w:p>
      <w:pPr>
        <w:keepNext w:val="0"/>
        <w:keepLines w:val="0"/>
        <w:pageBreakBefore w:val="0"/>
        <w:widowControl/>
        <w:shd w:val="clear" w:color="auto" w:fill="FFFFFF"/>
        <w:kinsoku/>
        <w:wordWrap/>
        <w:overflowPunct/>
        <w:topLinePunct w:val="0"/>
        <w:autoSpaceDE w:val="0"/>
        <w:autoSpaceDN w:val="0"/>
        <w:bidi w:val="0"/>
        <w:adjustRightInd w:val="0"/>
        <w:snapToGrid/>
        <w:spacing w:before="0" w:beforeLines="0" w:beforeAutospacing="0" w:after="0" w:afterLines="0" w:afterAutospacing="0" w:line="240" w:lineRule="auto"/>
        <w:ind w:firstLine="640" w:firstLineChars="200"/>
        <w:jc w:val="left"/>
        <w:textAlignment w:val="auto"/>
        <w:outlineLvl w:val="9"/>
        <w:rPr>
          <w:rFonts w:hint="eastAsia" w:ascii="仿宋_GB2312" w:hAnsi="Times New Roman" w:eastAsia="仿宋_GB2312" w:cs="仿宋_GB2312"/>
          <w:i w:val="0"/>
          <w:caps w:val="0"/>
          <w:color w:val="auto"/>
          <w:spacing w:val="0"/>
          <w:kern w:val="0"/>
          <w:sz w:val="32"/>
          <w:szCs w:val="32"/>
          <w:shd w:val="clear" w:color="auto" w:fill="FFFFFF"/>
          <w:lang w:eastAsia="zh-CN"/>
        </w:rPr>
      </w:pPr>
      <w:r>
        <w:rPr>
          <w:rFonts w:hint="eastAsia" w:ascii="仿宋_GB2312" w:eastAsia="仿宋_GB2312" w:cs="仿宋_GB2312"/>
          <w:b w:val="0"/>
          <w:bCs w:val="0"/>
          <w:kern w:val="0"/>
          <w:sz w:val="32"/>
          <w:szCs w:val="32"/>
          <w:lang w:val="en-US" w:eastAsia="zh-CN"/>
        </w:rPr>
        <w:t>柳江区</w:t>
      </w:r>
      <w:r>
        <w:rPr>
          <w:rFonts w:hint="eastAsia" w:ascii="仿宋_GB2312" w:eastAsia="仿宋_GB2312" w:cs="仿宋_GB2312"/>
          <w:kern w:val="0"/>
          <w:sz w:val="32"/>
          <w:szCs w:val="32"/>
        </w:rPr>
        <w:t>人民法院</w:t>
      </w:r>
      <w:r>
        <w:rPr>
          <w:rFonts w:hint="eastAsia" w:ascii="仿宋_GB2312" w:eastAsia="仿宋_GB2312" w:cs="仿宋_GB2312"/>
          <w:kern w:val="0"/>
          <w:sz w:val="32"/>
          <w:szCs w:val="32"/>
          <w:lang w:eastAsia="zh-CN"/>
        </w:rPr>
        <w:t>的主要职能</w:t>
      </w:r>
      <w:r>
        <w:rPr>
          <w:rFonts w:hint="eastAsia" w:ascii="仿宋_GB2312" w:eastAsia="仿宋_GB2312" w:cs="仿宋_GB2312"/>
          <w:kern w:val="0"/>
          <w:sz w:val="32"/>
          <w:szCs w:val="32"/>
        </w:rPr>
        <w:t>是</w:t>
      </w:r>
      <w:r>
        <w:rPr>
          <w:rFonts w:hint="eastAsia" w:ascii="仿宋_GB2312" w:eastAsia="仿宋_GB2312" w:cs="仿宋_GB2312"/>
          <w:kern w:val="0"/>
          <w:sz w:val="32"/>
          <w:szCs w:val="32"/>
          <w:lang w:val="en-US" w:eastAsia="zh-CN"/>
        </w:rPr>
        <w:t>国家审判机关，依法独立行使审判权。主要职能是</w:t>
      </w:r>
      <w:r>
        <w:rPr>
          <w:rFonts w:hint="eastAsia" w:ascii="仿宋_GB2312" w:hAnsi="Times New Roman" w:eastAsia="仿宋_GB2312" w:cs="仿宋_GB2312"/>
          <w:b w:val="0"/>
          <w:bCs w:val="0"/>
          <w:color w:val="auto"/>
          <w:kern w:val="0"/>
          <w:sz w:val="32"/>
          <w:szCs w:val="32"/>
        </w:rPr>
        <w:t>依法审判本院管辖的民事、行政案件和上级人民法院交由审判的案件;</w:t>
      </w:r>
      <w:r>
        <w:rPr>
          <w:rFonts w:hint="eastAsia" w:ascii="仿宋_GB2312" w:hAnsi="Times New Roman" w:eastAsia="仿宋_GB2312" w:cs="仿宋_GB2312"/>
          <w:i w:val="0"/>
          <w:caps w:val="0"/>
          <w:color w:val="auto"/>
          <w:spacing w:val="0"/>
          <w:kern w:val="0"/>
          <w:sz w:val="32"/>
          <w:szCs w:val="32"/>
          <w:shd w:val="clear" w:color="auto" w:fill="FFFFFF"/>
        </w:rPr>
        <w:t>接受上级法院指令再审和交办的案件</w:t>
      </w:r>
      <w:r>
        <w:rPr>
          <w:rFonts w:hint="eastAsia" w:ascii="仿宋_GB2312" w:hAnsi="Times New Roman" w:eastAsia="仿宋_GB2312" w:cs="仿宋_GB2312"/>
          <w:b w:val="0"/>
          <w:bCs w:val="0"/>
          <w:color w:val="auto"/>
          <w:kern w:val="0"/>
          <w:sz w:val="32"/>
          <w:szCs w:val="32"/>
        </w:rPr>
        <w:t>;</w:t>
      </w:r>
      <w:r>
        <w:rPr>
          <w:rFonts w:hint="eastAsia" w:ascii="仿宋_GB2312" w:hAnsi="Times New Roman" w:eastAsia="仿宋_GB2312" w:cs="仿宋_GB2312"/>
          <w:i w:val="0"/>
          <w:caps w:val="0"/>
          <w:color w:val="auto"/>
          <w:spacing w:val="0"/>
          <w:kern w:val="0"/>
          <w:sz w:val="32"/>
          <w:szCs w:val="32"/>
          <w:shd w:val="clear" w:color="auto" w:fill="FFFFFF"/>
        </w:rPr>
        <w:t>依法行使</w:t>
      </w:r>
      <w:r>
        <w:rPr>
          <w:rFonts w:hint="eastAsia" w:ascii="仿宋_GB2312" w:hAnsi="Times New Roman" w:eastAsia="仿宋_GB2312" w:cs="仿宋_GB2312"/>
          <w:i w:val="0"/>
          <w:caps w:val="0"/>
          <w:color w:val="auto"/>
          <w:spacing w:val="0"/>
          <w:kern w:val="0"/>
          <w:sz w:val="32"/>
          <w:szCs w:val="32"/>
          <w:u w:val="none"/>
          <w:shd w:val="clear" w:color="auto" w:fill="FFFFFF"/>
        </w:rPr>
        <w:fldChar w:fldCharType="begin"/>
      </w:r>
      <w:r>
        <w:rPr>
          <w:rFonts w:hint="eastAsia" w:ascii="仿宋_GB2312" w:hAnsi="Times New Roman" w:eastAsia="仿宋_GB2312" w:cs="仿宋_GB2312"/>
          <w:i w:val="0"/>
          <w:caps w:val="0"/>
          <w:color w:val="auto"/>
          <w:spacing w:val="0"/>
          <w:kern w:val="0"/>
          <w:sz w:val="32"/>
          <w:szCs w:val="32"/>
          <w:u w:val="none"/>
          <w:shd w:val="clear" w:color="auto" w:fill="FFFFFF"/>
        </w:rPr>
        <w:instrText xml:space="preserve"> HYPERLINK "http://www.so.com/s?q=%E5%8F%B8%E6%B3%95&amp;ie=utf-8&amp;src=internal_wenda_recommend_textn" \t "https://wenda.so.com/q/_blank" </w:instrText>
      </w:r>
      <w:r>
        <w:rPr>
          <w:rFonts w:hint="eastAsia" w:ascii="仿宋_GB2312" w:hAnsi="Times New Roman" w:eastAsia="仿宋_GB2312" w:cs="仿宋_GB2312"/>
          <w:i w:val="0"/>
          <w:caps w:val="0"/>
          <w:color w:val="auto"/>
          <w:spacing w:val="0"/>
          <w:kern w:val="0"/>
          <w:sz w:val="32"/>
          <w:szCs w:val="32"/>
          <w:u w:val="none"/>
          <w:shd w:val="clear" w:color="auto" w:fill="FFFFFF"/>
        </w:rPr>
        <w:fldChar w:fldCharType="separate"/>
      </w:r>
      <w:r>
        <w:rPr>
          <w:rStyle w:val="9"/>
          <w:rFonts w:hint="eastAsia" w:ascii="仿宋_GB2312" w:hAnsi="Times New Roman" w:eastAsia="仿宋_GB2312" w:cs="仿宋_GB2312"/>
          <w:i w:val="0"/>
          <w:caps w:val="0"/>
          <w:color w:val="auto"/>
          <w:spacing w:val="0"/>
          <w:kern w:val="0"/>
          <w:sz w:val="32"/>
          <w:szCs w:val="32"/>
          <w:u w:val="none"/>
          <w:shd w:val="clear" w:color="auto" w:fill="FFFFFF"/>
        </w:rPr>
        <w:t>司法</w:t>
      </w:r>
      <w:r>
        <w:rPr>
          <w:rFonts w:hint="eastAsia" w:ascii="仿宋_GB2312" w:hAnsi="Times New Roman" w:eastAsia="仿宋_GB2312" w:cs="仿宋_GB2312"/>
          <w:i w:val="0"/>
          <w:caps w:val="0"/>
          <w:color w:val="auto"/>
          <w:spacing w:val="0"/>
          <w:kern w:val="0"/>
          <w:sz w:val="32"/>
          <w:szCs w:val="32"/>
          <w:u w:val="none"/>
          <w:shd w:val="clear" w:color="auto" w:fill="FFFFFF"/>
        </w:rPr>
        <w:fldChar w:fldCharType="end"/>
      </w:r>
      <w:r>
        <w:rPr>
          <w:rFonts w:hint="eastAsia" w:ascii="仿宋_GB2312" w:hAnsi="Times New Roman" w:eastAsia="仿宋_GB2312" w:cs="仿宋_GB2312"/>
          <w:i w:val="0"/>
          <w:caps w:val="0"/>
          <w:color w:val="auto"/>
          <w:spacing w:val="0"/>
          <w:kern w:val="0"/>
          <w:sz w:val="32"/>
          <w:szCs w:val="32"/>
          <w:shd w:val="clear" w:color="auto" w:fill="FFFFFF"/>
        </w:rPr>
        <w:t>执行权和司法决定权</w:t>
      </w:r>
      <w:r>
        <w:rPr>
          <w:rFonts w:hint="eastAsia" w:ascii="仿宋_GB2312" w:hAnsi="Times New Roman" w:eastAsia="仿宋_GB2312" w:cs="仿宋_GB2312"/>
          <w:i w:val="0"/>
          <w:caps w:val="0"/>
          <w:color w:val="auto"/>
          <w:spacing w:val="0"/>
          <w:kern w:val="0"/>
          <w:sz w:val="32"/>
          <w:szCs w:val="32"/>
          <w:shd w:val="clear" w:color="auto" w:fill="FFFFFF"/>
          <w:lang w:eastAsia="zh-CN"/>
        </w:rPr>
        <w:t>；</w:t>
      </w:r>
      <w:r>
        <w:rPr>
          <w:rFonts w:hint="eastAsia" w:ascii="仿宋_GB2312" w:hAnsi="Times New Roman" w:eastAsia="仿宋_GB2312" w:cs="仿宋_GB2312"/>
          <w:b w:val="0"/>
          <w:bCs w:val="0"/>
          <w:color w:val="auto"/>
          <w:kern w:val="0"/>
          <w:sz w:val="32"/>
          <w:szCs w:val="32"/>
        </w:rPr>
        <w:t>依法执行已发生法律效力的判决、裁定以及国家行政机关依法申请执行的案件;</w:t>
      </w:r>
      <w:r>
        <w:rPr>
          <w:rFonts w:hint="eastAsia" w:ascii="仿宋_GB2312" w:hAnsi="Times New Roman" w:eastAsia="仿宋_GB2312" w:cs="仿宋_GB2312"/>
          <w:i w:val="0"/>
          <w:caps w:val="0"/>
          <w:color w:val="auto"/>
          <w:spacing w:val="0"/>
          <w:kern w:val="0"/>
          <w:sz w:val="32"/>
          <w:szCs w:val="32"/>
          <w:shd w:val="clear" w:color="auto" w:fill="FFFFFF"/>
        </w:rPr>
        <w:t>承办其他应由本院负责的工作</w:t>
      </w:r>
      <w:r>
        <w:rPr>
          <w:rFonts w:hint="eastAsia" w:ascii="仿宋_GB2312" w:hAnsi="Times New Roman" w:eastAsia="仿宋_GB2312" w:cs="仿宋_GB2312"/>
          <w:i w:val="0"/>
          <w:caps w:val="0"/>
          <w:color w:val="auto"/>
          <w:spacing w:val="0"/>
          <w:kern w:val="0"/>
          <w:sz w:val="32"/>
          <w:szCs w:val="32"/>
          <w:shd w:val="clear" w:color="auto" w:fill="FFFFFF"/>
          <w:lang w:eastAsia="zh-CN"/>
        </w:rPr>
        <w:t>。</w:t>
      </w:r>
    </w:p>
    <w:p>
      <w:pPr>
        <w:keepNext w:val="0"/>
        <w:keepLines w:val="0"/>
        <w:pageBreakBefore w:val="0"/>
        <w:widowControl/>
        <w:shd w:val="clear" w:color="auto" w:fill="FFFFFF"/>
        <w:kinsoku/>
        <w:wordWrap/>
        <w:overflowPunct/>
        <w:topLinePunct w:val="0"/>
        <w:autoSpaceDE w:val="0"/>
        <w:autoSpaceDN w:val="0"/>
        <w:bidi w:val="0"/>
        <w:adjustRightInd w:val="0"/>
        <w:snapToGrid/>
        <w:spacing w:before="0" w:beforeLines="0" w:beforeAutospacing="0" w:after="0" w:afterLines="0" w:afterAutospacing="0" w:line="240" w:lineRule="auto"/>
        <w:ind w:firstLine="640" w:firstLineChars="200"/>
        <w:jc w:val="left"/>
        <w:textAlignment w:val="auto"/>
        <w:outlineLvl w:val="9"/>
        <w:rPr>
          <w:rFonts w:hint="eastAsia" w:ascii="仿宋_GB2312" w:hAnsi="Times New Roman" w:eastAsia="仿宋_GB2312" w:cs="仿宋_GB2312"/>
          <w:i w:val="0"/>
          <w:caps w:val="0"/>
          <w:color w:val="auto"/>
          <w:spacing w:val="0"/>
          <w:kern w:val="0"/>
          <w:sz w:val="32"/>
          <w:szCs w:val="32"/>
          <w:shd w:val="clear" w:color="auto" w:fill="FFFFFF"/>
          <w:lang w:eastAsia="zh-CN"/>
        </w:rPr>
      </w:pPr>
      <w:r>
        <w:rPr>
          <w:rFonts w:hint="eastAsia" w:ascii="仿宋_GB2312" w:hAnsi="Times New Roman" w:eastAsia="仿宋_GB2312" w:cs="仿宋_GB2312"/>
          <w:i w:val="0"/>
          <w:iCs w:val="0"/>
          <w:caps w:val="0"/>
          <w:color w:val="000000"/>
          <w:spacing w:val="0"/>
          <w:kern w:val="0"/>
          <w:sz w:val="32"/>
          <w:szCs w:val="32"/>
          <w:shd w:val="clear" w:fill="FFFFFF"/>
        </w:rPr>
        <w:t>（二）2021年本部门的主要工作任务</w:t>
      </w:r>
    </w:p>
    <w:p>
      <w:pPr>
        <w:autoSpaceDE w:val="0"/>
        <w:autoSpaceDN w:val="0"/>
        <w:adjustRightInd w:val="0"/>
        <w:spacing w:line="240" w:lineRule="auto"/>
        <w:ind w:firstLine="640" w:firstLineChars="200"/>
        <w:jc w:val="left"/>
        <w:rPr>
          <w:rFonts w:hint="eastAsia" w:ascii="仿宋_GB2312" w:hAnsi="Times New Roman" w:eastAsia="仿宋_GB2312" w:cs="仿宋_GB2312"/>
          <w:color w:val="000000"/>
          <w:kern w:val="0"/>
          <w:sz w:val="32"/>
          <w:szCs w:val="32"/>
        </w:rPr>
      </w:pPr>
      <w:r>
        <w:rPr>
          <w:rFonts w:hint="eastAsia" w:ascii="仿宋_GB2312" w:eastAsia="仿宋_GB2312" w:cs="仿宋_GB2312"/>
          <w:kern w:val="0"/>
          <w:sz w:val="32"/>
          <w:szCs w:val="32"/>
        </w:rPr>
        <w:t>2021年是中国共产党成立100周年，也是“十四五”规划和2035年远景目标开局之年。柳江法院将坚持</w:t>
      </w:r>
      <w:r>
        <w:rPr>
          <w:rFonts w:hint="eastAsia" w:ascii="仿宋_GB2312" w:hAnsi="Times New Roman" w:eastAsia="仿宋_GB2312" w:cs="仿宋_GB2312"/>
          <w:color w:val="000000"/>
          <w:kern w:val="0"/>
          <w:sz w:val="32"/>
          <w:szCs w:val="32"/>
        </w:rPr>
        <w:t>以人民为中心，坚持执法办案第一要务，为维护社会安全稳定，服务经济高质量发展，优化营商环境提供强有力的司法保障。</w:t>
      </w:r>
    </w:p>
    <w:p>
      <w:pPr>
        <w:autoSpaceDE w:val="0"/>
        <w:autoSpaceDN w:val="0"/>
        <w:adjustRightInd w:val="0"/>
        <w:spacing w:line="240" w:lineRule="auto"/>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kern w:val="0"/>
          <w:sz w:val="32"/>
          <w:szCs w:val="32"/>
        </w:rPr>
        <w:t>一是坚持党的绝对领导，牢牢把握人民法院工作的正确方向。</w:t>
      </w:r>
      <w:r>
        <w:rPr>
          <w:rFonts w:hint="eastAsia" w:ascii="仿宋_GB2312" w:eastAsia="仿宋_GB2312" w:cs="仿宋_GB2312"/>
          <w:kern w:val="0"/>
          <w:sz w:val="32"/>
          <w:szCs w:val="32"/>
        </w:rPr>
        <w:t>确保党委重大决策部署在法院得到不折不扣地执行。</w:t>
      </w:r>
    </w:p>
    <w:p>
      <w:pPr>
        <w:autoSpaceDE w:val="0"/>
        <w:autoSpaceDN w:val="0"/>
        <w:adjustRightInd w:val="0"/>
        <w:spacing w:line="240" w:lineRule="auto"/>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kern w:val="0"/>
          <w:sz w:val="32"/>
          <w:szCs w:val="32"/>
        </w:rPr>
        <w:t>二是聚焦主业，紧紧围绕柳江区中心工作尽职履责。</w:t>
      </w:r>
      <w:r>
        <w:rPr>
          <w:rFonts w:hint="eastAsia" w:ascii="仿宋_GB2312" w:eastAsia="仿宋_GB2312" w:cs="仿宋_GB2312"/>
          <w:kern w:val="0"/>
          <w:sz w:val="32"/>
          <w:szCs w:val="32"/>
        </w:rPr>
        <w:t>在打造法治化营商环境上下功。进一步完善多元解纷工作机制，努力将矛盾化解在基层。依法打击危害人民群众安全、社会稳定的暴力犯罪，严厉打击黄赌毒、“两抢一盗”等人民群众反映强烈的犯罪，继续保持反腐败高压态势，健全扫黑除恶长效机制，深化毒品犯罪打击力度，切实提升人民群众安全感，保障人民群众安居乐业。</w:t>
      </w:r>
    </w:p>
    <w:p>
      <w:pPr>
        <w:autoSpaceDE w:val="0"/>
        <w:autoSpaceDN w:val="0"/>
        <w:adjustRightInd w:val="0"/>
        <w:spacing w:line="240" w:lineRule="auto"/>
        <w:ind w:firstLine="640" w:firstLineChars="200"/>
        <w:jc w:val="left"/>
        <w:rPr>
          <w:rFonts w:hint="eastAsia" w:ascii="仿宋_GB2312" w:hAnsi="Times New Roman" w:eastAsia="仿宋_GB2312" w:cs="仿宋_GB2312"/>
          <w:color w:val="000000"/>
          <w:kern w:val="0"/>
          <w:sz w:val="32"/>
          <w:szCs w:val="32"/>
        </w:rPr>
      </w:pPr>
      <w:r>
        <w:rPr>
          <w:rFonts w:hint="eastAsia" w:ascii="仿宋_GB2312" w:eastAsia="仿宋_GB2312" w:cs="仿宋_GB2312"/>
          <w:b w:val="0"/>
          <w:kern w:val="0"/>
          <w:sz w:val="32"/>
          <w:szCs w:val="32"/>
        </w:rPr>
        <w:t>三是坚持司法为民，推动司法便民、利民。</w:t>
      </w:r>
      <w:r>
        <w:rPr>
          <w:rFonts w:hint="eastAsia" w:ascii="仿宋_GB2312" w:eastAsia="仿宋_GB2312" w:cs="仿宋_GB2312"/>
          <w:kern w:val="0"/>
          <w:sz w:val="32"/>
          <w:szCs w:val="32"/>
        </w:rPr>
        <w:t>继续深化一站式多元解纷和一站式诉讼服务体系建设。</w:t>
      </w:r>
      <w:r>
        <w:rPr>
          <w:rFonts w:hint="eastAsia" w:ascii="仿宋_GB2312" w:hAnsi="Times New Roman" w:eastAsia="仿宋_GB2312" w:cs="仿宋_GB2312"/>
          <w:color w:val="000000"/>
          <w:kern w:val="0"/>
          <w:sz w:val="32"/>
          <w:szCs w:val="32"/>
        </w:rPr>
        <w:t>在诉讼服务、案件审理等方面加大信息化程度，让群众享受更加便捷的司法服务。</w:t>
      </w:r>
    </w:p>
    <w:p>
      <w:pPr>
        <w:autoSpaceDE w:val="0"/>
        <w:autoSpaceDN w:val="0"/>
        <w:adjustRightInd w:val="0"/>
        <w:spacing w:line="240" w:lineRule="auto"/>
        <w:ind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b w:val="0"/>
          <w:color w:val="000000"/>
          <w:kern w:val="0"/>
          <w:sz w:val="32"/>
          <w:szCs w:val="32"/>
        </w:rPr>
        <w:t>四是坚持改革创新，努力推进审判体系和审判能力现代化。</w:t>
      </w:r>
    </w:p>
    <w:p>
      <w:pPr>
        <w:autoSpaceDE w:val="0"/>
        <w:autoSpaceDN w:val="0"/>
        <w:adjustRightInd w:val="0"/>
        <w:spacing w:line="240" w:lineRule="auto"/>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kern w:val="0"/>
          <w:sz w:val="32"/>
          <w:szCs w:val="32"/>
        </w:rPr>
        <w:t>五是以更严标准打造过硬队伍。</w:t>
      </w:r>
      <w:r>
        <w:rPr>
          <w:rFonts w:hint="eastAsia" w:ascii="仿宋_GB2312" w:eastAsia="仿宋_GB2312" w:cs="仿宋_GB2312"/>
          <w:kern w:val="0"/>
          <w:sz w:val="32"/>
          <w:szCs w:val="32"/>
        </w:rPr>
        <w:t>形成监督长效机制，确保惩治司法腐败无禁区、全覆盖、零容忍。</w:t>
      </w:r>
    </w:p>
    <w:p>
      <w:pPr>
        <w:keepNext w:val="0"/>
        <w:keepLines w:val="0"/>
        <w:pageBreakBefore w:val="0"/>
        <w:widowControl/>
        <w:shd w:val="clear" w:color="auto" w:fill="FFFFFF"/>
        <w:kinsoku/>
        <w:wordWrap/>
        <w:overflowPunct/>
        <w:topLinePunct w:val="0"/>
        <w:autoSpaceDE w:val="0"/>
        <w:autoSpaceDN w:val="0"/>
        <w:bidi w:val="0"/>
        <w:adjustRightInd w:val="0"/>
        <w:snapToGrid/>
        <w:spacing w:before="0" w:beforeLines="0" w:beforeAutospacing="0" w:after="0" w:afterLines="0" w:afterAutospacing="0" w:line="240" w:lineRule="auto"/>
        <w:ind w:firstLine="640" w:firstLineChars="200"/>
        <w:jc w:val="left"/>
        <w:textAlignment w:val="auto"/>
        <w:outlineLvl w:val="9"/>
        <w:rPr>
          <w:rFonts w:hint="eastAsia" w:ascii="仿宋_GB2312" w:eastAsia="仿宋_GB2312" w:cs="仿宋_GB2312"/>
          <w:kern w:val="0"/>
          <w:sz w:val="32"/>
          <w:szCs w:val="32"/>
        </w:rPr>
      </w:pPr>
      <w:r>
        <w:rPr>
          <w:rFonts w:hint="eastAsia" w:ascii="仿宋_GB2312" w:hAnsi="Times New Roman" w:eastAsia="仿宋_GB2312" w:cs="仿宋_GB2312"/>
          <w:b w:val="0"/>
          <w:kern w:val="0"/>
          <w:sz w:val="32"/>
          <w:szCs w:val="32"/>
        </w:rPr>
        <w:t>六是始终坚持主动接受监督，不断加强和改进法院工作。</w:t>
      </w:r>
    </w:p>
    <w:p>
      <w:pPr>
        <w:autoSpaceDE w:val="0"/>
        <w:autoSpaceDN w:val="0"/>
        <w:adjustRightInd w:val="0"/>
        <w:ind w:firstLine="643" w:firstLineChars="200"/>
        <w:jc w:val="left"/>
        <w:rPr>
          <w:rFonts w:hint="eastAsia" w:ascii="仿宋_GB2312" w:eastAsia="仿宋_GB2312" w:cs="仿宋_GB2312"/>
          <w:b/>
          <w:bCs/>
          <w:kern w:val="0"/>
          <w:sz w:val="32"/>
          <w:szCs w:val="32"/>
          <w:lang w:val="en-US" w:eastAsia="zh-CN"/>
        </w:rPr>
      </w:pPr>
      <w:r>
        <w:rPr>
          <w:rFonts w:hint="eastAsia" w:ascii="仿宋_GB2312" w:eastAsia="仿宋_GB2312" w:cs="仿宋_GB2312"/>
          <w:b/>
          <w:bCs/>
          <w:kern w:val="0"/>
          <w:sz w:val="32"/>
          <w:szCs w:val="32"/>
          <w:lang w:val="en-US" w:eastAsia="zh-CN"/>
        </w:rPr>
        <w:t>二、单位机构设置情况</w:t>
      </w:r>
    </w:p>
    <w:p>
      <w:pPr>
        <w:autoSpaceDE w:val="0"/>
        <w:autoSpaceDN w:val="0"/>
        <w:adjustRightInd w:val="0"/>
        <w:snapToGrid/>
        <w:spacing w:line="240" w:lineRule="auto"/>
        <w:ind w:right="0" w:rightChars="0"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eastAsia="zh-CN"/>
        </w:rPr>
        <w:t>我院为广西法院检察院财物统一管理改革试点单位，从</w:t>
      </w:r>
      <w:r>
        <w:rPr>
          <w:rFonts w:hint="eastAsia" w:ascii="仿宋_GB2312" w:hAnsi="Times New Roman" w:eastAsia="仿宋_GB2312" w:cs="仿宋_GB2312"/>
          <w:kern w:val="0"/>
          <w:sz w:val="32"/>
          <w:szCs w:val="32"/>
          <w:lang w:val="en-US" w:eastAsia="zh-CN"/>
        </w:rPr>
        <w:t>2020年起我</w:t>
      </w:r>
      <w:r>
        <w:rPr>
          <w:rFonts w:hint="eastAsia" w:ascii="仿宋_GB2312" w:hAnsi="Times New Roman" w:eastAsia="仿宋_GB2312" w:cs="仿宋_GB2312"/>
          <w:kern w:val="0"/>
          <w:sz w:val="32"/>
          <w:szCs w:val="32"/>
        </w:rPr>
        <w:t>院作为市中级</w:t>
      </w:r>
      <w:r>
        <w:rPr>
          <w:rFonts w:hint="eastAsia" w:ascii="仿宋_GB2312" w:eastAsia="仿宋_GB2312" w:cs="仿宋_GB2312"/>
          <w:kern w:val="0"/>
          <w:sz w:val="32"/>
          <w:szCs w:val="32"/>
          <w:lang w:val="en-US" w:eastAsia="zh-CN"/>
        </w:rPr>
        <w:t>人民</w:t>
      </w:r>
      <w:r>
        <w:rPr>
          <w:rFonts w:hint="eastAsia" w:ascii="仿宋_GB2312" w:hAnsi="Times New Roman" w:eastAsia="仿宋_GB2312" w:cs="仿宋_GB2312"/>
          <w:kern w:val="0"/>
          <w:sz w:val="32"/>
          <w:szCs w:val="32"/>
        </w:rPr>
        <w:t>法院二级预算单位</w:t>
      </w:r>
      <w:r>
        <w:rPr>
          <w:rFonts w:hint="eastAsia" w:ascii="仿宋_GB2312" w:hAnsi="Times New Roman" w:eastAsia="仿宋_GB2312" w:cs="仿宋_GB2312"/>
          <w:kern w:val="0"/>
          <w:sz w:val="32"/>
          <w:szCs w:val="32"/>
          <w:lang w:eastAsia="zh-CN"/>
        </w:rPr>
        <w:t>进行管理，此次</w:t>
      </w:r>
      <w:r>
        <w:rPr>
          <w:rFonts w:hint="eastAsia" w:ascii="仿宋_GB2312" w:eastAsia="仿宋_GB2312" w:cs="仿宋_GB2312"/>
          <w:kern w:val="0"/>
          <w:sz w:val="32"/>
          <w:szCs w:val="32"/>
        </w:rPr>
        <w:t>决算为单位本级决算。</w:t>
      </w:r>
      <w:r>
        <w:rPr>
          <w:rFonts w:hint="eastAsia" w:ascii="仿宋_GB2312" w:eastAsia="仿宋_GB2312" w:cs="仿宋_GB2312"/>
          <w:kern w:val="0"/>
          <w:sz w:val="32"/>
          <w:szCs w:val="32"/>
          <w:highlight w:val="none"/>
        </w:rPr>
        <w:t>单位现设</w:t>
      </w:r>
      <w:r>
        <w:rPr>
          <w:rFonts w:hint="eastAsia" w:ascii="仿宋_GB2312" w:eastAsia="仿宋_GB2312" w:cs="仿宋_GB2312"/>
          <w:kern w:val="0"/>
          <w:sz w:val="32"/>
          <w:szCs w:val="32"/>
          <w:highlight w:val="none"/>
          <w:lang w:val="en-US" w:eastAsia="zh-CN"/>
        </w:rPr>
        <w:t>10</w:t>
      </w:r>
      <w:r>
        <w:rPr>
          <w:rFonts w:hint="eastAsia" w:ascii="仿宋_GB2312" w:eastAsia="仿宋_GB2312" w:cs="仿宋_GB2312"/>
          <w:kern w:val="0"/>
          <w:sz w:val="32"/>
          <w:szCs w:val="32"/>
          <w:highlight w:val="none"/>
        </w:rPr>
        <w:t>个科室，</w:t>
      </w:r>
      <w:r>
        <w:rPr>
          <w:rFonts w:hint="eastAsia" w:ascii="仿宋_GB2312" w:eastAsia="仿宋_GB2312" w:cs="仿宋_GB2312"/>
          <w:kern w:val="0"/>
          <w:sz w:val="32"/>
          <w:szCs w:val="32"/>
        </w:rPr>
        <w:t>分别为：</w:t>
      </w:r>
      <w:r>
        <w:rPr>
          <w:rFonts w:hint="eastAsia" w:ascii="仿宋_GB2312" w:eastAsia="仿宋_GB2312" w:cs="仿宋_GB2312"/>
          <w:kern w:val="0"/>
          <w:sz w:val="32"/>
          <w:szCs w:val="32"/>
          <w:lang w:val="en-US" w:eastAsia="zh-CN"/>
        </w:rPr>
        <w:t>政治部、综合办公室、法警队、审管办、立案庭、民一庭、民二庭、综合审判庭、刑庭、执行局、三都法庭、百朋法庭、穿山法</w:t>
      </w:r>
      <w:bookmarkStart w:id="0" w:name="_GoBack"/>
      <w:bookmarkEnd w:id="0"/>
      <w:r>
        <w:rPr>
          <w:rFonts w:hint="eastAsia" w:ascii="仿宋_GB2312" w:eastAsia="仿宋_GB2312" w:cs="仿宋_GB2312"/>
          <w:kern w:val="0"/>
          <w:sz w:val="32"/>
          <w:szCs w:val="32"/>
          <w:lang w:val="en-US" w:eastAsia="zh-CN"/>
        </w:rPr>
        <w:t>庭</w:t>
      </w:r>
      <w:r>
        <w:rPr>
          <w:rFonts w:hint="eastAsia" w:ascii="仿宋_GB2312" w:eastAsia="仿宋_GB2312" w:cs="仿宋_GB2312"/>
          <w:kern w:val="0"/>
          <w:sz w:val="32"/>
          <w:szCs w:val="32"/>
        </w:rPr>
        <w:t>。</w:t>
      </w:r>
    </w:p>
    <w:p>
      <w:pPr>
        <w:keepNext w:val="0"/>
        <w:keepLines w:val="0"/>
        <w:pageBreakBefore w:val="0"/>
        <w:widowControl/>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rPr>
        <w:t>本单位20</w:t>
      </w:r>
      <w:r>
        <w:rPr>
          <w:rFonts w:hint="eastAsia" w:ascii="仿宋_GB2312" w:hAnsi="Times New Roman" w:eastAsia="仿宋_GB2312" w:cs="仿宋_GB2312"/>
          <w:kern w:val="0"/>
          <w:sz w:val="32"/>
          <w:szCs w:val="32"/>
          <w:lang w:val="en-US" w:eastAsia="zh-CN"/>
        </w:rPr>
        <w:t>21</w:t>
      </w:r>
      <w:r>
        <w:rPr>
          <w:rFonts w:hint="eastAsia" w:ascii="仿宋_GB2312" w:hAnsi="Times New Roman" w:eastAsia="仿宋_GB2312" w:cs="仿宋_GB2312"/>
          <w:kern w:val="0"/>
          <w:sz w:val="32"/>
          <w:szCs w:val="32"/>
        </w:rPr>
        <w:t>年</w:t>
      </w:r>
      <w:r>
        <w:rPr>
          <w:rFonts w:hint="eastAsia" w:ascii="仿宋_GB2312" w:hAnsi="Times New Roman" w:eastAsia="仿宋_GB2312" w:cs="仿宋_GB2312"/>
          <w:kern w:val="0"/>
          <w:sz w:val="32"/>
          <w:szCs w:val="32"/>
          <w:highlight w:val="none"/>
        </w:rPr>
        <w:t>年末编制人数为</w:t>
      </w:r>
      <w:r>
        <w:rPr>
          <w:rFonts w:hint="eastAsia" w:ascii="仿宋_GB2312" w:hAnsi="Times New Roman" w:eastAsia="仿宋_GB2312" w:cs="仿宋_GB2312"/>
          <w:kern w:val="0"/>
          <w:sz w:val="32"/>
          <w:szCs w:val="32"/>
          <w:highlight w:val="none"/>
          <w:lang w:val="en-US" w:eastAsia="zh-CN"/>
        </w:rPr>
        <w:t>119</w:t>
      </w:r>
      <w:r>
        <w:rPr>
          <w:rFonts w:hint="eastAsia" w:ascii="仿宋_GB2312" w:hAnsi="Times New Roman" w:eastAsia="仿宋_GB2312" w:cs="仿宋_GB2312"/>
          <w:kern w:val="0"/>
          <w:sz w:val="32"/>
          <w:szCs w:val="32"/>
          <w:highlight w:val="none"/>
        </w:rPr>
        <w:t>人，其</w:t>
      </w:r>
      <w:r>
        <w:rPr>
          <w:rFonts w:hint="eastAsia" w:ascii="仿宋_GB2312" w:hAnsi="Times New Roman" w:eastAsia="仿宋_GB2312" w:cs="仿宋_GB2312"/>
          <w:kern w:val="0"/>
          <w:sz w:val="32"/>
          <w:szCs w:val="32"/>
        </w:rPr>
        <w:t>中行政人员编制数为</w:t>
      </w:r>
      <w:r>
        <w:rPr>
          <w:rFonts w:hint="eastAsia" w:ascii="仿宋_GB2312" w:hAnsi="Times New Roman" w:eastAsia="仿宋_GB2312" w:cs="仿宋_GB2312"/>
          <w:kern w:val="0"/>
          <w:sz w:val="32"/>
          <w:szCs w:val="32"/>
          <w:lang w:val="en-US" w:eastAsia="zh-CN"/>
        </w:rPr>
        <w:t>116</w:t>
      </w:r>
      <w:r>
        <w:rPr>
          <w:rFonts w:hint="eastAsia" w:ascii="仿宋_GB2312" w:hAnsi="Times New Roman" w:eastAsia="仿宋_GB2312" w:cs="仿宋_GB2312"/>
          <w:kern w:val="0"/>
          <w:sz w:val="32"/>
          <w:szCs w:val="32"/>
        </w:rPr>
        <w:t>人，</w:t>
      </w:r>
      <w:r>
        <w:rPr>
          <w:rFonts w:hint="eastAsia" w:ascii="仿宋_GB2312" w:hAnsi="Times New Roman" w:eastAsia="仿宋_GB2312" w:cs="仿宋_GB2312"/>
          <w:kern w:val="0"/>
          <w:sz w:val="32"/>
          <w:szCs w:val="32"/>
          <w:lang w:val="en-US" w:eastAsia="zh-CN"/>
        </w:rPr>
        <w:t>行政工勤</w:t>
      </w:r>
      <w:r>
        <w:rPr>
          <w:rFonts w:hint="eastAsia" w:ascii="仿宋_GB2312" w:hAnsi="Times New Roman" w:eastAsia="仿宋_GB2312" w:cs="仿宋_GB2312"/>
          <w:kern w:val="0"/>
          <w:sz w:val="32"/>
          <w:szCs w:val="32"/>
        </w:rPr>
        <w:t>编制数为</w:t>
      </w:r>
      <w:r>
        <w:rPr>
          <w:rFonts w:hint="eastAsia" w:ascii="仿宋_GB2312" w:hAnsi="Times New Roman" w:eastAsia="仿宋_GB2312" w:cs="仿宋_GB2312"/>
          <w:kern w:val="0"/>
          <w:sz w:val="32"/>
          <w:szCs w:val="32"/>
          <w:lang w:val="en-US" w:eastAsia="zh-CN"/>
        </w:rPr>
        <w:t>3</w:t>
      </w:r>
      <w:r>
        <w:rPr>
          <w:rFonts w:hint="eastAsia" w:ascii="仿宋_GB2312" w:hAnsi="Times New Roman" w:eastAsia="仿宋_GB2312" w:cs="仿宋_GB2312"/>
          <w:kern w:val="0"/>
          <w:sz w:val="32"/>
          <w:szCs w:val="32"/>
        </w:rPr>
        <w:t>人。20</w:t>
      </w:r>
      <w:r>
        <w:rPr>
          <w:rFonts w:hint="eastAsia" w:ascii="仿宋_GB2312" w:hAnsi="Times New Roman" w:eastAsia="仿宋_GB2312" w:cs="仿宋_GB2312"/>
          <w:kern w:val="0"/>
          <w:sz w:val="32"/>
          <w:szCs w:val="32"/>
          <w:lang w:val="en-US" w:eastAsia="zh-CN"/>
        </w:rPr>
        <w:t>21</w:t>
      </w:r>
      <w:r>
        <w:rPr>
          <w:rFonts w:hint="eastAsia" w:ascii="仿宋_GB2312" w:hAnsi="Times New Roman" w:eastAsia="仿宋_GB2312" w:cs="仿宋_GB2312"/>
          <w:kern w:val="0"/>
          <w:sz w:val="32"/>
          <w:szCs w:val="32"/>
        </w:rPr>
        <w:t>年年末实有人数</w:t>
      </w:r>
      <w:r>
        <w:rPr>
          <w:rFonts w:hint="eastAsia" w:ascii="仿宋_GB2312" w:hAnsi="Times New Roman" w:eastAsia="仿宋_GB2312" w:cs="仿宋_GB2312"/>
          <w:kern w:val="0"/>
          <w:sz w:val="32"/>
          <w:szCs w:val="32"/>
          <w:lang w:val="en-US" w:eastAsia="zh-CN"/>
        </w:rPr>
        <w:t>111</w:t>
      </w:r>
      <w:r>
        <w:rPr>
          <w:rFonts w:hint="eastAsia" w:ascii="仿宋_GB2312" w:hAnsi="Times New Roman" w:eastAsia="仿宋_GB2312" w:cs="仿宋_GB2312"/>
          <w:kern w:val="0"/>
          <w:sz w:val="32"/>
          <w:szCs w:val="32"/>
        </w:rPr>
        <w:t>人，其中在职人员</w:t>
      </w:r>
      <w:r>
        <w:rPr>
          <w:rFonts w:hint="eastAsia" w:ascii="仿宋_GB2312" w:hAnsi="Times New Roman" w:eastAsia="仿宋_GB2312" w:cs="仿宋_GB2312"/>
          <w:kern w:val="0"/>
          <w:sz w:val="32"/>
          <w:szCs w:val="32"/>
          <w:lang w:val="en-US" w:eastAsia="zh-CN"/>
        </w:rPr>
        <w:t>111</w:t>
      </w:r>
      <w:r>
        <w:rPr>
          <w:rFonts w:hint="eastAsia" w:ascii="仿宋_GB2312" w:hAnsi="Times New Roman" w:eastAsia="仿宋_GB2312" w:cs="仿宋_GB2312"/>
          <w:kern w:val="0"/>
          <w:sz w:val="32"/>
          <w:szCs w:val="32"/>
        </w:rPr>
        <w:t>人，离休人员</w:t>
      </w:r>
      <w:r>
        <w:rPr>
          <w:rFonts w:hint="eastAsia" w:ascii="仿宋_GB2312" w:hAnsi="Times New Roman" w:eastAsia="仿宋_GB2312" w:cs="仿宋_GB2312"/>
          <w:kern w:val="0"/>
          <w:sz w:val="32"/>
          <w:szCs w:val="32"/>
          <w:lang w:val="en-US" w:eastAsia="zh-CN"/>
        </w:rPr>
        <w:t>47</w:t>
      </w:r>
      <w:r>
        <w:rPr>
          <w:rFonts w:hint="eastAsia" w:ascii="仿宋_GB2312" w:hAnsi="Times New Roman" w:eastAsia="仿宋_GB2312" w:cs="仿宋_GB2312"/>
          <w:kern w:val="0"/>
          <w:sz w:val="32"/>
          <w:szCs w:val="32"/>
        </w:rPr>
        <w:t>人</w:t>
      </w:r>
    </w:p>
    <w:p>
      <w:pPr>
        <w:autoSpaceDE w:val="0"/>
        <w:autoSpaceDN w:val="0"/>
        <w:adjustRightInd w:val="0"/>
        <w:ind w:firstLine="0" w:firstLineChars="0"/>
        <w:jc w:val="left"/>
        <w:rPr>
          <w:rFonts w:hint="eastAsia" w:ascii="仿宋_GB2312" w:eastAsia="仿宋_GB2312" w:cs="仿宋_GB2312"/>
          <w:kern w:val="0"/>
          <w:sz w:val="32"/>
          <w:szCs w:val="32"/>
        </w:rPr>
      </w:pPr>
    </w:p>
    <w:p>
      <w:pPr>
        <w:autoSpaceDE w:val="0"/>
        <w:autoSpaceDN w:val="0"/>
        <w:adjustRightInd w:val="0"/>
        <w:ind w:firstLine="964" w:firstLineChars="300"/>
        <w:jc w:val="left"/>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第二部分：</w:t>
      </w:r>
      <w:r>
        <w:rPr>
          <w:rFonts w:hint="eastAsia" w:ascii="仿宋_GB2312" w:eastAsia="仿宋_GB2312" w:cs="仿宋_GB2312"/>
          <w:b/>
          <w:bCs/>
          <w:kern w:val="0"/>
          <w:sz w:val="32"/>
          <w:szCs w:val="32"/>
          <w:lang w:val="en-US" w:eastAsia="zh-CN"/>
        </w:rPr>
        <w:t>柳州市</w:t>
      </w:r>
      <w:r>
        <w:rPr>
          <w:rFonts w:hint="eastAsia" w:ascii="仿宋_GB2312" w:hAnsi="Times New Roman" w:eastAsia="仿宋_GB2312" w:cs="仿宋_GB2312"/>
          <w:b/>
          <w:bCs/>
          <w:color w:val="000000"/>
          <w:kern w:val="0"/>
          <w:sz w:val="32"/>
          <w:szCs w:val="32"/>
          <w:u w:val="none"/>
          <w:lang w:val="en-US" w:eastAsia="zh-CN"/>
        </w:rPr>
        <w:t>柳江区人民法院</w:t>
      </w:r>
      <w:r>
        <w:rPr>
          <w:rFonts w:hint="eastAsia" w:ascii="仿宋_GB2312" w:eastAsia="仿宋_GB2312" w:cs="仿宋_GB2312"/>
          <w:b/>
          <w:bCs/>
          <w:kern w:val="0"/>
          <w:sz w:val="32"/>
          <w:szCs w:val="32"/>
        </w:rPr>
        <w:t xml:space="preserve"> </w:t>
      </w:r>
      <w:r>
        <w:rPr>
          <w:rFonts w:hint="eastAsia" w:ascii="仿宋_GB2312" w:eastAsia="仿宋_GB2312" w:cs="仿宋_GB2312"/>
          <w:b/>
          <w:bCs/>
          <w:kern w:val="0"/>
          <w:sz w:val="32"/>
          <w:szCs w:val="32"/>
          <w:lang w:eastAsia="zh-CN"/>
        </w:rPr>
        <w:t>2021</w:t>
      </w:r>
      <w:r>
        <w:rPr>
          <w:rFonts w:hint="eastAsia" w:ascii="仿宋_GB2312" w:eastAsia="仿宋_GB2312" w:cs="仿宋_GB2312"/>
          <w:b/>
          <w:bCs/>
          <w:kern w:val="0"/>
          <w:sz w:val="32"/>
          <w:szCs w:val="32"/>
        </w:rPr>
        <w:t>年部门决算报表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645" w:right="0" w:firstLine="640" w:firstLineChars="2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表一：收入支出决算总表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645" w:right="0" w:firstLine="640" w:firstLineChars="2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表二：收入决算表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645" w:right="0" w:firstLine="640" w:firstLineChars="2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表三：支出决算表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645" w:right="0" w:firstLine="640" w:firstLineChars="2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表四：财政拨款收入支出决算总表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645" w:right="0" w:firstLine="640" w:firstLineChars="2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表五：一般公共预算财政拨款支出决算表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645" w:right="0" w:firstLine="640" w:firstLineChars="2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表六：一般公共预算财政拨款基本支出决算表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645" w:right="0" w:firstLine="640" w:firstLineChars="2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表七：一般公共预算财政拨款“三公”经费支出决算表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645" w:right="0" w:firstLine="640" w:firstLineChars="2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表八：政府性基金预算财政拨款收入支出决算表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0" w:right="0" w:firstLine="1280" w:firstLineChars="4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表九：国有资本经营预算财政拨款支出决算表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adjustRightInd w:val="0"/>
        <w:spacing w:before="0" w:beforeAutospacing="0" w:after="0" w:afterAutospacing="0"/>
        <w:ind w:left="0" w:right="0" w:firstLine="640" w:firstLineChars="200"/>
        <w:rPr>
          <w:rFonts w:hint="eastAsia" w:ascii="仿宋_GB2312" w:hAnsi="Times New Roman" w:eastAsia="仿宋_GB2312" w:cs="仿宋_GB2312"/>
          <w:i w:val="0"/>
          <w:iCs w:val="0"/>
          <w:caps w:val="0"/>
          <w:color w:val="000000"/>
          <w:spacing w:val="0"/>
          <w:kern w:val="0"/>
          <w:sz w:val="32"/>
          <w:szCs w:val="32"/>
        </w:rPr>
      </w:pPr>
      <w:r>
        <w:rPr>
          <w:rFonts w:hint="eastAsia" w:ascii="仿宋_GB2312" w:hAnsi="Times New Roman" w:eastAsia="仿宋_GB2312" w:cs="仿宋_GB2312"/>
          <w:i w:val="0"/>
          <w:iCs w:val="0"/>
          <w:caps w:val="0"/>
          <w:color w:val="000000"/>
          <w:spacing w:val="0"/>
          <w:kern w:val="0"/>
          <w:sz w:val="32"/>
          <w:szCs w:val="32"/>
          <w:shd w:val="clear" w:fill="FFFFFF"/>
        </w:rPr>
        <w:t>(此部分另附表格，详见附件：柳州市</w:t>
      </w:r>
      <w:r>
        <w:rPr>
          <w:rFonts w:hint="eastAsia" w:ascii="仿宋_GB2312" w:hAnsi="Times New Roman" w:eastAsia="仿宋_GB2312" w:cs="仿宋_GB2312"/>
          <w:i w:val="0"/>
          <w:iCs w:val="0"/>
          <w:caps w:val="0"/>
          <w:color w:val="000000"/>
          <w:spacing w:val="0"/>
          <w:kern w:val="0"/>
          <w:sz w:val="32"/>
          <w:szCs w:val="32"/>
          <w:shd w:val="clear" w:fill="FFFFFF"/>
          <w:lang w:val="en-US" w:eastAsia="zh-CN"/>
        </w:rPr>
        <w:t>柳江区</w:t>
      </w:r>
      <w:r>
        <w:rPr>
          <w:rFonts w:hint="eastAsia" w:ascii="仿宋_GB2312" w:hAnsi="Times New Roman" w:eastAsia="仿宋_GB2312" w:cs="仿宋_GB2312"/>
          <w:i w:val="0"/>
          <w:iCs w:val="0"/>
          <w:caps w:val="0"/>
          <w:color w:val="000000"/>
          <w:spacing w:val="0"/>
          <w:kern w:val="0"/>
          <w:sz w:val="32"/>
          <w:szCs w:val="32"/>
          <w:shd w:val="clear" w:fill="FFFFFF"/>
        </w:rPr>
        <w:t>人民法院2021年度部门决算公开表)</w:t>
      </w:r>
    </w:p>
    <w:p>
      <w:pPr>
        <w:jc w:val="right"/>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sz w:val="22"/>
          <w:szCs w:val="22"/>
        </w:rPr>
        <w:t xml:space="preserve">                  </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w:t>
      </w:r>
      <w:r>
        <w:rPr>
          <w:rFonts w:hint="eastAsia" w:ascii="仿宋_GB2312" w:hAnsi="黑体" w:eastAsia="仿宋_GB2312"/>
          <w:b/>
          <w:bCs/>
          <w:color w:val="000000"/>
          <w:sz w:val="32"/>
          <w:szCs w:val="32"/>
          <w:u w:val="none"/>
          <w:lang w:val="en-US" w:eastAsia="zh-CN"/>
        </w:rPr>
        <w:t>柳江区人民法院</w:t>
      </w:r>
      <w:r>
        <w:rPr>
          <w:rFonts w:hint="eastAsia" w:ascii="仿宋_GB2312" w:hAnsi="黑体" w:eastAsia="仿宋_GB2312"/>
          <w:b/>
          <w:bCs/>
          <w:color w:val="000000"/>
          <w:sz w:val="32"/>
          <w:szCs w:val="32"/>
          <w:u w:val="none"/>
        </w:rPr>
        <w:t xml:space="preserve"> </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5270.96</w:t>
      </w:r>
      <w:r>
        <w:rPr>
          <w:rFonts w:hint="eastAsia" w:ascii="仿宋_GB2312" w:eastAsia="仿宋_GB2312" w:cs="仿宋_GB2312"/>
          <w:kern w:val="0"/>
          <w:sz w:val="32"/>
          <w:szCs w:val="32"/>
        </w:rPr>
        <w:t xml:space="preserve">万元，其中本年收入4876.56万元,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 xml:space="preserve">年度决算数减少 </w:t>
      </w:r>
      <w:r>
        <w:rPr>
          <w:rFonts w:hint="eastAsia" w:ascii="仿宋_GB2312" w:hAnsi="黑体" w:eastAsia="仿宋_GB2312" w:cs="仿宋_GB2312"/>
          <w:kern w:val="0"/>
          <w:sz w:val="32"/>
          <w:szCs w:val="32"/>
          <w:lang w:val="en-US" w:eastAsia="zh-CN"/>
        </w:rPr>
        <w:t>675.95</w:t>
      </w:r>
      <w:r>
        <w:rPr>
          <w:rFonts w:hint="eastAsia" w:ascii="仿宋_GB2312" w:hAnsi="黑体" w:eastAsia="仿宋_GB2312" w:cs="仿宋_GB2312"/>
          <w:kern w:val="0"/>
          <w:sz w:val="32"/>
          <w:szCs w:val="32"/>
        </w:rPr>
        <w:t xml:space="preserve"> 万元，下降</w:t>
      </w:r>
      <w:r>
        <w:rPr>
          <w:rFonts w:hint="eastAsia" w:ascii="仿宋_GB2312" w:hAnsi="黑体" w:eastAsia="仿宋_GB2312" w:cs="仿宋_GB2312"/>
          <w:kern w:val="0"/>
          <w:sz w:val="32"/>
          <w:szCs w:val="32"/>
          <w:lang w:val="en-US" w:eastAsia="zh-CN"/>
        </w:rPr>
        <w:t>11.37</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.一般公共预算财政拨款收入3748.68万元，为财政当年拨付的资金。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372.95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11.05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一、人员工资变动，相应的人员经费增加；二、新增了职工福利费。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i w:val="0"/>
          <w:iCs w:val="0"/>
          <w:caps w:val="0"/>
          <w:color w:val="000000"/>
          <w:spacing w:val="0"/>
          <w:kern w:val="0"/>
          <w:sz w:val="32"/>
          <w:szCs w:val="32"/>
          <w:shd w:val="clear" w:fill="auto"/>
        </w:rPr>
        <w:t>2021年度无此项收入。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Times New Roman" w:eastAsia="仿宋_GB2312" w:cs="仿宋_GB2312"/>
          <w:i w:val="0"/>
          <w:iCs w:val="0"/>
          <w:caps w:val="0"/>
          <w:spacing w:val="0"/>
          <w:kern w:val="0"/>
          <w:sz w:val="32"/>
          <w:szCs w:val="32"/>
          <w:shd w:val="clear"/>
        </w:rPr>
        <w:t>2021年度无此项收入。</w:t>
      </w:r>
    </w:p>
    <w:p>
      <w:pPr>
        <w:autoSpaceDE w:val="0"/>
        <w:autoSpaceDN w:val="0"/>
        <w:adjustRightInd w:val="0"/>
        <w:spacing w:line="560" w:lineRule="exact"/>
        <w:ind w:firstLine="627" w:firstLineChars="196"/>
        <w:jc w:val="left"/>
        <w:rPr>
          <w:rFonts w:hint="eastAsia" w:ascii="仿宋_GB2312" w:hAnsi="Times New Roman" w:eastAsia="仿宋_GB2312" w:cs="仿宋_GB2312"/>
          <w:i w:val="0"/>
          <w:iCs w:val="0"/>
          <w:caps w:val="0"/>
          <w:spacing w:val="0"/>
          <w:kern w:val="0"/>
          <w:sz w:val="32"/>
          <w:szCs w:val="32"/>
          <w:shd w:val="clear"/>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i w:val="0"/>
          <w:iCs w:val="0"/>
          <w:caps w:val="0"/>
          <w:spacing w:val="0"/>
          <w:kern w:val="0"/>
          <w:sz w:val="32"/>
          <w:szCs w:val="32"/>
          <w:shd w:val="clear"/>
        </w:rPr>
        <w:t>2021年度无此项收入。</w:t>
      </w:r>
    </w:p>
    <w:p>
      <w:pPr>
        <w:autoSpaceDE w:val="0"/>
        <w:autoSpaceDN w:val="0"/>
        <w:adjustRightInd w:val="0"/>
        <w:spacing w:line="560" w:lineRule="exact"/>
        <w:ind w:firstLine="627" w:firstLineChars="196"/>
        <w:jc w:val="left"/>
        <w:rPr>
          <w:rFonts w:hint="eastAsia" w:ascii="仿宋_GB2312" w:eastAsia="仿宋_GB2312"/>
          <w:bCs/>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i w:val="0"/>
          <w:iCs w:val="0"/>
          <w:caps w:val="0"/>
          <w:spacing w:val="0"/>
          <w:kern w:val="0"/>
          <w:sz w:val="32"/>
          <w:szCs w:val="32"/>
          <w:shd w:val="clear"/>
        </w:rPr>
        <w:t>2021年度无此项收入。</w:t>
      </w:r>
    </w:p>
    <w:p>
      <w:pPr>
        <w:autoSpaceDE w:val="0"/>
        <w:autoSpaceDN w:val="0"/>
        <w:adjustRightInd w:val="0"/>
        <w:spacing w:line="560" w:lineRule="exact"/>
        <w:ind w:firstLine="627" w:firstLineChars="196"/>
        <w:jc w:val="left"/>
        <w:rPr>
          <w:rFonts w:hint="default" w:ascii="仿宋_GB2312" w:eastAsia="仿宋_GB2312"/>
          <w:bCs/>
          <w:kern w:val="0"/>
          <w:sz w:val="32"/>
          <w:szCs w:val="32"/>
          <w:lang w:val="en-US"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1127.88</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减少932.93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下降45.27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i w:val="0"/>
          <w:iCs w:val="0"/>
          <w:caps w:val="0"/>
          <w:spacing w:val="0"/>
          <w:kern w:val="0"/>
          <w:sz w:val="32"/>
          <w:szCs w:val="32"/>
          <w:shd w:val="clear"/>
          <w:lang w:val="en-US" w:eastAsia="zh-CN"/>
        </w:rPr>
        <w:t>本年</w:t>
      </w:r>
      <w:r>
        <w:rPr>
          <w:rFonts w:hint="eastAsia" w:ascii="仿宋_GB2312" w:hAnsi="Times New Roman" w:eastAsia="仿宋_GB2312" w:cs="仿宋_GB2312"/>
          <w:i w:val="0"/>
          <w:iCs w:val="0"/>
          <w:caps w:val="0"/>
          <w:color w:val="auto"/>
          <w:spacing w:val="0"/>
          <w:sz w:val="32"/>
          <w:szCs w:val="32"/>
          <w:shd w:val="clear" w:fill="auto"/>
        </w:rPr>
        <w:t>新业务审判楼用房项目工程拨款减少。</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Times New Roman" w:eastAsia="仿宋_GB2312" w:cs="仿宋_GB2312"/>
          <w:i w:val="0"/>
          <w:iCs w:val="0"/>
          <w:caps w:val="0"/>
          <w:spacing w:val="0"/>
          <w:kern w:val="0"/>
          <w:sz w:val="32"/>
          <w:szCs w:val="32"/>
          <w:shd w:val="clear"/>
        </w:rPr>
        <w:t>2021年度无此项收入。</w:t>
      </w:r>
    </w:p>
    <w:p>
      <w:p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510.37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115.97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22.72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以前年度预算安排</w:t>
      </w:r>
      <w:r>
        <w:rPr>
          <w:rFonts w:hint="eastAsia" w:ascii="仿宋_GB2312" w:eastAsia="仿宋_GB2312" w:cs="仿宋_GB2312"/>
          <w:kern w:val="0"/>
          <w:sz w:val="32"/>
          <w:szCs w:val="32"/>
          <w:lang w:val="en-US" w:eastAsia="zh-CN"/>
        </w:rPr>
        <w:t>在本年度实施，所以结转减少。</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5270.96</w:t>
      </w:r>
      <w:r>
        <w:rPr>
          <w:rFonts w:hint="eastAsia" w:ascii="仿宋_GB2312" w:eastAsia="仿宋_GB2312" w:cs="仿宋_GB2312"/>
          <w:kern w:val="0"/>
          <w:sz w:val="32"/>
          <w:szCs w:val="32"/>
        </w:rPr>
        <w:t xml:space="preserve">万元，其中本年支出5072.86万元,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675.95</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11.37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仿宋_GB2312" w:hAnsi="Times New Roman" w:eastAsia="仿宋_GB2312" w:cs="仿宋_GB2312"/>
          <w:i w:val="0"/>
          <w:iCs w:val="0"/>
          <w:caps w:val="0"/>
          <w:color w:val="000000"/>
          <w:spacing w:val="0"/>
          <w:sz w:val="32"/>
          <w:szCs w:val="32"/>
        </w:rPr>
      </w:pPr>
      <w:r>
        <w:rPr>
          <w:rFonts w:hint="eastAsia" w:ascii="仿宋_GB2312" w:hAnsi="Times New Roman" w:eastAsia="仿宋_GB2312" w:cs="仿宋_GB2312"/>
          <w:i w:val="0"/>
          <w:iCs w:val="0"/>
          <w:caps w:val="0"/>
          <w:color w:val="000000"/>
          <w:spacing w:val="0"/>
          <w:sz w:val="32"/>
          <w:szCs w:val="32"/>
          <w:shd w:val="clear" w:fill="auto"/>
          <w:lang w:val="en-US" w:eastAsia="zh-CN"/>
        </w:rPr>
        <w:t>1</w:t>
      </w:r>
      <w:r>
        <w:rPr>
          <w:rFonts w:hint="eastAsia" w:ascii="仿宋_GB2312" w:hAnsi="Times New Roman" w:eastAsia="仿宋_GB2312" w:cs="仿宋_GB2312"/>
          <w:i w:val="0"/>
          <w:iCs w:val="0"/>
          <w:caps w:val="0"/>
          <w:color w:val="000000"/>
          <w:spacing w:val="0"/>
          <w:sz w:val="32"/>
          <w:szCs w:val="32"/>
          <w:shd w:val="clear" w:fill="auto"/>
        </w:rPr>
        <w:t>.公共安全支出（类）</w:t>
      </w:r>
      <w:r>
        <w:rPr>
          <w:rFonts w:hint="eastAsia" w:ascii="仿宋_GB2312" w:hAnsi="Times New Roman" w:eastAsia="仿宋_GB2312" w:cs="仿宋_GB2312"/>
          <w:i w:val="0"/>
          <w:iCs w:val="0"/>
          <w:caps w:val="0"/>
          <w:spacing w:val="0"/>
          <w:sz w:val="32"/>
          <w:szCs w:val="32"/>
          <w:shd w:val="clear"/>
        </w:rPr>
        <w:t>3635.8</w:t>
      </w:r>
      <w:r>
        <w:rPr>
          <w:rFonts w:hint="eastAsia" w:ascii="仿宋_GB2312" w:hAnsi="Times New Roman" w:eastAsia="仿宋_GB2312" w:cs="仿宋_GB2312"/>
          <w:i w:val="0"/>
          <w:iCs w:val="0"/>
          <w:caps w:val="0"/>
          <w:color w:val="000000"/>
          <w:spacing w:val="0"/>
          <w:sz w:val="32"/>
          <w:szCs w:val="32"/>
          <w:shd w:val="clear" w:fill="auto"/>
        </w:rPr>
        <w:t>万元：主要用于行政运行支出、一般行政事务管理支出等。较2020年度决算数减少</w:t>
      </w:r>
      <w:r>
        <w:rPr>
          <w:rFonts w:hint="eastAsia" w:ascii="仿宋_GB2312" w:hAnsi="Times New Roman" w:eastAsia="仿宋_GB2312" w:cs="仿宋_GB2312"/>
          <w:i w:val="0"/>
          <w:iCs w:val="0"/>
          <w:caps w:val="0"/>
          <w:spacing w:val="0"/>
          <w:sz w:val="32"/>
          <w:szCs w:val="32"/>
          <w:shd w:val="clear"/>
          <w:lang w:eastAsia="zh-CN"/>
        </w:rPr>
        <w:t>2</w:t>
      </w:r>
      <w:r>
        <w:rPr>
          <w:rFonts w:hint="eastAsia" w:ascii="仿宋_GB2312" w:hAnsi="Times New Roman" w:eastAsia="仿宋_GB2312" w:cs="仿宋_GB2312"/>
          <w:i w:val="0"/>
          <w:iCs w:val="0"/>
          <w:caps w:val="0"/>
          <w:spacing w:val="0"/>
          <w:sz w:val="32"/>
          <w:szCs w:val="32"/>
          <w:shd w:val="clear"/>
          <w:lang w:val="en-US" w:eastAsia="zh-CN"/>
        </w:rPr>
        <w:t>44.53</w:t>
      </w:r>
      <w:r>
        <w:rPr>
          <w:rFonts w:hint="eastAsia" w:ascii="仿宋_GB2312" w:hAnsi="Times New Roman" w:eastAsia="仿宋_GB2312" w:cs="仿宋_GB2312"/>
          <w:i w:val="0"/>
          <w:iCs w:val="0"/>
          <w:caps w:val="0"/>
          <w:color w:val="000000"/>
          <w:spacing w:val="0"/>
          <w:sz w:val="32"/>
          <w:szCs w:val="32"/>
          <w:shd w:val="clear" w:fill="auto"/>
        </w:rPr>
        <w:t>万元，下降</w:t>
      </w:r>
      <w:r>
        <w:rPr>
          <w:rFonts w:hint="eastAsia" w:ascii="仿宋_GB2312" w:hAnsi="Times New Roman" w:eastAsia="仿宋_GB2312" w:cs="仿宋_GB2312"/>
          <w:i w:val="0"/>
          <w:iCs w:val="0"/>
          <w:caps w:val="0"/>
          <w:spacing w:val="0"/>
          <w:sz w:val="32"/>
          <w:szCs w:val="32"/>
          <w:shd w:val="clear"/>
          <w:lang w:eastAsia="zh-CN"/>
        </w:rPr>
        <w:t>6</w:t>
      </w:r>
      <w:r>
        <w:rPr>
          <w:rFonts w:hint="eastAsia" w:ascii="仿宋_GB2312" w:hAnsi="Times New Roman" w:eastAsia="仿宋_GB2312" w:cs="仿宋_GB2312"/>
          <w:i w:val="0"/>
          <w:iCs w:val="0"/>
          <w:caps w:val="0"/>
          <w:spacing w:val="0"/>
          <w:sz w:val="32"/>
          <w:szCs w:val="32"/>
          <w:shd w:val="clear"/>
          <w:lang w:val="en-US" w:eastAsia="zh-CN"/>
        </w:rPr>
        <w:t>.30</w:t>
      </w:r>
      <w:r>
        <w:rPr>
          <w:rFonts w:hint="eastAsia" w:ascii="仿宋_GB2312" w:hAnsi="Times New Roman" w:eastAsia="仿宋_GB2312" w:cs="仿宋_GB2312"/>
          <w:i w:val="0"/>
          <w:iCs w:val="0"/>
          <w:caps w:val="0"/>
          <w:color w:val="000000"/>
          <w:spacing w:val="0"/>
          <w:sz w:val="32"/>
          <w:szCs w:val="32"/>
          <w:shd w:val="clear" w:fill="auto"/>
        </w:rPr>
        <w:t>%。减少的主要原因是：财政国库指标限额影响，部分经费未能支付。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仿宋_GB2312" w:hAnsi="Times New Roman" w:eastAsia="仿宋_GB2312" w:cs="仿宋_GB2312"/>
          <w:i w:val="0"/>
          <w:iCs w:val="0"/>
          <w:caps w:val="0"/>
          <w:color w:val="FF0000"/>
          <w:spacing w:val="0"/>
          <w:sz w:val="32"/>
          <w:szCs w:val="32"/>
          <w:shd w:val="clear"/>
        </w:rPr>
      </w:pPr>
      <w:r>
        <w:rPr>
          <w:rFonts w:hint="eastAsia" w:ascii="仿宋_GB2312" w:hAnsi="Times New Roman" w:eastAsia="仿宋_GB2312" w:cs="仿宋_GB2312"/>
          <w:i w:val="0"/>
          <w:iCs w:val="0"/>
          <w:caps w:val="0"/>
          <w:color w:val="000000"/>
          <w:spacing w:val="0"/>
          <w:sz w:val="32"/>
          <w:szCs w:val="32"/>
          <w:shd w:val="clear" w:fill="auto"/>
          <w:lang w:val="en-US" w:eastAsia="zh-CN"/>
        </w:rPr>
        <w:t>2</w:t>
      </w:r>
      <w:r>
        <w:rPr>
          <w:rFonts w:hint="eastAsia" w:ascii="仿宋_GB2312" w:hAnsi="Times New Roman" w:eastAsia="仿宋_GB2312" w:cs="仿宋_GB2312"/>
          <w:i w:val="0"/>
          <w:iCs w:val="0"/>
          <w:caps w:val="0"/>
          <w:color w:val="000000"/>
          <w:spacing w:val="0"/>
          <w:sz w:val="32"/>
          <w:szCs w:val="32"/>
          <w:shd w:val="clear" w:fill="auto"/>
        </w:rPr>
        <w:t>.社会保障和就业支出（类）</w:t>
      </w:r>
      <w:r>
        <w:rPr>
          <w:rFonts w:hint="eastAsia" w:ascii="仿宋_GB2312" w:hAnsi="Times New Roman" w:eastAsia="仿宋_GB2312" w:cs="仿宋_GB2312"/>
          <w:i w:val="0"/>
          <w:iCs w:val="0"/>
          <w:caps w:val="0"/>
          <w:spacing w:val="0"/>
          <w:sz w:val="32"/>
          <w:szCs w:val="32"/>
          <w:shd w:val="clear"/>
        </w:rPr>
        <w:t>449.73</w:t>
      </w:r>
      <w:r>
        <w:rPr>
          <w:rFonts w:hint="eastAsia" w:ascii="仿宋_GB2312" w:hAnsi="Times New Roman" w:eastAsia="仿宋_GB2312" w:cs="仿宋_GB2312"/>
          <w:i w:val="0"/>
          <w:iCs w:val="0"/>
          <w:caps w:val="0"/>
          <w:color w:val="000000"/>
          <w:spacing w:val="0"/>
          <w:sz w:val="32"/>
          <w:szCs w:val="32"/>
          <w:shd w:val="clear" w:fill="auto"/>
        </w:rPr>
        <w:t>万元，主要用于行政事业单位人员养老支出、</w:t>
      </w:r>
      <w:r>
        <w:rPr>
          <w:rFonts w:hint="eastAsia" w:ascii="仿宋_GB2312" w:eastAsia="仿宋_GB2312" w:cs="仿宋_GB2312"/>
          <w:bCs/>
          <w:sz w:val="32"/>
          <w:szCs w:val="32"/>
          <w:highlight w:val="none"/>
          <w:lang w:val="en-US" w:eastAsia="zh-CN"/>
        </w:rPr>
        <w:t>机关事业单位职业年金缴费支出、</w:t>
      </w:r>
      <w:r>
        <w:rPr>
          <w:rFonts w:hint="eastAsia" w:ascii="仿宋_GB2312" w:hAnsi="Times New Roman" w:eastAsia="仿宋_GB2312" w:cs="仿宋_GB2312"/>
          <w:i w:val="0"/>
          <w:iCs w:val="0"/>
          <w:caps w:val="0"/>
          <w:color w:val="000000"/>
          <w:spacing w:val="0"/>
          <w:sz w:val="32"/>
          <w:szCs w:val="32"/>
          <w:shd w:val="clear" w:fill="auto"/>
        </w:rPr>
        <w:t>残疾人事业支出</w:t>
      </w:r>
      <w:r>
        <w:rPr>
          <w:rFonts w:hint="eastAsia" w:ascii="仿宋_GB2312" w:hAnsi="Times New Roman" w:eastAsia="仿宋_GB2312" w:cs="仿宋_GB2312"/>
          <w:i w:val="0"/>
          <w:iCs w:val="0"/>
          <w:caps w:val="0"/>
          <w:spacing w:val="0"/>
          <w:sz w:val="32"/>
          <w:szCs w:val="32"/>
          <w:shd w:val="clear"/>
          <w:lang w:eastAsia="zh-CN"/>
        </w:rPr>
        <w:t>、</w:t>
      </w:r>
      <w:r>
        <w:rPr>
          <w:rFonts w:hint="eastAsia" w:ascii="仿宋_GB2312" w:hAnsi="Times New Roman" w:eastAsia="仿宋_GB2312" w:cs="仿宋_GB2312"/>
          <w:i w:val="0"/>
          <w:iCs w:val="0"/>
          <w:caps w:val="0"/>
          <w:spacing w:val="0"/>
          <w:sz w:val="32"/>
          <w:szCs w:val="32"/>
          <w:shd w:val="clear"/>
          <w:lang w:val="en-US" w:eastAsia="zh-CN"/>
        </w:rPr>
        <w:t>抚恤金</w:t>
      </w:r>
      <w:r>
        <w:rPr>
          <w:rFonts w:hint="eastAsia" w:ascii="仿宋_GB2312" w:hAnsi="Times New Roman" w:eastAsia="仿宋_GB2312" w:cs="仿宋_GB2312"/>
          <w:i w:val="0"/>
          <w:iCs w:val="0"/>
          <w:caps w:val="0"/>
          <w:color w:val="000000"/>
          <w:spacing w:val="0"/>
          <w:sz w:val="32"/>
          <w:szCs w:val="32"/>
          <w:shd w:val="clear" w:fill="auto"/>
        </w:rPr>
        <w:t>和其他社会保障和就业支出</w:t>
      </w:r>
      <w:r>
        <w:rPr>
          <w:rFonts w:hint="eastAsia" w:ascii="仿宋_GB2312" w:hAnsi="Times New Roman" w:eastAsia="仿宋_GB2312" w:cs="仿宋_GB2312"/>
          <w:i w:val="0"/>
          <w:iCs w:val="0"/>
          <w:caps w:val="0"/>
          <w:spacing w:val="0"/>
          <w:sz w:val="32"/>
          <w:szCs w:val="32"/>
          <w:shd w:val="clear"/>
          <w:lang w:val="en-US" w:eastAsia="zh-CN"/>
        </w:rPr>
        <w:t>等支出</w:t>
      </w:r>
      <w:r>
        <w:rPr>
          <w:rFonts w:hint="eastAsia" w:ascii="仿宋_GB2312" w:hAnsi="Times New Roman" w:eastAsia="仿宋_GB2312" w:cs="仿宋_GB2312"/>
          <w:i w:val="0"/>
          <w:iCs w:val="0"/>
          <w:caps w:val="0"/>
          <w:color w:val="000000"/>
          <w:spacing w:val="0"/>
          <w:sz w:val="32"/>
          <w:szCs w:val="32"/>
          <w:shd w:val="clear" w:fill="auto"/>
        </w:rPr>
        <w:t>。较2020年度决算数增加</w:t>
      </w:r>
      <w:r>
        <w:rPr>
          <w:rFonts w:hint="eastAsia" w:ascii="仿宋_GB2312" w:hAnsi="Times New Roman" w:eastAsia="仿宋_GB2312" w:cs="仿宋_GB2312"/>
          <w:i w:val="0"/>
          <w:iCs w:val="0"/>
          <w:caps w:val="0"/>
          <w:spacing w:val="0"/>
          <w:sz w:val="32"/>
          <w:szCs w:val="32"/>
          <w:shd w:val="clear"/>
          <w:lang w:eastAsia="zh-CN"/>
        </w:rPr>
        <w:t>1</w:t>
      </w:r>
      <w:r>
        <w:rPr>
          <w:rFonts w:hint="eastAsia" w:ascii="仿宋_GB2312" w:hAnsi="Times New Roman" w:eastAsia="仿宋_GB2312" w:cs="仿宋_GB2312"/>
          <w:i w:val="0"/>
          <w:iCs w:val="0"/>
          <w:caps w:val="0"/>
          <w:spacing w:val="0"/>
          <w:sz w:val="32"/>
          <w:szCs w:val="32"/>
          <w:shd w:val="clear"/>
          <w:lang w:val="en-US" w:eastAsia="zh-CN"/>
        </w:rPr>
        <w:t>33.79</w:t>
      </w:r>
      <w:r>
        <w:rPr>
          <w:rFonts w:hint="eastAsia" w:ascii="仿宋_GB2312" w:hAnsi="Times New Roman" w:eastAsia="仿宋_GB2312" w:cs="仿宋_GB2312"/>
          <w:i w:val="0"/>
          <w:iCs w:val="0"/>
          <w:caps w:val="0"/>
          <w:color w:val="000000"/>
          <w:spacing w:val="0"/>
          <w:sz w:val="32"/>
          <w:szCs w:val="32"/>
          <w:shd w:val="clear" w:fill="auto"/>
        </w:rPr>
        <w:t>万元，增长</w:t>
      </w:r>
      <w:r>
        <w:rPr>
          <w:rFonts w:hint="eastAsia" w:ascii="仿宋_GB2312" w:hAnsi="Times New Roman" w:eastAsia="仿宋_GB2312" w:cs="仿宋_GB2312"/>
          <w:i w:val="0"/>
          <w:iCs w:val="0"/>
          <w:caps w:val="0"/>
          <w:spacing w:val="0"/>
          <w:sz w:val="32"/>
          <w:szCs w:val="32"/>
          <w:shd w:val="clear"/>
          <w:lang w:val="en-US" w:eastAsia="zh-CN"/>
        </w:rPr>
        <w:t>42.35</w:t>
      </w:r>
      <w:r>
        <w:rPr>
          <w:rFonts w:hint="eastAsia" w:ascii="仿宋_GB2312" w:hAnsi="Times New Roman" w:eastAsia="仿宋_GB2312" w:cs="仿宋_GB2312"/>
          <w:i w:val="0"/>
          <w:iCs w:val="0"/>
          <w:caps w:val="0"/>
          <w:color w:val="000000"/>
          <w:spacing w:val="0"/>
          <w:sz w:val="32"/>
          <w:szCs w:val="32"/>
          <w:shd w:val="clear" w:fill="auto"/>
        </w:rPr>
        <w:t>%。增加的主要原因是：</w:t>
      </w:r>
      <w:r>
        <w:rPr>
          <w:rFonts w:hint="eastAsia" w:ascii="仿宋_GB2312" w:hAnsi="Times New Roman" w:eastAsia="仿宋_GB2312" w:cs="仿宋_GB2312"/>
          <w:i w:val="0"/>
          <w:iCs w:val="0"/>
          <w:caps w:val="0"/>
          <w:color w:val="FF0000"/>
          <w:spacing w:val="0"/>
          <w:sz w:val="32"/>
          <w:szCs w:val="32"/>
          <w:shd w:val="clear"/>
          <w:lang w:val="en-US" w:eastAsia="zh-CN"/>
        </w:rPr>
        <w:t>一、缴纳残疾人就业保障金；二、退休人员死亡抚恤金；</w:t>
      </w:r>
      <w:r>
        <w:rPr>
          <w:rFonts w:hint="eastAsia" w:ascii="仿宋_GB2312" w:hAnsi="Times New Roman" w:eastAsia="仿宋_GB2312" w:cs="仿宋_GB2312"/>
          <w:i w:val="0"/>
          <w:iCs w:val="0"/>
          <w:caps w:val="0"/>
          <w:color w:val="auto"/>
          <w:spacing w:val="0"/>
          <w:sz w:val="32"/>
          <w:szCs w:val="32"/>
          <w:shd w:val="clear"/>
        </w:rPr>
        <w:t>在职人数较上年有所增加</w:t>
      </w:r>
      <w:r>
        <w:rPr>
          <w:rFonts w:hint="eastAsia" w:ascii="仿宋_GB2312" w:hAnsi="Times New Roman" w:eastAsia="仿宋_GB2312" w:cs="仿宋_GB2312"/>
          <w:i w:val="0"/>
          <w:iCs w:val="0"/>
          <w:caps w:val="0"/>
          <w:color w:val="auto"/>
          <w:spacing w:val="0"/>
          <w:sz w:val="32"/>
          <w:szCs w:val="32"/>
          <w:shd w:val="clear"/>
          <w:lang w:val="en-US" w:eastAsia="zh-CN"/>
        </w:rPr>
        <w:t>及工资变动，职业年金和养老保险增加。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Times New Roman" w:eastAsia="仿宋_GB2312" w:cs="仿宋_GB2312"/>
          <w:i w:val="0"/>
          <w:iCs w:val="0"/>
          <w:caps w:val="0"/>
          <w:color w:val="000000"/>
          <w:spacing w:val="0"/>
          <w:sz w:val="32"/>
          <w:szCs w:val="32"/>
        </w:rPr>
      </w:pPr>
      <w:r>
        <w:rPr>
          <w:rFonts w:hint="eastAsia" w:ascii="仿宋_GB2312" w:hAnsi="Times New Roman" w:eastAsia="仿宋_GB2312" w:cs="仿宋_GB2312"/>
          <w:i w:val="0"/>
          <w:iCs w:val="0"/>
          <w:caps w:val="0"/>
          <w:color w:val="000000"/>
          <w:spacing w:val="0"/>
          <w:sz w:val="32"/>
          <w:szCs w:val="32"/>
          <w:shd w:val="clear" w:fill="auto"/>
          <w:lang w:val="en-US" w:eastAsia="zh-CN"/>
        </w:rPr>
        <w:t>3</w:t>
      </w:r>
      <w:r>
        <w:rPr>
          <w:rFonts w:hint="eastAsia" w:ascii="仿宋_GB2312" w:hAnsi="Times New Roman" w:eastAsia="仿宋_GB2312" w:cs="仿宋_GB2312"/>
          <w:i w:val="0"/>
          <w:iCs w:val="0"/>
          <w:caps w:val="0"/>
          <w:color w:val="000000"/>
          <w:spacing w:val="0"/>
          <w:sz w:val="32"/>
          <w:szCs w:val="32"/>
          <w:shd w:val="clear" w:fill="auto"/>
        </w:rPr>
        <w:t>.卫生健康支出（类）</w:t>
      </w:r>
      <w:r>
        <w:rPr>
          <w:rFonts w:hint="eastAsia" w:ascii="仿宋_GB2312" w:hAnsi="Times New Roman" w:eastAsia="仿宋_GB2312" w:cs="仿宋_GB2312"/>
          <w:i w:val="0"/>
          <w:iCs w:val="0"/>
          <w:caps w:val="0"/>
          <w:spacing w:val="0"/>
          <w:sz w:val="32"/>
          <w:szCs w:val="32"/>
          <w:shd w:val="clear"/>
        </w:rPr>
        <w:t>164.52</w:t>
      </w:r>
      <w:r>
        <w:rPr>
          <w:rFonts w:hint="eastAsia" w:ascii="仿宋_GB2312" w:hAnsi="Times New Roman" w:eastAsia="仿宋_GB2312" w:cs="仿宋_GB2312"/>
          <w:i w:val="0"/>
          <w:iCs w:val="0"/>
          <w:caps w:val="0"/>
          <w:color w:val="000000"/>
          <w:spacing w:val="0"/>
          <w:sz w:val="32"/>
          <w:szCs w:val="32"/>
          <w:shd w:val="clear" w:fill="auto"/>
        </w:rPr>
        <w:t>万元，主要用于行政事业单位医疗支出。较2020年度决算数减少</w:t>
      </w:r>
      <w:r>
        <w:rPr>
          <w:rFonts w:hint="eastAsia" w:ascii="仿宋_GB2312" w:hAnsi="Times New Roman" w:eastAsia="仿宋_GB2312" w:cs="仿宋_GB2312"/>
          <w:i w:val="0"/>
          <w:iCs w:val="0"/>
          <w:caps w:val="0"/>
          <w:spacing w:val="0"/>
          <w:sz w:val="32"/>
          <w:szCs w:val="32"/>
          <w:shd w:val="clear"/>
          <w:lang w:eastAsia="zh-CN"/>
        </w:rPr>
        <w:t>2</w:t>
      </w:r>
      <w:r>
        <w:rPr>
          <w:rFonts w:hint="eastAsia" w:ascii="仿宋_GB2312" w:hAnsi="Times New Roman" w:eastAsia="仿宋_GB2312" w:cs="仿宋_GB2312"/>
          <w:i w:val="0"/>
          <w:iCs w:val="0"/>
          <w:caps w:val="0"/>
          <w:spacing w:val="0"/>
          <w:sz w:val="32"/>
          <w:szCs w:val="32"/>
          <w:shd w:val="clear"/>
          <w:lang w:val="en-US" w:eastAsia="zh-CN"/>
        </w:rPr>
        <w:t>3.18</w:t>
      </w:r>
      <w:r>
        <w:rPr>
          <w:rFonts w:hint="eastAsia" w:ascii="仿宋_GB2312" w:hAnsi="Times New Roman" w:eastAsia="仿宋_GB2312" w:cs="仿宋_GB2312"/>
          <w:i w:val="0"/>
          <w:iCs w:val="0"/>
          <w:caps w:val="0"/>
          <w:color w:val="000000"/>
          <w:spacing w:val="0"/>
          <w:sz w:val="32"/>
          <w:szCs w:val="32"/>
          <w:shd w:val="clear" w:fill="auto"/>
        </w:rPr>
        <w:t>万元，下降</w:t>
      </w:r>
      <w:r>
        <w:rPr>
          <w:rFonts w:hint="eastAsia" w:ascii="仿宋_GB2312" w:hAnsi="Times New Roman" w:eastAsia="仿宋_GB2312" w:cs="仿宋_GB2312"/>
          <w:i w:val="0"/>
          <w:iCs w:val="0"/>
          <w:caps w:val="0"/>
          <w:spacing w:val="0"/>
          <w:sz w:val="32"/>
          <w:szCs w:val="32"/>
          <w:shd w:val="clear"/>
          <w:lang w:eastAsia="zh-CN"/>
        </w:rPr>
        <w:t>1</w:t>
      </w:r>
      <w:r>
        <w:rPr>
          <w:rFonts w:hint="eastAsia" w:ascii="仿宋_GB2312" w:hAnsi="Times New Roman" w:eastAsia="仿宋_GB2312" w:cs="仿宋_GB2312"/>
          <w:i w:val="0"/>
          <w:iCs w:val="0"/>
          <w:caps w:val="0"/>
          <w:spacing w:val="0"/>
          <w:sz w:val="32"/>
          <w:szCs w:val="32"/>
          <w:shd w:val="clear"/>
          <w:lang w:val="en-US" w:eastAsia="zh-CN"/>
        </w:rPr>
        <w:t>2.35</w:t>
      </w:r>
      <w:r>
        <w:rPr>
          <w:rFonts w:hint="eastAsia" w:ascii="仿宋_GB2312" w:hAnsi="Times New Roman" w:eastAsia="仿宋_GB2312" w:cs="仿宋_GB2312"/>
          <w:i w:val="0"/>
          <w:iCs w:val="0"/>
          <w:caps w:val="0"/>
          <w:color w:val="000000"/>
          <w:spacing w:val="0"/>
          <w:sz w:val="32"/>
          <w:szCs w:val="32"/>
          <w:shd w:val="clear" w:fill="auto"/>
        </w:rPr>
        <w:t>%。减少的主要原因是：2021年度公务员医疗补助减少。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Times New Roman" w:eastAsia="仿宋_GB2312" w:cs="仿宋_GB2312"/>
          <w:i w:val="0"/>
          <w:iCs w:val="0"/>
          <w:caps w:val="0"/>
          <w:color w:val="000000"/>
          <w:spacing w:val="0"/>
          <w:sz w:val="32"/>
          <w:szCs w:val="32"/>
        </w:rPr>
      </w:pPr>
      <w:r>
        <w:rPr>
          <w:rFonts w:hint="eastAsia" w:ascii="仿宋_GB2312" w:hAnsi="Times New Roman" w:eastAsia="仿宋_GB2312" w:cs="仿宋_GB2312"/>
          <w:i w:val="0"/>
          <w:iCs w:val="0"/>
          <w:caps w:val="0"/>
          <w:color w:val="000000"/>
          <w:spacing w:val="0"/>
          <w:sz w:val="32"/>
          <w:szCs w:val="32"/>
          <w:shd w:val="clear" w:fill="auto"/>
          <w:lang w:val="en-US" w:eastAsia="zh-CN"/>
        </w:rPr>
        <w:t>4</w:t>
      </w:r>
      <w:r>
        <w:rPr>
          <w:rFonts w:hint="eastAsia" w:ascii="仿宋_GB2312" w:hAnsi="Times New Roman" w:eastAsia="仿宋_GB2312" w:cs="仿宋_GB2312"/>
          <w:i w:val="0"/>
          <w:iCs w:val="0"/>
          <w:caps w:val="0"/>
          <w:color w:val="000000"/>
          <w:spacing w:val="0"/>
          <w:sz w:val="32"/>
          <w:szCs w:val="32"/>
          <w:shd w:val="clear" w:fill="auto"/>
        </w:rPr>
        <w:t>.城乡社区支出（类）</w:t>
      </w:r>
      <w:r>
        <w:rPr>
          <w:rFonts w:hint="eastAsia" w:ascii="仿宋_GB2312" w:hAnsi="Times New Roman" w:eastAsia="仿宋_GB2312" w:cs="仿宋_GB2312"/>
          <w:i w:val="0"/>
          <w:iCs w:val="0"/>
          <w:caps w:val="0"/>
          <w:spacing w:val="0"/>
          <w:sz w:val="32"/>
          <w:szCs w:val="32"/>
          <w:shd w:val="clear"/>
          <w:lang w:eastAsia="zh-CN"/>
        </w:rPr>
        <w:t>6</w:t>
      </w:r>
      <w:r>
        <w:rPr>
          <w:rFonts w:hint="eastAsia" w:ascii="仿宋_GB2312" w:hAnsi="Times New Roman" w:eastAsia="仿宋_GB2312" w:cs="仿宋_GB2312"/>
          <w:i w:val="0"/>
          <w:iCs w:val="0"/>
          <w:caps w:val="0"/>
          <w:color w:val="000000"/>
          <w:spacing w:val="0"/>
          <w:sz w:val="32"/>
          <w:szCs w:val="32"/>
          <w:shd w:val="clear" w:fill="auto"/>
        </w:rPr>
        <w:t>46万元。主要用于城乡公共设施支出。较2020年度决算数减少</w:t>
      </w:r>
      <w:r>
        <w:rPr>
          <w:rFonts w:hint="eastAsia" w:ascii="仿宋_GB2312" w:hAnsi="Times New Roman" w:eastAsia="仿宋_GB2312" w:cs="仿宋_GB2312"/>
          <w:i w:val="0"/>
          <w:iCs w:val="0"/>
          <w:caps w:val="0"/>
          <w:spacing w:val="0"/>
          <w:sz w:val="32"/>
          <w:szCs w:val="32"/>
          <w:shd w:val="clear"/>
          <w:lang w:eastAsia="zh-CN"/>
        </w:rPr>
        <w:t>3</w:t>
      </w:r>
      <w:r>
        <w:rPr>
          <w:rFonts w:hint="eastAsia" w:ascii="仿宋_GB2312" w:hAnsi="Times New Roman" w:eastAsia="仿宋_GB2312" w:cs="仿宋_GB2312"/>
          <w:i w:val="0"/>
          <w:iCs w:val="0"/>
          <w:caps w:val="0"/>
          <w:spacing w:val="0"/>
          <w:sz w:val="32"/>
          <w:szCs w:val="32"/>
          <w:shd w:val="clear"/>
          <w:lang w:val="en-US" w:eastAsia="zh-CN"/>
        </w:rPr>
        <w:t>94.33</w:t>
      </w:r>
      <w:r>
        <w:rPr>
          <w:rFonts w:hint="eastAsia" w:ascii="仿宋_GB2312" w:hAnsi="Times New Roman" w:eastAsia="仿宋_GB2312" w:cs="仿宋_GB2312"/>
          <w:i w:val="0"/>
          <w:iCs w:val="0"/>
          <w:caps w:val="0"/>
          <w:color w:val="000000"/>
          <w:spacing w:val="0"/>
          <w:sz w:val="32"/>
          <w:szCs w:val="32"/>
          <w:shd w:val="clear" w:fill="auto"/>
        </w:rPr>
        <w:t>万元，下降</w:t>
      </w:r>
      <w:r>
        <w:rPr>
          <w:rFonts w:hint="eastAsia" w:ascii="仿宋_GB2312" w:hAnsi="Times New Roman" w:eastAsia="仿宋_GB2312" w:cs="仿宋_GB2312"/>
          <w:i w:val="0"/>
          <w:iCs w:val="0"/>
          <w:caps w:val="0"/>
          <w:spacing w:val="0"/>
          <w:sz w:val="32"/>
          <w:szCs w:val="32"/>
          <w:shd w:val="clear"/>
          <w:lang w:eastAsia="zh-CN"/>
        </w:rPr>
        <w:t>3</w:t>
      </w:r>
      <w:r>
        <w:rPr>
          <w:rFonts w:hint="eastAsia" w:ascii="仿宋_GB2312" w:hAnsi="Times New Roman" w:eastAsia="仿宋_GB2312" w:cs="仿宋_GB2312"/>
          <w:i w:val="0"/>
          <w:iCs w:val="0"/>
          <w:caps w:val="0"/>
          <w:spacing w:val="0"/>
          <w:sz w:val="32"/>
          <w:szCs w:val="32"/>
          <w:shd w:val="clear"/>
          <w:lang w:val="en-US" w:eastAsia="zh-CN"/>
        </w:rPr>
        <w:t>7.9</w:t>
      </w:r>
      <w:r>
        <w:rPr>
          <w:rFonts w:hint="eastAsia" w:ascii="仿宋_GB2312" w:hAnsi="Times New Roman" w:eastAsia="仿宋_GB2312" w:cs="仿宋_GB2312"/>
          <w:i w:val="0"/>
          <w:iCs w:val="0"/>
          <w:caps w:val="0"/>
          <w:color w:val="000000"/>
          <w:spacing w:val="0"/>
          <w:sz w:val="32"/>
          <w:szCs w:val="32"/>
          <w:shd w:val="clear" w:fill="auto"/>
        </w:rPr>
        <w:t>%。减少的主要原因是：新业务审判楼用房项目工程拨款减少。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Times New Roman" w:eastAsia="仿宋_GB2312" w:cs="仿宋_GB2312"/>
          <w:i w:val="0"/>
          <w:iCs w:val="0"/>
          <w:caps w:val="0"/>
          <w:color w:val="000000"/>
          <w:spacing w:val="0"/>
          <w:sz w:val="32"/>
          <w:szCs w:val="32"/>
        </w:rPr>
      </w:pPr>
      <w:r>
        <w:rPr>
          <w:rFonts w:hint="eastAsia" w:ascii="仿宋_GB2312" w:hAnsi="Times New Roman" w:eastAsia="仿宋_GB2312" w:cs="仿宋_GB2312"/>
          <w:i w:val="0"/>
          <w:iCs w:val="0"/>
          <w:caps w:val="0"/>
          <w:color w:val="000000"/>
          <w:spacing w:val="0"/>
          <w:sz w:val="32"/>
          <w:szCs w:val="32"/>
          <w:shd w:val="clear" w:fill="auto"/>
          <w:lang w:val="en-US" w:eastAsia="zh-CN"/>
        </w:rPr>
        <w:t>5</w:t>
      </w:r>
      <w:r>
        <w:rPr>
          <w:rFonts w:hint="eastAsia" w:ascii="仿宋_GB2312" w:hAnsi="Times New Roman" w:eastAsia="仿宋_GB2312" w:cs="仿宋_GB2312"/>
          <w:i w:val="0"/>
          <w:iCs w:val="0"/>
          <w:caps w:val="0"/>
          <w:color w:val="000000"/>
          <w:spacing w:val="0"/>
          <w:sz w:val="32"/>
          <w:szCs w:val="32"/>
          <w:shd w:val="clear" w:fill="auto"/>
        </w:rPr>
        <w:t>.住房保障支出（类）</w:t>
      </w:r>
      <w:r>
        <w:rPr>
          <w:rFonts w:hint="eastAsia" w:ascii="仿宋_GB2312" w:hAnsi="Times New Roman" w:eastAsia="仿宋_GB2312" w:cs="仿宋_GB2312"/>
          <w:i w:val="0"/>
          <w:iCs w:val="0"/>
          <w:caps w:val="0"/>
          <w:spacing w:val="0"/>
          <w:sz w:val="32"/>
          <w:szCs w:val="32"/>
          <w:shd w:val="clear"/>
          <w:lang w:eastAsia="zh-CN"/>
        </w:rPr>
        <w:t>1</w:t>
      </w:r>
      <w:r>
        <w:rPr>
          <w:rFonts w:hint="eastAsia" w:ascii="仿宋_GB2312" w:hAnsi="Times New Roman" w:eastAsia="仿宋_GB2312" w:cs="仿宋_GB2312"/>
          <w:i w:val="0"/>
          <w:iCs w:val="0"/>
          <w:caps w:val="0"/>
          <w:spacing w:val="0"/>
          <w:sz w:val="32"/>
          <w:szCs w:val="32"/>
          <w:shd w:val="clear"/>
          <w:lang w:val="en-US" w:eastAsia="zh-CN"/>
        </w:rPr>
        <w:t>76.82</w:t>
      </w:r>
      <w:r>
        <w:rPr>
          <w:rFonts w:hint="eastAsia" w:ascii="仿宋_GB2312" w:hAnsi="Times New Roman" w:eastAsia="仿宋_GB2312" w:cs="仿宋_GB2312"/>
          <w:i w:val="0"/>
          <w:iCs w:val="0"/>
          <w:caps w:val="0"/>
          <w:color w:val="000000"/>
          <w:spacing w:val="0"/>
          <w:sz w:val="32"/>
          <w:szCs w:val="32"/>
          <w:shd w:val="clear" w:fill="auto"/>
        </w:rPr>
        <w:t>万元，主要用于住房保障支出住房公积金。较2020年度决算数增加</w:t>
      </w:r>
      <w:r>
        <w:rPr>
          <w:rFonts w:hint="eastAsia" w:ascii="仿宋_GB2312" w:hAnsi="Times New Roman" w:eastAsia="仿宋_GB2312" w:cs="仿宋_GB2312"/>
          <w:i w:val="0"/>
          <w:iCs w:val="0"/>
          <w:caps w:val="0"/>
          <w:spacing w:val="0"/>
          <w:sz w:val="32"/>
          <w:szCs w:val="32"/>
          <w:shd w:val="clear"/>
          <w:lang w:eastAsia="zh-CN"/>
        </w:rPr>
        <w:t>4</w:t>
      </w:r>
      <w:r>
        <w:rPr>
          <w:rFonts w:hint="eastAsia" w:ascii="仿宋_GB2312" w:hAnsi="Times New Roman" w:eastAsia="仿宋_GB2312" w:cs="仿宋_GB2312"/>
          <w:i w:val="0"/>
          <w:iCs w:val="0"/>
          <w:caps w:val="0"/>
          <w:spacing w:val="0"/>
          <w:sz w:val="32"/>
          <w:szCs w:val="32"/>
          <w:shd w:val="clear"/>
          <w:lang w:val="en-US" w:eastAsia="zh-CN"/>
        </w:rPr>
        <w:t>9</w:t>
      </w:r>
      <w:r>
        <w:rPr>
          <w:rFonts w:hint="eastAsia" w:ascii="仿宋_GB2312" w:hAnsi="Times New Roman" w:eastAsia="仿宋_GB2312" w:cs="仿宋_GB2312"/>
          <w:i w:val="0"/>
          <w:iCs w:val="0"/>
          <w:caps w:val="0"/>
          <w:color w:val="000000"/>
          <w:spacing w:val="0"/>
          <w:sz w:val="32"/>
          <w:szCs w:val="32"/>
          <w:shd w:val="clear" w:fill="auto"/>
        </w:rPr>
        <w:t>万元，增长</w:t>
      </w:r>
      <w:r>
        <w:rPr>
          <w:rFonts w:hint="eastAsia" w:ascii="仿宋_GB2312" w:hAnsi="Times New Roman" w:eastAsia="仿宋_GB2312" w:cs="仿宋_GB2312"/>
          <w:i w:val="0"/>
          <w:iCs w:val="0"/>
          <w:caps w:val="0"/>
          <w:spacing w:val="0"/>
          <w:sz w:val="32"/>
          <w:szCs w:val="32"/>
          <w:shd w:val="clear"/>
          <w:lang w:eastAsia="zh-CN"/>
        </w:rPr>
        <w:t>3</w:t>
      </w:r>
      <w:r>
        <w:rPr>
          <w:rFonts w:hint="eastAsia" w:ascii="仿宋_GB2312" w:hAnsi="Times New Roman" w:eastAsia="仿宋_GB2312" w:cs="仿宋_GB2312"/>
          <w:i w:val="0"/>
          <w:iCs w:val="0"/>
          <w:caps w:val="0"/>
          <w:spacing w:val="0"/>
          <w:sz w:val="32"/>
          <w:szCs w:val="32"/>
          <w:shd w:val="clear"/>
          <w:lang w:val="en-US" w:eastAsia="zh-CN"/>
        </w:rPr>
        <w:t>8.34</w:t>
      </w:r>
      <w:r>
        <w:rPr>
          <w:rFonts w:hint="eastAsia" w:ascii="仿宋_GB2312" w:hAnsi="Times New Roman" w:eastAsia="仿宋_GB2312" w:cs="仿宋_GB2312"/>
          <w:i w:val="0"/>
          <w:iCs w:val="0"/>
          <w:caps w:val="0"/>
          <w:color w:val="000000"/>
          <w:spacing w:val="0"/>
          <w:sz w:val="32"/>
          <w:szCs w:val="32"/>
          <w:shd w:val="clear" w:fill="auto"/>
        </w:rPr>
        <w:t>%。增加主要原因是：在职人数较上年有所增加</w:t>
      </w:r>
      <w:r>
        <w:rPr>
          <w:rFonts w:hint="eastAsia" w:ascii="仿宋_GB2312" w:hAnsi="Times New Roman" w:eastAsia="仿宋_GB2312" w:cs="仿宋_GB2312"/>
          <w:i w:val="0"/>
          <w:iCs w:val="0"/>
          <w:caps w:val="0"/>
          <w:spacing w:val="0"/>
          <w:sz w:val="32"/>
          <w:szCs w:val="32"/>
          <w:shd w:val="clear"/>
          <w:lang w:val="en-US" w:eastAsia="zh-CN"/>
        </w:rPr>
        <w:t>及工资变动计提系数增加，</w:t>
      </w:r>
      <w:r>
        <w:rPr>
          <w:rFonts w:hint="eastAsia" w:ascii="仿宋_GB2312" w:hAnsi="Times New Roman" w:eastAsia="仿宋_GB2312" w:cs="仿宋_GB2312"/>
          <w:i w:val="0"/>
          <w:iCs w:val="0"/>
          <w:caps w:val="0"/>
          <w:color w:val="auto"/>
          <w:spacing w:val="0"/>
          <w:sz w:val="32"/>
          <w:szCs w:val="32"/>
          <w:shd w:val="clear" w:fill="auto"/>
          <w:lang w:val="en-US" w:eastAsia="zh-CN"/>
        </w:rPr>
        <w:t>随之</w:t>
      </w:r>
      <w:r>
        <w:rPr>
          <w:rFonts w:hint="eastAsia" w:ascii="仿宋_GB2312" w:hAnsi="Times New Roman" w:eastAsia="仿宋_GB2312" w:cs="仿宋_GB2312"/>
          <w:i w:val="0"/>
          <w:iCs w:val="0"/>
          <w:caps w:val="0"/>
          <w:color w:val="000000"/>
          <w:spacing w:val="0"/>
          <w:sz w:val="32"/>
          <w:szCs w:val="32"/>
          <w:shd w:val="clear" w:fill="auto"/>
        </w:rPr>
        <w:t>住房公积金增加。</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198.09</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196.31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49.77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以前年度预算安排</w:t>
      </w:r>
      <w:r>
        <w:rPr>
          <w:rFonts w:hint="eastAsia" w:ascii="仿宋_GB2312" w:eastAsia="仿宋_GB2312" w:cs="仿宋_GB2312"/>
          <w:kern w:val="0"/>
          <w:sz w:val="32"/>
          <w:szCs w:val="32"/>
          <w:lang w:val="en-US" w:eastAsia="zh-CN"/>
        </w:rPr>
        <w:t>在本年度实施，所以结转减少。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3758.85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127.25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3.27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2398.08</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1360.77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3172.78</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3758.85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118.47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hAnsi="Times New Roman" w:eastAsia="仿宋_GB2312" w:cs="仿宋_GB2312"/>
          <w:i w:val="0"/>
          <w:iCs w:val="0"/>
          <w:caps w:val="0"/>
          <w:spacing w:val="0"/>
          <w:sz w:val="32"/>
          <w:szCs w:val="32"/>
          <w:shd w:val="clear"/>
          <w:lang w:eastAsia="zh-CN"/>
        </w:rPr>
      </w:pP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lang w:val="en-US" w:eastAsia="zh-CN"/>
        </w:rPr>
        <w:t>一</w:t>
      </w: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（款）行政运行（项）。年初预算为</w:t>
      </w:r>
      <w:r>
        <w:rPr>
          <w:rFonts w:hint="eastAsia" w:ascii="仿宋_GB2312" w:eastAsia="仿宋_GB2312" w:cs="仿宋_GB2312"/>
          <w:bCs/>
          <w:kern w:val="0"/>
          <w:sz w:val="32"/>
          <w:szCs w:val="32"/>
          <w:lang w:val="en-US" w:eastAsia="zh-CN"/>
        </w:rPr>
        <w:t>1579.37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1764.15</w:t>
      </w:r>
      <w:r>
        <w:rPr>
          <w:rFonts w:hint="eastAsia" w:ascii="仿宋_GB2312" w:eastAsia="仿宋_GB2312" w:cs="仿宋_GB2312"/>
          <w:bCs/>
          <w:kern w:val="0"/>
          <w:sz w:val="32"/>
          <w:szCs w:val="32"/>
        </w:rPr>
        <w:t>元。</w:t>
      </w:r>
      <w:r>
        <w:rPr>
          <w:rFonts w:hint="eastAsia" w:ascii="仿宋_GB2312" w:eastAsia="仿宋_GB2312" w:cs="仿宋_GB2312"/>
          <w:bCs/>
          <w:kern w:val="0"/>
          <w:sz w:val="32"/>
          <w:szCs w:val="32"/>
          <w:lang w:val="en-US" w:eastAsia="zh-CN"/>
        </w:rPr>
        <w:t>完成年初预算的111.70%。主要用于</w:t>
      </w:r>
      <w:r>
        <w:rPr>
          <w:rFonts w:hint="eastAsia" w:ascii="仿宋_GB2312" w:hAnsi="Times New Roman" w:eastAsia="仿宋_GB2312" w:cs="仿宋_GB2312"/>
          <w:bCs/>
          <w:i w:val="0"/>
          <w:iCs w:val="0"/>
          <w:caps w:val="0"/>
          <w:color w:val="000000"/>
          <w:spacing w:val="0"/>
          <w:kern w:val="0"/>
          <w:sz w:val="32"/>
          <w:szCs w:val="32"/>
          <w:shd w:val="clear" w:fill="auto"/>
        </w:rPr>
        <w:t>日常运转而发生的人员经费支出和日常公用经费支出等。</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大于</w:t>
      </w:r>
      <w:r>
        <w:rPr>
          <w:rFonts w:hint="eastAsia" w:ascii="仿宋_GB2312" w:eastAsia="仿宋_GB2312" w:cs="仿宋_GB2312"/>
          <w:bCs/>
          <w:kern w:val="0"/>
          <w:sz w:val="32"/>
          <w:szCs w:val="32"/>
        </w:rPr>
        <w:t>预算数的主要原因是</w:t>
      </w:r>
      <w:r>
        <w:rPr>
          <w:rFonts w:hint="eastAsia" w:ascii="仿宋_GB2312" w:hAnsi="黑体" w:eastAsia="仿宋_GB2312" w:cs="仿宋_GB2312"/>
          <w:kern w:val="0"/>
          <w:sz w:val="32"/>
          <w:szCs w:val="32"/>
          <w:lang w:val="en-US" w:eastAsia="zh-CN"/>
        </w:rPr>
        <w:t>一、人员工资变动，相应的人员经费增加；二、新增了职工福利费。</w:t>
      </w:r>
    </w:p>
    <w:p>
      <w:pPr>
        <w:pStyle w:val="5"/>
        <w:widowControl/>
        <w:numPr>
          <w:ilvl w:val="-1"/>
          <w:numId w:val="0"/>
        </w:numPr>
        <w:pBdr>
          <w:top w:val="none" w:color="auto" w:sz="0" w:space="0"/>
          <w:left w:val="none" w:color="auto" w:sz="0" w:space="0"/>
          <w:bottom w:val="none" w:color="auto" w:sz="0" w:space="0"/>
          <w:right w:val="none" w:color="auto" w:sz="0" w:space="0"/>
        </w:pBdr>
        <w:shd w:val="clear" w:fill="FFFFFF"/>
        <w:autoSpaceDE w:val="0"/>
        <w:autoSpaceDN w:val="0"/>
        <w:adjustRightInd w:val="0"/>
        <w:spacing w:line="555" w:lineRule="atLeast"/>
        <w:ind w:firstLine="640" w:firstLineChars="200"/>
        <w:jc w:val="both"/>
        <w:rPr>
          <w:rFonts w:hint="default" w:ascii="仿宋_GB2312" w:eastAsia="仿宋_GB2312" w:cs="仿宋_GB2312"/>
          <w:bCs/>
          <w:kern w:val="0"/>
          <w:sz w:val="32"/>
          <w:szCs w:val="32"/>
          <w:lang w:val="en-US" w:eastAsia="zh-CN"/>
        </w:rPr>
      </w:pP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lang w:val="en-US" w:eastAsia="zh-CN"/>
        </w:rPr>
        <w:t>二</w:t>
      </w: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（款）一般行政管理事务（项）。年初预算为</w:t>
      </w:r>
      <w:r>
        <w:rPr>
          <w:rFonts w:hint="eastAsia" w:ascii="仿宋_GB2312" w:eastAsia="仿宋_GB2312" w:cs="仿宋_GB2312"/>
          <w:bCs/>
          <w:kern w:val="0"/>
          <w:sz w:val="32"/>
          <w:szCs w:val="32"/>
          <w:lang w:val="en-US" w:eastAsia="zh-CN"/>
        </w:rPr>
        <w:t>24.36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18.87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完成年初预算的77.46%。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小于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val="en-US" w:eastAsia="zh-CN"/>
        </w:rPr>
        <w:t>干警体检人数变动。</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lang w:val="en-US" w:eastAsia="zh-CN"/>
        </w:rPr>
        <w:t>三</w:t>
      </w: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案件审判</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96.35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324.23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完成年初预算的336.51%。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hAnsi="Times New Roman" w:eastAsia="仿宋_GB2312" w:cs="仿宋_GB2312"/>
          <w:bCs/>
          <w:i w:val="0"/>
          <w:iCs w:val="0"/>
          <w:caps w:val="0"/>
          <w:color w:val="000000"/>
          <w:spacing w:val="0"/>
          <w:kern w:val="0"/>
          <w:sz w:val="32"/>
          <w:szCs w:val="32"/>
          <w:shd w:val="clear" w:fill="auto"/>
        </w:rPr>
        <w:t>年中拨付政法纪检监察转移资金大要案资金等上级补助资金，未纳入年初预算</w:t>
      </w:r>
      <w:r>
        <w:rPr>
          <w:rFonts w:hint="eastAsia" w:ascii="仿宋_GB2312" w:eastAsia="仿宋_GB2312" w:cs="仿宋_GB2312"/>
          <w:bCs/>
          <w:kern w:val="0"/>
          <w:sz w:val="32"/>
          <w:szCs w:val="32"/>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仿宋_GB2312" w:hAnsi="Times New Roman" w:eastAsia="仿宋_GB2312" w:cs="仿宋_GB2312"/>
          <w:i w:val="0"/>
          <w:iCs w:val="0"/>
          <w:caps w:val="0"/>
          <w:spacing w:val="0"/>
          <w:sz w:val="32"/>
          <w:szCs w:val="32"/>
        </w:rPr>
      </w:pP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lang w:val="en-US" w:eastAsia="zh-CN"/>
        </w:rPr>
        <w:t>四</w:t>
      </w: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案件执行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26.74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16.93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完成年初预算的63.31%。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于预算数的主要原因是</w:t>
      </w:r>
      <w:r>
        <w:rPr>
          <w:rFonts w:hint="eastAsia" w:ascii="仿宋_GB2312" w:hAnsi="Times New Roman" w:eastAsia="仿宋_GB2312" w:cs="仿宋_GB2312"/>
          <w:i w:val="0"/>
          <w:iCs w:val="0"/>
          <w:caps w:val="0"/>
          <w:spacing w:val="0"/>
          <w:sz w:val="32"/>
          <w:szCs w:val="32"/>
          <w:shd w:val="clear"/>
        </w:rPr>
        <w:t>财政国库指标限额影响，部分经费未能支付。</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lang w:val="en-US" w:eastAsia="zh-CN"/>
        </w:rPr>
        <w:t>五</w:t>
      </w: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rPr>
        <w:t>公共安全支出</w:t>
      </w:r>
      <w:r>
        <w:rPr>
          <w:rFonts w:hint="eastAsia" w:ascii="仿宋_GB2312" w:eastAsia="仿宋_GB2312" w:cs="仿宋_GB2312"/>
          <w:bCs/>
          <w:kern w:val="0"/>
          <w:sz w:val="32"/>
          <w:szCs w:val="32"/>
        </w:rPr>
        <w:t>（类）</w:t>
      </w:r>
      <w:r>
        <w:rPr>
          <w:rFonts w:hint="eastAsia" w:ascii="仿宋_GB2312" w:eastAsia="仿宋_GB2312" w:cs="仿宋_GB2312"/>
          <w:bCs/>
          <w:sz w:val="32"/>
          <w:szCs w:val="32"/>
          <w:highlight w:val="none"/>
        </w:rPr>
        <w:t>法院</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其他法院支出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848.34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1000.74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完成年初预算的117.96%。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hAnsi="Times New Roman" w:eastAsia="仿宋_GB2312" w:cs="仿宋_GB2312"/>
          <w:bCs/>
          <w:i w:val="0"/>
          <w:iCs w:val="0"/>
          <w:caps w:val="0"/>
          <w:color w:val="auto"/>
          <w:spacing w:val="0"/>
          <w:kern w:val="0"/>
          <w:sz w:val="32"/>
          <w:szCs w:val="32"/>
          <w:shd w:val="clear" w:fill="auto"/>
        </w:rPr>
        <w:t>年中拨付</w:t>
      </w:r>
      <w:r>
        <w:rPr>
          <w:rFonts w:hint="eastAsia" w:ascii="仿宋_GB2312" w:eastAsia="仿宋_GB2312" w:cs="仿宋_GB2312"/>
          <w:bCs/>
          <w:i w:val="0"/>
          <w:iCs w:val="0"/>
          <w:caps w:val="0"/>
          <w:color w:val="auto"/>
          <w:spacing w:val="0"/>
          <w:kern w:val="0"/>
          <w:sz w:val="32"/>
          <w:szCs w:val="32"/>
          <w:shd w:val="clear" w:fill="auto"/>
          <w:lang w:val="en-US" w:eastAsia="zh-CN"/>
        </w:rPr>
        <w:t>地方法院统筹诉讼费</w:t>
      </w:r>
      <w:r>
        <w:rPr>
          <w:rFonts w:hint="eastAsia" w:ascii="仿宋_GB2312" w:hAnsi="Times New Roman" w:eastAsia="仿宋_GB2312" w:cs="仿宋_GB2312"/>
          <w:bCs/>
          <w:i w:val="0"/>
          <w:iCs w:val="0"/>
          <w:caps w:val="0"/>
          <w:color w:val="auto"/>
          <w:spacing w:val="0"/>
          <w:kern w:val="0"/>
          <w:sz w:val="32"/>
          <w:szCs w:val="32"/>
          <w:shd w:val="clear" w:fill="auto"/>
        </w:rPr>
        <w:t>补助资金，未纳入年初预算</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sz w:val="32"/>
          <w:szCs w:val="32"/>
          <w:highlight w:val="none"/>
          <w:lang w:val="en-US" w:eastAsia="zh-CN"/>
        </w:rPr>
        <w:t>（六）社会保障和就业支出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行政单位离退休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16.99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43.77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完成年初预算的257.62%。</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年中有退休人员死亡抚恤金。</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（七）</w:t>
      </w:r>
      <w:r>
        <w:rPr>
          <w:rFonts w:hint="eastAsia" w:ascii="仿宋_GB2312" w:eastAsia="仿宋_GB2312" w:cs="仿宋_GB2312"/>
          <w:bCs/>
          <w:sz w:val="32"/>
          <w:szCs w:val="32"/>
          <w:highlight w:val="none"/>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机关事业单位基本养老保险缴费支出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192.79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完成年初预算的103.74%。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1、</w:t>
      </w:r>
      <w:r>
        <w:rPr>
          <w:rFonts w:hint="eastAsia" w:ascii="仿宋_GB2312" w:hAnsi="黑体" w:eastAsia="仿宋_GB2312" w:cs="仿宋_GB2312"/>
          <w:kern w:val="0"/>
          <w:sz w:val="32"/>
          <w:szCs w:val="32"/>
          <w:lang w:val="en-US" w:eastAsia="zh-CN"/>
        </w:rPr>
        <w:t>人员工资变动和基数变动，相应经费增加；2、上年结转的养老保险缴费本年支出。</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sz w:val="32"/>
          <w:szCs w:val="32"/>
          <w:highlight w:val="none"/>
          <w:lang w:val="en-US" w:eastAsia="zh-CN"/>
        </w:rPr>
        <w:t>（八）社会保障和就业支出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96.4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99.73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完成年初预算的103.45%。</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1、</w:t>
      </w:r>
      <w:r>
        <w:rPr>
          <w:rFonts w:hint="eastAsia" w:ascii="仿宋_GB2312" w:hAnsi="黑体" w:eastAsia="仿宋_GB2312" w:cs="仿宋_GB2312"/>
          <w:kern w:val="0"/>
          <w:sz w:val="32"/>
          <w:szCs w:val="32"/>
          <w:lang w:val="en-US" w:eastAsia="zh-CN"/>
        </w:rPr>
        <w:t>人员工资变动和基数变动，相应经费增加；2、上年结转的职业年金缴费本年支出。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（九）</w:t>
      </w:r>
      <w:r>
        <w:rPr>
          <w:rFonts w:hint="eastAsia" w:ascii="仿宋_GB2312" w:eastAsia="仿宋_GB2312" w:cs="仿宋_GB2312"/>
          <w:bCs/>
          <w:sz w:val="32"/>
          <w:szCs w:val="32"/>
          <w:highlight w:val="none"/>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其他</w:t>
      </w:r>
      <w:r>
        <w:rPr>
          <w:rFonts w:hint="eastAsia" w:ascii="仿宋_GB2312" w:eastAsia="仿宋_GB2312" w:cs="仿宋_GB2312"/>
          <w:bCs/>
          <w:sz w:val="32"/>
          <w:szCs w:val="32"/>
          <w:highlight w:val="none"/>
          <w:lang w:val="en-US" w:eastAsia="zh-CN"/>
        </w:rPr>
        <w:t>社会保障和就业支出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2.45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1.96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完成年初预算的80%。</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工伤保险</w:t>
      </w:r>
      <w:r>
        <w:rPr>
          <w:rFonts w:hint="eastAsia" w:ascii="仿宋_GB2312" w:hAnsi="黑体" w:eastAsia="仿宋_GB2312" w:cs="仿宋_GB2312"/>
          <w:kern w:val="0"/>
          <w:sz w:val="32"/>
          <w:szCs w:val="32"/>
          <w:lang w:val="en-US" w:eastAsia="zh-CN"/>
        </w:rPr>
        <w:t>基数变动，相应经费支出变动。</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sz w:val="32"/>
          <w:szCs w:val="32"/>
          <w:highlight w:val="none"/>
          <w:lang w:val="en-US" w:eastAsia="zh-CN"/>
        </w:rPr>
        <w:t>（十）卫生健康支出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行政单位医疗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93.99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94.1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完成年初预算的100.12%。</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hAnsi="黑体" w:eastAsia="仿宋_GB2312" w:cs="仿宋_GB2312"/>
          <w:kern w:val="0"/>
          <w:sz w:val="32"/>
          <w:szCs w:val="32"/>
          <w:lang w:val="en-US" w:eastAsia="zh-CN"/>
        </w:rPr>
        <w:t>人员工资变动和基数变动，相应经费增加。</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（十一）</w:t>
      </w:r>
      <w:r>
        <w:rPr>
          <w:rFonts w:hint="eastAsia" w:ascii="仿宋_GB2312" w:eastAsia="仿宋_GB2312" w:cs="仿宋_GB2312"/>
          <w:bCs/>
          <w:sz w:val="32"/>
          <w:szCs w:val="32"/>
          <w:highlight w:val="none"/>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公务员医疗补助</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50.41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49.59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完成年初预算的98.37%。</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本年度有人员调动和人员退休使经费支出减少。</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（十二）</w:t>
      </w:r>
      <w:r>
        <w:rPr>
          <w:rFonts w:hint="eastAsia" w:ascii="仿宋_GB2312" w:eastAsia="仿宋_GB2312" w:cs="仿宋_GB2312"/>
          <w:bCs/>
          <w:sz w:val="32"/>
          <w:szCs w:val="32"/>
          <w:highlight w:val="none"/>
          <w:lang w:val="en-US"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sz w:val="32"/>
          <w:szCs w:val="32"/>
          <w:highlight w:val="none"/>
          <w:lang w:val="en-US"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144.59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144.78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完成年初预算的100.13%。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于预算数的主要原因是</w:t>
      </w:r>
      <w:r>
        <w:rPr>
          <w:rFonts w:hint="eastAsia" w:ascii="仿宋_GB2312" w:hAnsi="黑体" w:eastAsia="仿宋_GB2312" w:cs="仿宋_GB2312"/>
          <w:kern w:val="0"/>
          <w:sz w:val="32"/>
          <w:szCs w:val="32"/>
          <w:lang w:val="en-US" w:eastAsia="zh-CN"/>
        </w:rPr>
        <w:t>人员工资变动和基数变动，相应经费增加。</w:t>
      </w:r>
    </w:p>
    <w:p>
      <w:pPr>
        <w:autoSpaceDE w:val="0"/>
        <w:autoSpaceDN w:val="0"/>
        <w:adjustRightInd w:val="0"/>
        <w:spacing w:line="580" w:lineRule="exact"/>
        <w:jc w:val="left"/>
        <w:rPr>
          <w:rFonts w:hint="default" w:ascii="仿宋_GB2312" w:eastAsia="仿宋_GB2312" w:cs="仿宋_GB2312"/>
          <w:bCs/>
          <w:kern w:val="0"/>
          <w:sz w:val="32"/>
          <w:szCs w:val="32"/>
          <w:lang w:val="en-US" w:eastAsia="zh-CN"/>
        </w:rPr>
      </w:pPr>
    </w:p>
    <w:p>
      <w:pPr>
        <w:autoSpaceDE w:val="0"/>
        <w:autoSpaceDN w:val="0"/>
        <w:adjustRightInd w:val="0"/>
        <w:spacing w:line="560" w:lineRule="exact"/>
        <w:ind w:firstLine="0" w:firstLineChars="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2398.07</w:t>
      </w:r>
      <w:r>
        <w:rPr>
          <w:rFonts w:hint="eastAsia" w:ascii="仿宋_GB2312" w:eastAsia="仿宋_GB2312" w:cs="仿宋_GB2312"/>
          <w:kern w:val="0"/>
          <w:sz w:val="32"/>
          <w:szCs w:val="32"/>
        </w:rPr>
        <w:t>万元，支出具体情况如下：</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1998.34</w:t>
      </w:r>
      <w:r>
        <w:rPr>
          <w:rFonts w:hint="eastAsia" w:ascii="仿宋_GB2312" w:eastAsia="仿宋_GB2312"/>
          <w:bCs/>
          <w:kern w:val="0"/>
          <w:sz w:val="32"/>
          <w:szCs w:val="32"/>
        </w:rPr>
        <w:t xml:space="preserve">万元，完成年初预算的 </w:t>
      </w:r>
      <w:r>
        <w:rPr>
          <w:rFonts w:hint="eastAsia" w:ascii="仿宋_GB2312" w:eastAsia="仿宋_GB2312"/>
          <w:bCs/>
          <w:kern w:val="0"/>
          <w:sz w:val="32"/>
          <w:szCs w:val="32"/>
          <w:lang w:val="en-US" w:eastAsia="zh-CN"/>
        </w:rPr>
        <w:t>109.77</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预决算差异原因是</w:t>
      </w:r>
      <w:r>
        <w:rPr>
          <w:rFonts w:hint="eastAsia" w:ascii="仿宋_GB2312" w:hAnsi="黑体" w:eastAsia="仿宋_GB2312" w:cs="仿宋_GB2312"/>
          <w:kern w:val="0"/>
          <w:sz w:val="32"/>
          <w:szCs w:val="32"/>
          <w:lang w:val="en-US" w:eastAsia="zh-CN"/>
        </w:rPr>
        <w:t>人员工资变动和社保、医保等基数变动，相应经费增加。支出内容主要包括：基本工资、津贴补贴、奖金、机关事业单位养老保险缴费、职业年金缴费、</w:t>
      </w:r>
      <w:r>
        <w:rPr>
          <w:rFonts w:hint="eastAsia" w:ascii="仿宋_GB2312" w:eastAsia="仿宋_GB2312" w:cs="仿宋_GB2312"/>
          <w:bCs/>
          <w:kern w:val="0"/>
          <w:sz w:val="32"/>
          <w:szCs w:val="32"/>
          <w:lang w:val="en-US" w:eastAsia="zh-CN"/>
        </w:rPr>
        <w:t>行政事业单位医疗</w:t>
      </w:r>
      <w:r>
        <w:rPr>
          <w:rFonts w:hint="eastAsia" w:ascii="仿宋_GB2312" w:hAnsi="黑体" w:eastAsia="仿宋_GB2312" w:cs="仿宋_GB2312"/>
          <w:kern w:val="0"/>
          <w:sz w:val="32"/>
          <w:szCs w:val="32"/>
          <w:lang w:val="en-US" w:eastAsia="zh-CN"/>
        </w:rPr>
        <w:t>、其他社会保险缴费、</w:t>
      </w:r>
      <w:r>
        <w:rPr>
          <w:rFonts w:hint="eastAsia" w:ascii="仿宋_GB2312" w:eastAsia="仿宋_GB2312" w:cs="仿宋_GB2312"/>
          <w:bCs/>
          <w:kern w:val="0"/>
          <w:sz w:val="32"/>
          <w:szCs w:val="32"/>
        </w:rPr>
        <w:t>住房公积金</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lang w:val="en-US" w:eastAsia="zh-CN"/>
        </w:rPr>
        <w:t>其他工资福利支出。</w:t>
      </w:r>
    </w:p>
    <w:p>
      <w:pPr>
        <w:autoSpaceDE w:val="0"/>
        <w:autoSpaceDN w:val="0"/>
        <w:adjustRightInd w:val="0"/>
        <w:spacing w:line="580" w:lineRule="exact"/>
        <w:ind w:firstLine="640" w:firstLineChars="200"/>
        <w:jc w:val="left"/>
        <w:rPr>
          <w:rFonts w:hint="eastAsia" w:ascii="仿宋_GB2312" w:hAnsi="Times New Roman" w:eastAsia="仿宋_GB2312" w:cs="仿宋_GB2312"/>
          <w:i w:val="0"/>
          <w:iCs w:val="0"/>
          <w:caps w:val="0"/>
          <w:spacing w:val="0"/>
          <w:sz w:val="32"/>
          <w:szCs w:val="32"/>
          <w:shd w:val="clear"/>
          <w:lang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359.72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100.88</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预决算差异原因是</w:t>
      </w:r>
      <w:r>
        <w:rPr>
          <w:rFonts w:hint="eastAsia" w:ascii="仿宋_GB2312" w:hAnsi="黑体" w:eastAsia="仿宋_GB2312" w:cs="仿宋_GB2312"/>
          <w:kern w:val="0"/>
          <w:sz w:val="32"/>
          <w:szCs w:val="32"/>
          <w:lang w:val="en-US" w:eastAsia="zh-CN"/>
        </w:rPr>
        <w:t>新增了职工福利费。支出内容主要包括：</w:t>
      </w:r>
      <w:r>
        <w:rPr>
          <w:rFonts w:hint="eastAsia" w:ascii="仿宋_GB2312" w:eastAsia="仿宋_GB2312" w:cs="仿宋_GB2312"/>
          <w:bCs/>
          <w:kern w:val="0"/>
          <w:sz w:val="32"/>
          <w:szCs w:val="32"/>
        </w:rPr>
        <w:t>办公费、印刷费、手续费、水费、电费、邮电费、物业管理费、差旅费、维修（护）费、培训费、公务接待费、专用材料费、劳务费、委托业务费、工会经费、公务用车运行维护费、其他交通费用、其他商品和服务支出、办公设备购置</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bCs/>
          <w:color w:val="FF0000"/>
          <w:kern w:val="0"/>
          <w:sz w:val="32"/>
          <w:szCs w:val="32"/>
        </w:rPr>
      </w:pPr>
      <w:r>
        <w:rPr>
          <w:rFonts w:hint="eastAsia" w:ascii="仿宋_GB2312" w:hAnsi="Times New Roman" w:eastAsia="仿宋_GB2312" w:cs="Times New Roman"/>
          <w:bCs/>
          <w:i w:val="0"/>
          <w:iCs w:val="0"/>
          <w:caps w:val="0"/>
          <w:color w:val="000000"/>
          <w:spacing w:val="0"/>
          <w:kern w:val="0"/>
          <w:sz w:val="32"/>
          <w:szCs w:val="32"/>
          <w:shd w:val="clear" w:fill="auto"/>
        </w:rPr>
        <w:t>（三）对个人和家庭的补助</w:t>
      </w:r>
      <w:r>
        <w:rPr>
          <w:rFonts w:hint="eastAsia" w:ascii="仿宋_GB2312" w:eastAsia="仿宋_GB2312" w:cs="Times New Roman"/>
          <w:bCs/>
          <w:i w:val="0"/>
          <w:iCs w:val="0"/>
          <w:caps w:val="0"/>
          <w:color w:val="auto"/>
          <w:spacing w:val="0"/>
          <w:kern w:val="0"/>
          <w:sz w:val="32"/>
          <w:szCs w:val="32"/>
          <w:shd w:val="clear"/>
          <w:lang w:eastAsia="zh-CN"/>
        </w:rPr>
        <w:t>4</w:t>
      </w:r>
      <w:r>
        <w:rPr>
          <w:rFonts w:hint="eastAsia" w:ascii="仿宋_GB2312" w:eastAsia="仿宋_GB2312" w:cs="Times New Roman"/>
          <w:bCs/>
          <w:i w:val="0"/>
          <w:iCs w:val="0"/>
          <w:caps w:val="0"/>
          <w:color w:val="auto"/>
          <w:spacing w:val="0"/>
          <w:kern w:val="0"/>
          <w:sz w:val="32"/>
          <w:szCs w:val="32"/>
          <w:shd w:val="clear"/>
          <w:lang w:val="en-US" w:eastAsia="zh-CN"/>
        </w:rPr>
        <w:t>0.01</w:t>
      </w:r>
      <w:r>
        <w:rPr>
          <w:rFonts w:hint="eastAsia" w:ascii="仿宋_GB2312" w:hAnsi="Times New Roman" w:eastAsia="仿宋_GB2312" w:cs="Times New Roman"/>
          <w:bCs/>
          <w:i w:val="0"/>
          <w:iCs w:val="0"/>
          <w:caps w:val="0"/>
          <w:color w:val="000000"/>
          <w:spacing w:val="0"/>
          <w:kern w:val="0"/>
          <w:sz w:val="32"/>
          <w:szCs w:val="32"/>
          <w:shd w:val="clear" w:fill="auto"/>
        </w:rPr>
        <w:t>万元，完成年初预算的</w:t>
      </w:r>
      <w:r>
        <w:rPr>
          <w:rFonts w:hint="eastAsia" w:ascii="仿宋_GB2312" w:eastAsia="仿宋_GB2312" w:cs="Times New Roman"/>
          <w:bCs/>
          <w:i w:val="0"/>
          <w:iCs w:val="0"/>
          <w:caps w:val="0"/>
          <w:color w:val="FF0000"/>
          <w:spacing w:val="0"/>
          <w:kern w:val="0"/>
          <w:sz w:val="32"/>
          <w:szCs w:val="32"/>
          <w:shd w:val="clear"/>
          <w:lang w:eastAsia="zh-CN"/>
        </w:rPr>
        <w:t>2</w:t>
      </w:r>
      <w:r>
        <w:rPr>
          <w:rFonts w:hint="eastAsia" w:ascii="仿宋_GB2312" w:eastAsia="仿宋_GB2312" w:cs="Times New Roman"/>
          <w:bCs/>
          <w:i w:val="0"/>
          <w:iCs w:val="0"/>
          <w:caps w:val="0"/>
          <w:color w:val="FF0000"/>
          <w:spacing w:val="0"/>
          <w:kern w:val="0"/>
          <w:sz w:val="32"/>
          <w:szCs w:val="32"/>
          <w:shd w:val="clear"/>
          <w:lang w:val="en-US" w:eastAsia="zh-CN"/>
        </w:rPr>
        <w:t>91.83</w:t>
      </w:r>
      <w:r>
        <w:rPr>
          <w:rFonts w:hint="eastAsia" w:ascii="仿宋_GB2312" w:hAnsi="Times New Roman" w:eastAsia="仿宋_GB2312" w:cs="Times New Roman"/>
          <w:bCs/>
          <w:i w:val="0"/>
          <w:iCs w:val="0"/>
          <w:caps w:val="0"/>
          <w:color w:val="000000"/>
          <w:spacing w:val="0"/>
          <w:kern w:val="0"/>
          <w:sz w:val="32"/>
          <w:szCs w:val="32"/>
          <w:shd w:val="clear" w:fill="auto"/>
        </w:rPr>
        <w:t>%。预决算差异原因</w:t>
      </w:r>
      <w:r>
        <w:rPr>
          <w:rFonts w:hint="eastAsia" w:ascii="仿宋_GB2312" w:eastAsia="仿宋_GB2312" w:cs="仿宋_GB2312"/>
          <w:bCs/>
          <w:color w:val="auto"/>
          <w:kern w:val="0"/>
          <w:sz w:val="32"/>
          <w:szCs w:val="32"/>
          <w:lang w:val="en-US" w:eastAsia="zh-CN"/>
        </w:rPr>
        <w:t>年中有退休人员死亡抚恤金。</w:t>
      </w:r>
      <w:r>
        <w:rPr>
          <w:rFonts w:hint="eastAsia" w:ascii="仿宋_GB2312" w:hAnsi="黑体" w:eastAsia="仿宋_GB2312" w:cs="仿宋_GB2312"/>
          <w:kern w:val="0"/>
          <w:sz w:val="32"/>
          <w:szCs w:val="32"/>
          <w:lang w:val="en-US" w:eastAsia="zh-CN"/>
        </w:rPr>
        <w:t>支出内容主要包括：</w:t>
      </w:r>
      <w:r>
        <w:rPr>
          <w:rFonts w:hint="eastAsia" w:ascii="仿宋_GB2312" w:eastAsia="仿宋_GB2312" w:cs="仿宋_GB2312"/>
          <w:bCs/>
          <w:kern w:val="0"/>
          <w:sz w:val="32"/>
          <w:szCs w:val="32"/>
        </w:rPr>
        <w:t>退休费、抚恤金、生活补助、</w:t>
      </w:r>
      <w:r>
        <w:rPr>
          <w:rFonts w:hint="eastAsia" w:ascii="仿宋_GB2312" w:eastAsia="仿宋_GB2312" w:cs="仿宋_GB2312"/>
          <w:bCs/>
          <w:kern w:val="0"/>
          <w:sz w:val="32"/>
          <w:szCs w:val="32"/>
          <w:lang w:val="en-US" w:eastAsia="zh-CN"/>
        </w:rPr>
        <w:t>其他对个人和家庭的补助。</w:t>
      </w:r>
    </w:p>
    <w:p>
      <w:pPr>
        <w:autoSpaceDE w:val="0"/>
        <w:autoSpaceDN w:val="0"/>
        <w:adjustRightInd w:val="0"/>
        <w:spacing w:line="560" w:lineRule="exact"/>
        <w:ind w:firstLine="0" w:firstLineChars="0"/>
        <w:jc w:val="left"/>
        <w:rPr>
          <w:rFonts w:hint="eastAsia" w:ascii="黑体" w:hAnsi="黑体" w:eastAsia="黑体" w:cs="仿宋_GB2312"/>
          <w:color w:val="FF0000"/>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Times New Roman"/>
          <w:b w:val="0"/>
          <w:bCs/>
          <w:kern w:val="0"/>
          <w:sz w:val="32"/>
          <w:szCs w:val="32"/>
        </w:rPr>
      </w:pPr>
      <w:r>
        <w:rPr>
          <w:rFonts w:hint="default" w:ascii="仿宋_GB2312" w:eastAsia="仿宋_GB2312" w:cs="Times New Roman"/>
          <w:bCs/>
          <w:kern w:val="0"/>
          <w:sz w:val="32"/>
          <w:szCs w:val="32"/>
          <w:lang w:val="en-US" w:eastAsia="zh-CN"/>
        </w:rPr>
        <w:t>柳州市柳江区人民法院</w:t>
      </w:r>
      <w:r>
        <w:rPr>
          <w:rFonts w:hint="eastAsia" w:ascii="仿宋_GB2312" w:eastAsia="仿宋_GB2312" w:cs="Times New Roman"/>
          <w:b w:val="0"/>
          <w:bCs/>
          <w:kern w:val="0"/>
          <w:sz w:val="32"/>
          <w:szCs w:val="32"/>
        </w:rPr>
        <w:t>202</w:t>
      </w:r>
      <w:r>
        <w:rPr>
          <w:rFonts w:hint="eastAsia" w:ascii="仿宋_GB2312" w:eastAsia="仿宋_GB2312" w:cs="Times New Roman"/>
          <w:b w:val="0"/>
          <w:bCs/>
          <w:kern w:val="0"/>
          <w:sz w:val="32"/>
          <w:szCs w:val="32"/>
          <w:lang w:val="en-US" w:eastAsia="zh-CN"/>
        </w:rPr>
        <w:t>1</w:t>
      </w:r>
      <w:r>
        <w:rPr>
          <w:rFonts w:hint="eastAsia" w:ascii="仿宋_GB2312" w:eastAsia="仿宋_GB2312" w:cs="Times New Roman"/>
          <w:b w:val="0"/>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bCs w:val="0"/>
          <w:kern w:val="0"/>
          <w:sz w:val="32"/>
          <w:szCs w:val="32"/>
          <w:lang w:val="en-US" w:eastAsia="zh-CN"/>
        </w:rPr>
        <w:t>柳州市柳江区人民法院</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13.19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73.4</w:t>
      </w:r>
      <w:r>
        <w:rPr>
          <w:rFonts w:hint="eastAsia" w:ascii="仿宋_GB2312" w:eastAsia="仿宋_GB2312" w:cs="仿宋_GB2312"/>
          <w:kern w:val="0"/>
          <w:sz w:val="32"/>
          <w:szCs w:val="32"/>
        </w:rPr>
        <w:t xml:space="preserve">%，比上年减少 </w:t>
      </w:r>
      <w:r>
        <w:rPr>
          <w:rFonts w:hint="eastAsia" w:ascii="仿宋_GB2312" w:eastAsia="仿宋_GB2312" w:cs="仿宋_GB2312"/>
          <w:kern w:val="0"/>
          <w:sz w:val="32"/>
          <w:szCs w:val="32"/>
          <w:lang w:val="en-US" w:eastAsia="zh-CN"/>
        </w:rPr>
        <w:t>84.15</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1、上年有公务用车购置；2、本年报废7辆公务用车，相应运行维护费减少</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12.93</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0.26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（一）公务用车购置及运行费支出 </w:t>
      </w:r>
      <w:r>
        <w:rPr>
          <w:rFonts w:hint="eastAsia" w:ascii="仿宋_GB2312" w:eastAsia="仿宋_GB2312" w:cs="仿宋_GB2312"/>
          <w:kern w:val="0"/>
          <w:sz w:val="32"/>
          <w:szCs w:val="32"/>
          <w:lang w:val="en-US" w:eastAsia="zh-CN"/>
        </w:rPr>
        <w:t>12.93</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本年未购置车辆。</w:t>
      </w: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12.93</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%。主要用于市内因公出行以及</w:t>
      </w:r>
      <w:r>
        <w:rPr>
          <w:rFonts w:hint="eastAsia" w:ascii="仿宋_GB2312" w:eastAsia="仿宋_GB2312" w:cs="仿宋_GB2312"/>
          <w:kern w:val="0"/>
          <w:sz w:val="32"/>
          <w:szCs w:val="32"/>
          <w:lang w:val="en-US" w:eastAsia="zh-CN"/>
        </w:rPr>
        <w:t>办理案件</w:t>
      </w:r>
      <w:r>
        <w:rPr>
          <w:rFonts w:hint="eastAsia" w:ascii="仿宋_GB2312" w:eastAsia="仿宋_GB2312" w:cs="仿宋_GB2312"/>
          <w:kern w:val="0"/>
          <w:sz w:val="32"/>
          <w:szCs w:val="32"/>
        </w:rPr>
        <w:t>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b w:val="0"/>
          <w:kern w:val="0"/>
          <w:sz w:val="32"/>
          <w:szCs w:val="32"/>
          <w:lang w:val="en-US" w:eastAsia="zh-CN"/>
        </w:rPr>
        <w:t>柳州市</w:t>
      </w:r>
      <w:r>
        <w:rPr>
          <w:rFonts w:hint="eastAsia" w:ascii="仿宋_GB2312" w:hAnsi="Times New Roman" w:eastAsia="仿宋_GB2312" w:cs="仿宋_GB2312"/>
          <w:b w:val="0"/>
          <w:bCs w:val="0"/>
          <w:color w:val="000000"/>
          <w:kern w:val="0"/>
          <w:sz w:val="32"/>
          <w:szCs w:val="32"/>
          <w:u w:val="none"/>
          <w:lang w:val="en-US" w:eastAsia="zh-CN"/>
        </w:rPr>
        <w:t>柳江区人民法院</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10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12.93</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1.29</w:t>
      </w:r>
      <w:r>
        <w:rPr>
          <w:rFonts w:hint="eastAsia" w:ascii="仿宋_GB2312" w:hAnsi="黑体" w:eastAsia="仿宋_GB2312"/>
          <w:bCs/>
          <w:color w:val="000000"/>
          <w:sz w:val="32"/>
          <w:szCs w:val="32"/>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jc w:val="both"/>
        <w:rPr>
          <w:rFonts w:hint="eastAsia" w:ascii="仿宋_GB2312" w:hAnsi="宋体" w:eastAsia="仿宋_GB2312" w:cs="仿宋_GB2312"/>
          <w:i w:val="0"/>
          <w:iCs w:val="0"/>
          <w:caps w:val="0"/>
          <w:color w:val="000000"/>
          <w:spacing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公务接待费支出</w:t>
      </w:r>
      <w:r>
        <w:rPr>
          <w:rFonts w:hint="eastAsia" w:ascii="仿宋_GB2312" w:eastAsia="仿宋_GB2312" w:cs="仿宋_GB2312"/>
          <w:kern w:val="0"/>
          <w:sz w:val="32"/>
          <w:szCs w:val="32"/>
          <w:lang w:val="en-US" w:eastAsia="zh-CN"/>
        </w:rPr>
        <w:t>0.26</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5.16</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0.09</w:t>
      </w:r>
      <w:r>
        <w:rPr>
          <w:rFonts w:hint="eastAsia" w:ascii="仿宋_GB2312" w:eastAsia="仿宋_GB2312" w:cs="仿宋_GB2312"/>
          <w:kern w:val="0"/>
          <w:sz w:val="32"/>
          <w:szCs w:val="32"/>
        </w:rPr>
        <w:t>万元，原因是</w:t>
      </w:r>
      <w:r>
        <w:rPr>
          <w:rFonts w:hint="eastAsia" w:ascii="仿宋_GB2312" w:hAnsi="Times New Roman" w:eastAsia="仿宋_GB2312" w:cs="仿宋_GB2312"/>
          <w:i w:val="0"/>
          <w:iCs w:val="0"/>
          <w:caps w:val="0"/>
          <w:color w:val="000000"/>
          <w:spacing w:val="0"/>
          <w:sz w:val="32"/>
          <w:szCs w:val="32"/>
          <w:shd w:val="clear" w:fill="auto"/>
        </w:rPr>
        <w:t>受新冠疫情影响公务接待活动减少</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21</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val="en-US" w:eastAsia="zh-CN"/>
        </w:rPr>
        <w:t>其中：</w:t>
      </w:r>
      <w:r>
        <w:rPr>
          <w:rFonts w:hint="eastAsia" w:ascii="仿宋_GB2312" w:hAnsi="宋体" w:eastAsia="仿宋_GB2312" w:cs="仿宋_GB2312"/>
          <w:i w:val="0"/>
          <w:iCs w:val="0"/>
          <w:caps w:val="0"/>
          <w:color w:val="000000"/>
          <w:spacing w:val="0"/>
          <w:sz w:val="32"/>
          <w:szCs w:val="32"/>
          <w:shd w:val="clear" w:fill="auto"/>
        </w:rPr>
        <w:t>外宾接待支出0万元。国内公务接待支出</w:t>
      </w:r>
      <w:r>
        <w:rPr>
          <w:rFonts w:hint="eastAsia" w:ascii="仿宋_GB2312" w:eastAsia="仿宋_GB2312" w:cs="仿宋_GB2312"/>
          <w:i w:val="0"/>
          <w:iCs w:val="0"/>
          <w:caps w:val="0"/>
          <w:spacing w:val="0"/>
          <w:sz w:val="32"/>
          <w:szCs w:val="32"/>
          <w:shd w:val="clear"/>
          <w:lang w:eastAsia="zh-CN"/>
        </w:rPr>
        <w:t>0</w:t>
      </w:r>
      <w:r>
        <w:rPr>
          <w:rFonts w:hint="eastAsia" w:ascii="仿宋_GB2312" w:eastAsia="仿宋_GB2312" w:cs="仿宋_GB2312"/>
          <w:i w:val="0"/>
          <w:iCs w:val="0"/>
          <w:caps w:val="0"/>
          <w:spacing w:val="0"/>
          <w:sz w:val="32"/>
          <w:szCs w:val="32"/>
          <w:shd w:val="clear"/>
          <w:lang w:val="en-US" w:eastAsia="zh-CN"/>
        </w:rPr>
        <w:t>.26</w:t>
      </w:r>
      <w:r>
        <w:rPr>
          <w:rFonts w:hint="eastAsia" w:ascii="仿宋_GB2312" w:hAnsi="宋体" w:eastAsia="仿宋_GB2312" w:cs="仿宋_GB2312"/>
          <w:i w:val="0"/>
          <w:iCs w:val="0"/>
          <w:caps w:val="0"/>
          <w:color w:val="000000"/>
          <w:spacing w:val="0"/>
          <w:sz w:val="32"/>
          <w:szCs w:val="32"/>
          <w:shd w:val="clear" w:fill="auto"/>
        </w:rPr>
        <w:t>万元。主要用于安排接待上级部门及兄弟法院有关领导来我市法院调研、考察等公务活动的接待费用以及开展业务活动需要开支的公务接待费用。2021年共接待国内来访团组</w:t>
      </w:r>
      <w:r>
        <w:rPr>
          <w:rFonts w:hint="eastAsia" w:ascii="仿宋_GB2312" w:eastAsia="仿宋_GB2312" w:cs="仿宋_GB2312"/>
          <w:i w:val="0"/>
          <w:iCs w:val="0"/>
          <w:caps w:val="0"/>
          <w:spacing w:val="0"/>
          <w:sz w:val="32"/>
          <w:szCs w:val="32"/>
          <w:shd w:val="clear"/>
          <w:lang w:eastAsia="zh-CN"/>
        </w:rPr>
        <w:t>6</w:t>
      </w:r>
      <w:r>
        <w:rPr>
          <w:rFonts w:hint="eastAsia" w:ascii="仿宋_GB2312" w:hAnsi="宋体" w:eastAsia="仿宋_GB2312" w:cs="仿宋_GB2312"/>
          <w:i w:val="0"/>
          <w:iCs w:val="0"/>
          <w:caps w:val="0"/>
          <w:color w:val="000000"/>
          <w:spacing w:val="0"/>
          <w:sz w:val="32"/>
          <w:szCs w:val="32"/>
          <w:shd w:val="clear" w:fill="auto"/>
        </w:rPr>
        <w:t>次、来宾</w:t>
      </w:r>
      <w:r>
        <w:rPr>
          <w:rFonts w:hint="eastAsia" w:ascii="仿宋_GB2312" w:eastAsia="仿宋_GB2312" w:cs="仿宋_GB2312"/>
          <w:i w:val="0"/>
          <w:iCs w:val="0"/>
          <w:caps w:val="0"/>
          <w:spacing w:val="0"/>
          <w:sz w:val="32"/>
          <w:szCs w:val="32"/>
          <w:shd w:val="clear"/>
          <w:lang w:eastAsia="zh-CN"/>
        </w:rPr>
        <w:t>2</w:t>
      </w:r>
      <w:r>
        <w:rPr>
          <w:rFonts w:hint="eastAsia" w:ascii="仿宋_GB2312" w:eastAsia="仿宋_GB2312" w:cs="仿宋_GB2312"/>
          <w:i w:val="0"/>
          <w:iCs w:val="0"/>
          <w:caps w:val="0"/>
          <w:spacing w:val="0"/>
          <w:sz w:val="32"/>
          <w:szCs w:val="32"/>
          <w:shd w:val="clear"/>
          <w:lang w:val="en-US" w:eastAsia="zh-CN"/>
        </w:rPr>
        <w:t>1</w:t>
      </w:r>
      <w:r>
        <w:rPr>
          <w:rFonts w:hint="eastAsia" w:ascii="仿宋_GB2312" w:hAnsi="宋体" w:eastAsia="仿宋_GB2312" w:cs="仿宋_GB2312"/>
          <w:i w:val="0"/>
          <w:iCs w:val="0"/>
          <w:caps w:val="0"/>
          <w:color w:val="000000"/>
          <w:spacing w:val="0"/>
          <w:sz w:val="32"/>
          <w:szCs w:val="32"/>
          <w:shd w:val="clear" w:fill="auto"/>
        </w:rPr>
        <w:t>人次。</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lang w:eastAsia="zh-CN"/>
        </w:rPr>
        <w:t>）</w:t>
      </w:r>
      <w:r>
        <w:rPr>
          <w:rFonts w:hint="eastAsia" w:ascii="宋体" w:hAnsi="宋体" w:eastAsia="宋体" w:cs="宋体"/>
          <w:i w:val="0"/>
          <w:iCs w:val="0"/>
          <w:caps w:val="0"/>
          <w:color w:val="000000"/>
          <w:spacing w:val="0"/>
          <w:sz w:val="31"/>
          <w:szCs w:val="31"/>
          <w:shd w:val="clear" w:fill="FFFFFF"/>
        </w:rPr>
        <w:t>无因公出国（境）费支出。</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359.72</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3.15</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0.01</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新增了职工福利费</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23.17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下降6.05</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val="en-US" w:eastAsia="zh-CN"/>
        </w:rPr>
        <w:t>1、接待费支出减少；2、</w:t>
      </w:r>
      <w:r>
        <w:rPr>
          <w:rFonts w:hint="eastAsia" w:ascii="仿宋_GB2312" w:hAnsi="Times New Roman" w:eastAsia="仿宋_GB2312" w:cs="仿宋_GB2312"/>
          <w:i w:val="0"/>
          <w:iCs w:val="0"/>
          <w:caps w:val="0"/>
          <w:spacing w:val="0"/>
          <w:sz w:val="32"/>
          <w:szCs w:val="32"/>
          <w:shd w:val="clear"/>
        </w:rPr>
        <w:t>财政国库指标限额影响，部分经费未能支付。</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211.52</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51.38</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160.14</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160.14</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75.71</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51.38</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24.29</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辆，其中：专业技术用车</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 xml:space="preserve"> 辆；单价50万元以上通用设备</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500.5</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80" w:lineRule="exact"/>
        <w:ind w:firstLine="627" w:firstLineChars="196"/>
        <w:jc w:val="left"/>
        <w:rPr>
          <w:rFonts w:hint="eastAsia" w:ascii="仿宋_GB2312" w:hAnsi="Times New Roman" w:eastAsia="仿宋_GB2312" w:cs="仿宋_GB2312"/>
          <w:i w:val="0"/>
          <w:iCs w:val="0"/>
          <w:caps w:val="0"/>
          <w:spacing w:val="0"/>
          <w:kern w:val="0"/>
          <w:sz w:val="32"/>
          <w:szCs w:val="32"/>
          <w:shd w:val="clear"/>
        </w:rPr>
      </w:pPr>
      <w:r>
        <w:rPr>
          <w:rFonts w:hint="eastAsia" w:ascii="仿宋_GB2312" w:eastAsia="仿宋_GB2312" w:cs="仿宋_GB2312"/>
          <w:kern w:val="0"/>
          <w:sz w:val="32"/>
          <w:szCs w:val="32"/>
        </w:rPr>
        <w:t>共组织对</w:t>
      </w:r>
      <w:r>
        <w:rPr>
          <w:rFonts w:hint="eastAsia" w:ascii="仿宋_GB2312" w:eastAsia="仿宋_GB2312" w:cs="仿宋_GB2312"/>
          <w:kern w:val="0"/>
          <w:sz w:val="32"/>
          <w:szCs w:val="32"/>
          <w:lang w:val="en-US" w:eastAsia="zh-CN"/>
        </w:rPr>
        <w:t>聘用人员支出</w:t>
      </w:r>
      <w:r>
        <w:rPr>
          <w:rFonts w:hint="eastAsia" w:ascii="仿宋_GB2312" w:eastAsia="仿宋_GB2312" w:cs="仿宋_GB2312"/>
          <w:kern w:val="0"/>
          <w:sz w:val="32"/>
          <w:szCs w:val="32"/>
        </w:rPr>
        <w:t>项目进行了部门评价，涉及一般公共预算支出</w:t>
      </w:r>
      <w:r>
        <w:rPr>
          <w:rFonts w:hint="eastAsia" w:ascii="仿宋_GB2312" w:eastAsia="仿宋_GB2312" w:cs="仿宋_GB2312"/>
          <w:kern w:val="0"/>
          <w:sz w:val="32"/>
          <w:szCs w:val="32"/>
          <w:lang w:val="en-US" w:eastAsia="zh-CN"/>
        </w:rPr>
        <w:t>500.5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从评价情况来看，</w:t>
      </w:r>
      <w:r>
        <w:rPr>
          <w:rFonts w:hint="eastAsia" w:ascii="仿宋_GB2312" w:hAnsi="Times New Roman" w:eastAsia="仿宋_GB2312" w:cs="仿宋_GB2312"/>
          <w:i w:val="0"/>
          <w:iCs w:val="0"/>
          <w:caps w:val="0"/>
          <w:color w:val="000000"/>
          <w:spacing w:val="0"/>
          <w:kern w:val="0"/>
          <w:sz w:val="32"/>
          <w:szCs w:val="32"/>
          <w:shd w:val="clear" w:fill="auto"/>
        </w:rPr>
        <w:t>绩效自评得分均在9</w:t>
      </w:r>
      <w:r>
        <w:rPr>
          <w:rFonts w:hint="eastAsia" w:ascii="仿宋_GB2312" w:eastAsia="仿宋_GB2312" w:cs="仿宋_GB2312"/>
          <w:i w:val="0"/>
          <w:iCs w:val="0"/>
          <w:caps w:val="0"/>
          <w:spacing w:val="0"/>
          <w:kern w:val="0"/>
          <w:sz w:val="32"/>
          <w:szCs w:val="32"/>
          <w:shd w:val="clear"/>
          <w:lang w:eastAsia="zh-CN"/>
        </w:rPr>
        <w:t>7</w:t>
      </w:r>
      <w:r>
        <w:rPr>
          <w:rFonts w:hint="eastAsia" w:ascii="仿宋_GB2312" w:hAnsi="Times New Roman" w:eastAsia="仿宋_GB2312" w:cs="仿宋_GB2312"/>
          <w:i w:val="0"/>
          <w:iCs w:val="0"/>
          <w:caps w:val="0"/>
          <w:color w:val="000000"/>
          <w:spacing w:val="0"/>
          <w:kern w:val="0"/>
          <w:sz w:val="32"/>
          <w:szCs w:val="32"/>
          <w:shd w:val="clear" w:fill="auto"/>
        </w:rPr>
        <w:t>分，绩效目标完成情况良好，除预算资金执行率未全部达到100%以外，其他指标基本能达到年初设定指标值，绩效管理工作情况较好。</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个单位开展整体支出绩效评价试点，涉及一般公共预算支出</w:t>
      </w:r>
      <w:r>
        <w:rPr>
          <w:rFonts w:hint="eastAsia" w:ascii="仿宋_GB2312" w:eastAsia="仿宋_GB2312" w:cs="仿宋_GB2312"/>
          <w:kern w:val="0"/>
          <w:sz w:val="32"/>
          <w:szCs w:val="32"/>
          <w:lang w:val="en-US" w:eastAsia="zh-CN"/>
        </w:rPr>
        <w:t>3172.78</w:t>
      </w:r>
      <w:r>
        <w:rPr>
          <w:rFonts w:hint="eastAsia" w:ascii="仿宋_GB2312" w:eastAsia="仿宋_GB2312" w:cs="仿宋_GB2312"/>
          <w:kern w:val="0"/>
          <w:sz w:val="32"/>
          <w:szCs w:val="32"/>
        </w:rPr>
        <w:t>万元。从评价情况来看，</w:t>
      </w:r>
      <w:r>
        <w:rPr>
          <w:rFonts w:hint="eastAsia" w:ascii="仿宋_GB2312" w:hAnsi="Times New Roman" w:eastAsia="仿宋_GB2312" w:cs="仿宋_GB2312"/>
          <w:i w:val="0"/>
          <w:iCs w:val="0"/>
          <w:caps w:val="0"/>
          <w:color w:val="000000"/>
          <w:spacing w:val="0"/>
          <w:kern w:val="0"/>
          <w:sz w:val="32"/>
          <w:szCs w:val="32"/>
          <w:shd w:val="clear" w:fill="auto"/>
        </w:rPr>
        <w:t>自评得分</w:t>
      </w:r>
      <w:r>
        <w:rPr>
          <w:rFonts w:hint="eastAsia" w:ascii="仿宋_GB2312" w:hAnsi="Times New Roman" w:eastAsia="仿宋_GB2312" w:cs="仿宋_GB2312"/>
          <w:i w:val="0"/>
          <w:iCs w:val="0"/>
          <w:caps w:val="0"/>
          <w:color w:val="000000"/>
          <w:spacing w:val="0"/>
          <w:kern w:val="0"/>
          <w:sz w:val="32"/>
          <w:szCs w:val="32"/>
          <w:shd w:val="clear" w:fill="auto"/>
          <w:lang w:val="en-US" w:eastAsia="zh-CN"/>
        </w:rPr>
        <w:t>97分，</w:t>
      </w:r>
      <w:r>
        <w:rPr>
          <w:rFonts w:hint="eastAsia" w:ascii="仿宋_GB2312" w:hAnsi="Times New Roman" w:eastAsia="仿宋_GB2312" w:cs="仿宋_GB2312"/>
          <w:i w:val="0"/>
          <w:iCs w:val="0"/>
          <w:caps w:val="0"/>
          <w:color w:val="000000"/>
          <w:spacing w:val="0"/>
          <w:kern w:val="0"/>
          <w:sz w:val="32"/>
          <w:szCs w:val="32"/>
          <w:shd w:val="clear" w:fill="auto"/>
        </w:rPr>
        <w:t>绩效目标完成情况较好。</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autoSpaceDE w:val="0"/>
        <w:autoSpaceDN w:val="0"/>
        <w:adjustRightInd w:val="0"/>
        <w:spacing w:line="580" w:lineRule="exact"/>
        <w:ind w:firstLine="627" w:firstLineChars="196"/>
        <w:jc w:val="left"/>
        <w:rPr>
          <w:rFonts w:hint="eastAsia" w:ascii="仿宋_GB2312" w:hAnsi="Times New Roman" w:eastAsia="仿宋_GB2312" w:cs="仿宋_GB2312"/>
          <w:i w:val="0"/>
          <w:iCs w:val="0"/>
          <w:caps w:val="0"/>
          <w:spacing w:val="0"/>
          <w:kern w:val="0"/>
          <w:sz w:val="32"/>
          <w:szCs w:val="32"/>
          <w:shd w:val="clear"/>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w:t>
      </w:r>
      <w:r>
        <w:rPr>
          <w:rFonts w:hint="eastAsia" w:ascii="仿宋_GB2312" w:eastAsia="仿宋_GB2312" w:cs="仿宋_GB2312"/>
          <w:kern w:val="0"/>
          <w:sz w:val="32"/>
          <w:szCs w:val="32"/>
          <w:lang w:val="en-US" w:eastAsia="zh-CN"/>
        </w:rPr>
        <w:t>聘用人员支出</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97</w:t>
      </w:r>
      <w:r>
        <w:rPr>
          <w:rFonts w:hint="eastAsia" w:ascii="仿宋_GB2312" w:eastAsia="仿宋_GB2312" w:cs="仿宋_GB2312"/>
          <w:kern w:val="0"/>
          <w:sz w:val="32"/>
          <w:szCs w:val="32"/>
        </w:rPr>
        <w:t>分。</w:t>
      </w:r>
      <w:r>
        <w:rPr>
          <w:rFonts w:hint="eastAsia" w:ascii="仿宋_GB2312" w:hAnsi="Times New Roman" w:eastAsia="仿宋_GB2312" w:cs="仿宋_GB2312"/>
          <w:i w:val="0"/>
          <w:iCs w:val="0"/>
          <w:caps w:val="0"/>
          <w:spacing w:val="0"/>
          <w:kern w:val="0"/>
          <w:sz w:val="32"/>
          <w:szCs w:val="32"/>
          <w:shd w:val="clear"/>
        </w:rPr>
        <w:t>发现的主要问题及原因：一是年度指标值中“各项工作及时进行”项目因多头管理，因人员变动导致交接脱节，出现少数工作未按时落实的情况；二是服务对象满意度方面有待提高。下一步改进措施：一是调整管理方式，各部门加强沟通和协调；二是提升干警素质和工作效率，提高服务满意度。</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30AB9"/>
    <w:multiLevelType w:val="singleLevel"/>
    <w:tmpl w:val="BBD30A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132783D"/>
    <w:rsid w:val="01922277"/>
    <w:rsid w:val="02032F3D"/>
    <w:rsid w:val="03371DB2"/>
    <w:rsid w:val="03F434D0"/>
    <w:rsid w:val="042A3990"/>
    <w:rsid w:val="04583A5F"/>
    <w:rsid w:val="04963FC8"/>
    <w:rsid w:val="05352423"/>
    <w:rsid w:val="07524CC5"/>
    <w:rsid w:val="07574AD6"/>
    <w:rsid w:val="08E14650"/>
    <w:rsid w:val="094B45FA"/>
    <w:rsid w:val="0A0C33E4"/>
    <w:rsid w:val="0A312D88"/>
    <w:rsid w:val="0AA01497"/>
    <w:rsid w:val="0B183CC0"/>
    <w:rsid w:val="0B424B1D"/>
    <w:rsid w:val="0B8C10F6"/>
    <w:rsid w:val="0B9E269F"/>
    <w:rsid w:val="0BD31C1D"/>
    <w:rsid w:val="0C6C6279"/>
    <w:rsid w:val="0D423353"/>
    <w:rsid w:val="0D591289"/>
    <w:rsid w:val="0DA50530"/>
    <w:rsid w:val="0DA86951"/>
    <w:rsid w:val="0E074DDF"/>
    <w:rsid w:val="0EBB3568"/>
    <w:rsid w:val="0F0F5ED6"/>
    <w:rsid w:val="10BB15FD"/>
    <w:rsid w:val="11196324"/>
    <w:rsid w:val="120314AE"/>
    <w:rsid w:val="124204B5"/>
    <w:rsid w:val="12CF0C0F"/>
    <w:rsid w:val="12E32111"/>
    <w:rsid w:val="12F64B6E"/>
    <w:rsid w:val="13BB36C2"/>
    <w:rsid w:val="14616F66"/>
    <w:rsid w:val="14B81816"/>
    <w:rsid w:val="14F016D4"/>
    <w:rsid w:val="15823E15"/>
    <w:rsid w:val="1612602D"/>
    <w:rsid w:val="166B7621"/>
    <w:rsid w:val="16810BF3"/>
    <w:rsid w:val="16B90A0F"/>
    <w:rsid w:val="17487963"/>
    <w:rsid w:val="1759391E"/>
    <w:rsid w:val="182962AB"/>
    <w:rsid w:val="185F700B"/>
    <w:rsid w:val="18903A4D"/>
    <w:rsid w:val="19A5109C"/>
    <w:rsid w:val="19D073EB"/>
    <w:rsid w:val="19E00326"/>
    <w:rsid w:val="19EF2318"/>
    <w:rsid w:val="1A650904"/>
    <w:rsid w:val="1A9D6217"/>
    <w:rsid w:val="1B4D4249"/>
    <w:rsid w:val="1B617245"/>
    <w:rsid w:val="1CAD0994"/>
    <w:rsid w:val="1CC31F67"/>
    <w:rsid w:val="1DBE44DB"/>
    <w:rsid w:val="1E0F2F88"/>
    <w:rsid w:val="1E8E65A3"/>
    <w:rsid w:val="1FD55B0C"/>
    <w:rsid w:val="203C3F13"/>
    <w:rsid w:val="20AE4CDA"/>
    <w:rsid w:val="20E95D13"/>
    <w:rsid w:val="2249565E"/>
    <w:rsid w:val="237D0994"/>
    <w:rsid w:val="23B63E77"/>
    <w:rsid w:val="23DD452A"/>
    <w:rsid w:val="24D337DC"/>
    <w:rsid w:val="255C003A"/>
    <w:rsid w:val="2596422C"/>
    <w:rsid w:val="25D4327F"/>
    <w:rsid w:val="26460DBA"/>
    <w:rsid w:val="28C16C02"/>
    <w:rsid w:val="29777BB7"/>
    <w:rsid w:val="2A5561C7"/>
    <w:rsid w:val="2B6F74EB"/>
    <w:rsid w:val="2BD96984"/>
    <w:rsid w:val="2C1F0B15"/>
    <w:rsid w:val="2C2045B2"/>
    <w:rsid w:val="2C4219FE"/>
    <w:rsid w:val="2E9932A3"/>
    <w:rsid w:val="2ED51684"/>
    <w:rsid w:val="2F240B82"/>
    <w:rsid w:val="2F7470EF"/>
    <w:rsid w:val="319B6BB5"/>
    <w:rsid w:val="335718FE"/>
    <w:rsid w:val="337C33E4"/>
    <w:rsid w:val="33CA19D4"/>
    <w:rsid w:val="34020F86"/>
    <w:rsid w:val="341361ED"/>
    <w:rsid w:val="35353D4F"/>
    <w:rsid w:val="35AF0E81"/>
    <w:rsid w:val="36B77D07"/>
    <w:rsid w:val="37206361"/>
    <w:rsid w:val="38E70932"/>
    <w:rsid w:val="394F0285"/>
    <w:rsid w:val="39A63F06"/>
    <w:rsid w:val="3A26548A"/>
    <w:rsid w:val="3C017E2C"/>
    <w:rsid w:val="3E6F4772"/>
    <w:rsid w:val="3E7A5DA4"/>
    <w:rsid w:val="3E8F1850"/>
    <w:rsid w:val="3EA872B2"/>
    <w:rsid w:val="3EB63280"/>
    <w:rsid w:val="3ED1439F"/>
    <w:rsid w:val="3EFC7E35"/>
    <w:rsid w:val="3F222FE0"/>
    <w:rsid w:val="3F6E5B34"/>
    <w:rsid w:val="41D438E7"/>
    <w:rsid w:val="42235D58"/>
    <w:rsid w:val="43402B23"/>
    <w:rsid w:val="43AD0B79"/>
    <w:rsid w:val="44500BF5"/>
    <w:rsid w:val="44560C84"/>
    <w:rsid w:val="453942C3"/>
    <w:rsid w:val="45CC3389"/>
    <w:rsid w:val="46AB11F1"/>
    <w:rsid w:val="47D31012"/>
    <w:rsid w:val="47F43786"/>
    <w:rsid w:val="48374EDC"/>
    <w:rsid w:val="4955134D"/>
    <w:rsid w:val="49AF110F"/>
    <w:rsid w:val="4A192915"/>
    <w:rsid w:val="4B1732F9"/>
    <w:rsid w:val="4C256E3D"/>
    <w:rsid w:val="4CB52F0F"/>
    <w:rsid w:val="4E2875DF"/>
    <w:rsid w:val="4F5258D2"/>
    <w:rsid w:val="50A9581B"/>
    <w:rsid w:val="50C04C3A"/>
    <w:rsid w:val="50D410AC"/>
    <w:rsid w:val="51F872B4"/>
    <w:rsid w:val="52EC506B"/>
    <w:rsid w:val="532F1F9A"/>
    <w:rsid w:val="5362532D"/>
    <w:rsid w:val="54F16968"/>
    <w:rsid w:val="553B4087"/>
    <w:rsid w:val="559117FB"/>
    <w:rsid w:val="55F25012"/>
    <w:rsid w:val="56D24578"/>
    <w:rsid w:val="5745075C"/>
    <w:rsid w:val="57931D57"/>
    <w:rsid w:val="59747100"/>
    <w:rsid w:val="5A1F56FD"/>
    <w:rsid w:val="5A2C3F9F"/>
    <w:rsid w:val="5B5E07F4"/>
    <w:rsid w:val="5BFB3A80"/>
    <w:rsid w:val="5C3371ED"/>
    <w:rsid w:val="5CFA4828"/>
    <w:rsid w:val="5DB449D7"/>
    <w:rsid w:val="5DBB25AC"/>
    <w:rsid w:val="5E995A3E"/>
    <w:rsid w:val="5F933EA7"/>
    <w:rsid w:val="5F95061E"/>
    <w:rsid w:val="5FC1266C"/>
    <w:rsid w:val="60146320"/>
    <w:rsid w:val="608A5EC3"/>
    <w:rsid w:val="61720E31"/>
    <w:rsid w:val="617E254E"/>
    <w:rsid w:val="62163194"/>
    <w:rsid w:val="624D024D"/>
    <w:rsid w:val="631669F1"/>
    <w:rsid w:val="63C35930"/>
    <w:rsid w:val="63CC234F"/>
    <w:rsid w:val="645379B5"/>
    <w:rsid w:val="645E744B"/>
    <w:rsid w:val="64EC0EFA"/>
    <w:rsid w:val="650E086A"/>
    <w:rsid w:val="65A45331"/>
    <w:rsid w:val="65E676F8"/>
    <w:rsid w:val="65EE0CA2"/>
    <w:rsid w:val="65FF07B9"/>
    <w:rsid w:val="66326DE1"/>
    <w:rsid w:val="67135CAA"/>
    <w:rsid w:val="698715FE"/>
    <w:rsid w:val="69AC0C58"/>
    <w:rsid w:val="69E3692E"/>
    <w:rsid w:val="6A1327BB"/>
    <w:rsid w:val="6A54449C"/>
    <w:rsid w:val="6A731776"/>
    <w:rsid w:val="6A8614A9"/>
    <w:rsid w:val="6BAA0708"/>
    <w:rsid w:val="6E485B3A"/>
    <w:rsid w:val="6E95728B"/>
    <w:rsid w:val="6EFC61DE"/>
    <w:rsid w:val="6EFE46BB"/>
    <w:rsid w:val="6FEF189F"/>
    <w:rsid w:val="70046E9D"/>
    <w:rsid w:val="703E6382"/>
    <w:rsid w:val="7218332F"/>
    <w:rsid w:val="721E0808"/>
    <w:rsid w:val="72231A60"/>
    <w:rsid w:val="73610D05"/>
    <w:rsid w:val="743631A3"/>
    <w:rsid w:val="74A40EAA"/>
    <w:rsid w:val="75AF6C8B"/>
    <w:rsid w:val="75D94C4A"/>
    <w:rsid w:val="76432C97"/>
    <w:rsid w:val="76972408"/>
    <w:rsid w:val="77204A34"/>
    <w:rsid w:val="77474C4B"/>
    <w:rsid w:val="778D20C9"/>
    <w:rsid w:val="77DF044B"/>
    <w:rsid w:val="77F474AF"/>
    <w:rsid w:val="79CA559E"/>
    <w:rsid w:val="79D3446D"/>
    <w:rsid w:val="7A5163DA"/>
    <w:rsid w:val="7AAA4D40"/>
    <w:rsid w:val="7BA55C3B"/>
    <w:rsid w:val="7C3D3992"/>
    <w:rsid w:val="7C621C44"/>
    <w:rsid w:val="7C747595"/>
    <w:rsid w:val="7E3D3DE4"/>
    <w:rsid w:val="7E3E411D"/>
    <w:rsid w:val="7E525E1A"/>
    <w:rsid w:val="7F20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批注框文本 Char"/>
    <w:basedOn w:val="7"/>
    <w:link w:val="2"/>
    <w:qFormat/>
    <w:uiPriority w:val="0"/>
    <w:rPr>
      <w:kern w:val="2"/>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 w:type="character" w:customStyle="1" w:styleId="13">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6860</Words>
  <Characters>7608</Characters>
  <Lines>60</Lines>
  <Paragraphs>17</Paragraphs>
  <TotalTime>0</TotalTime>
  <ScaleCrop>false</ScaleCrop>
  <LinksUpToDate>false</LinksUpToDate>
  <CharactersWithSpaces>7667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2022-09-13T09:26:29Z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A9C963AB5363434EA389171420EF1871</vt:lpwstr>
  </property>
</Properties>
</file>