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柳城县人民法院</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柳城县人民法院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柳城县人民法院</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柳城县人民法院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柳城县人民法院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40" w:lineRule="exact"/>
        <w:ind w:firstLine="480" w:firstLineChars="150"/>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(一）部门主要职能</w:t>
      </w:r>
    </w:p>
    <w:p>
      <w:pPr>
        <w:spacing w:line="540" w:lineRule="exact"/>
        <w:ind w:firstLine="480" w:firstLineChars="150"/>
        <w:rPr>
          <w:rFonts w:hint="eastAsia" w:ascii="宋体" w:hAnsi="宋体" w:cs="宋体"/>
          <w:color w:val="000000"/>
          <w:sz w:val="32"/>
          <w:szCs w:val="32"/>
        </w:rPr>
      </w:pPr>
      <w:r>
        <w:rPr>
          <w:rFonts w:hint="eastAsia" w:ascii="宋体" w:hAnsi="宋体" w:cs="宋体"/>
          <w:color w:val="000000"/>
          <w:sz w:val="32"/>
          <w:szCs w:val="32"/>
        </w:rPr>
        <w:t>柳城县人民法院的主要职能是依法独立行使审判权</w:t>
      </w:r>
      <w:r>
        <w:rPr>
          <w:rFonts w:ascii="宋体" w:cs="宋体"/>
          <w:color w:val="000000"/>
          <w:sz w:val="32"/>
          <w:szCs w:val="32"/>
        </w:rPr>
        <w:t>,</w:t>
      </w:r>
      <w:r>
        <w:rPr>
          <w:rFonts w:hint="eastAsia" w:ascii="宋体" w:hAnsi="宋体" w:cs="宋体"/>
          <w:color w:val="000000"/>
          <w:sz w:val="32"/>
          <w:szCs w:val="32"/>
        </w:rPr>
        <w:t>依法行使司法执行权和司法决定权，开展法制宣传，参与社会治安综合治理等，以及承办其他应由本院负责的工作。</w:t>
      </w:r>
    </w:p>
    <w:p>
      <w:pPr>
        <w:spacing w:line="540" w:lineRule="exact"/>
        <w:ind w:firstLine="480" w:firstLineChars="150"/>
        <w:rPr>
          <w:rFonts w:hint="eastAsia" w:ascii="宋体" w:hAnsi="宋体" w:cs="宋体"/>
          <w:color w:val="000000"/>
          <w:sz w:val="32"/>
          <w:szCs w:val="32"/>
          <w:lang w:val="en-US" w:eastAsia="zh-CN"/>
        </w:rPr>
      </w:pPr>
      <w:r>
        <w:rPr>
          <w:rFonts w:hint="eastAsia" w:ascii="宋体" w:hAnsi="宋体" w:cs="宋体"/>
          <w:color w:val="000000"/>
          <w:sz w:val="32"/>
          <w:szCs w:val="32"/>
          <w:lang w:eastAsia="zh-CN"/>
        </w:rPr>
        <w:t>（二）</w:t>
      </w:r>
      <w:r>
        <w:rPr>
          <w:rFonts w:hint="eastAsia" w:ascii="宋体" w:hAnsi="宋体" w:cs="宋体"/>
          <w:color w:val="000000"/>
          <w:sz w:val="32"/>
          <w:szCs w:val="32"/>
          <w:lang w:val="en-US" w:eastAsia="zh-CN"/>
        </w:rPr>
        <w:t>2021年本部门的主要工作任务</w:t>
      </w:r>
    </w:p>
    <w:p>
      <w:pPr>
        <w:spacing w:line="540" w:lineRule="exact"/>
        <w:ind w:firstLine="480" w:firstLineChars="150"/>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1.总体完成情况。</w:t>
      </w:r>
      <w:r>
        <w:rPr>
          <w:rFonts w:hint="eastAsia" w:ascii="宋体" w:hAnsi="宋体" w:cs="宋体"/>
          <w:color w:val="000000"/>
          <w:sz w:val="32"/>
          <w:szCs w:val="32"/>
        </w:rPr>
        <w:t>面对疫情的不利影响和</w:t>
      </w:r>
      <w:r>
        <w:rPr>
          <w:rFonts w:hint="eastAsia" w:ascii="宋体" w:hAnsi="宋体" w:cs="宋体"/>
          <w:color w:val="000000"/>
          <w:sz w:val="32"/>
          <w:szCs w:val="32"/>
          <w:lang w:eastAsia="zh-CN"/>
        </w:rPr>
        <w:t>审执</w:t>
      </w:r>
      <w:r>
        <w:rPr>
          <w:rFonts w:hint="eastAsia" w:ascii="宋体" w:hAnsi="宋体" w:cs="宋体"/>
          <w:color w:val="000000"/>
          <w:sz w:val="32"/>
          <w:szCs w:val="32"/>
        </w:rPr>
        <w:t>收案</w:t>
      </w:r>
      <w:r>
        <w:rPr>
          <w:rFonts w:hint="eastAsia" w:ascii="宋体" w:hAnsi="宋体" w:cs="宋体"/>
          <w:color w:val="000000"/>
          <w:sz w:val="32"/>
          <w:szCs w:val="32"/>
          <w:lang w:val="en-US" w:eastAsia="zh-CN"/>
        </w:rPr>
        <w:t>不断增加</w:t>
      </w:r>
      <w:r>
        <w:rPr>
          <w:rFonts w:hint="eastAsia" w:ascii="宋体" w:hAnsi="宋体" w:cs="宋体"/>
          <w:color w:val="000000"/>
          <w:sz w:val="32"/>
          <w:szCs w:val="32"/>
        </w:rPr>
        <w:t>的办案压力，</w:t>
      </w:r>
      <w:r>
        <w:rPr>
          <w:rFonts w:hint="eastAsia" w:ascii="宋体" w:hAnsi="宋体" w:cs="宋体"/>
          <w:color w:val="000000"/>
          <w:sz w:val="32"/>
          <w:szCs w:val="32"/>
          <w:lang w:eastAsia="zh-CN"/>
        </w:rPr>
        <w:t>我</w:t>
      </w:r>
      <w:r>
        <w:rPr>
          <w:rFonts w:hint="eastAsia" w:ascii="宋体" w:hAnsi="宋体" w:cs="宋体"/>
          <w:color w:val="000000"/>
          <w:sz w:val="32"/>
          <w:szCs w:val="32"/>
        </w:rPr>
        <w:t>院迎难而上，</w:t>
      </w:r>
      <w:r>
        <w:rPr>
          <w:rFonts w:hint="eastAsia" w:ascii="宋体" w:hAnsi="宋体" w:cs="宋体"/>
          <w:color w:val="000000"/>
          <w:sz w:val="32"/>
          <w:szCs w:val="32"/>
          <w:lang w:eastAsia="zh-CN"/>
        </w:rPr>
        <w:t>狠抓办案第一要务</w:t>
      </w:r>
      <w:r>
        <w:rPr>
          <w:rFonts w:hint="eastAsia" w:ascii="宋体" w:hAnsi="宋体" w:cs="宋体"/>
          <w:color w:val="000000"/>
          <w:sz w:val="32"/>
          <w:szCs w:val="32"/>
        </w:rPr>
        <w:t>，做到疫情有效防控和</w:t>
      </w:r>
      <w:r>
        <w:rPr>
          <w:rFonts w:hint="eastAsia" w:ascii="宋体" w:hAnsi="宋体" w:cs="宋体"/>
          <w:color w:val="000000"/>
          <w:sz w:val="32"/>
          <w:szCs w:val="32"/>
          <w:lang w:eastAsia="zh-CN"/>
        </w:rPr>
        <w:t>审执</w:t>
      </w:r>
      <w:r>
        <w:rPr>
          <w:rFonts w:hint="eastAsia" w:ascii="宋体" w:hAnsi="宋体" w:cs="宋体"/>
          <w:color w:val="000000"/>
          <w:sz w:val="32"/>
          <w:szCs w:val="32"/>
        </w:rPr>
        <w:t>工作两不误，</w:t>
      </w:r>
      <w:r>
        <w:rPr>
          <w:rFonts w:hint="eastAsia" w:ascii="宋体" w:hAnsi="宋体" w:cs="宋体"/>
          <w:color w:val="000000"/>
          <w:sz w:val="32"/>
          <w:szCs w:val="32"/>
          <w:lang w:eastAsia="zh-CN"/>
        </w:rPr>
        <w:t>全院</w:t>
      </w:r>
      <w:r>
        <w:rPr>
          <w:rFonts w:hint="eastAsia" w:ascii="宋体" w:hAnsi="宋体" w:cs="宋体"/>
          <w:color w:val="000000"/>
          <w:sz w:val="32"/>
          <w:szCs w:val="32"/>
        </w:rPr>
        <w:t>工作取得了新的成效。2021年1-10月，我院共受理各类案件5811件，结案4824件，结案率83.01%，与去年同期相比分别上升0.45和4.3个百分点，其中院、庭长结案4024件，占全院办案总数的83.41%；员额法官人均收案171件，结案142件。</w:t>
      </w:r>
    </w:p>
    <w:p>
      <w:pPr>
        <w:spacing w:line="540" w:lineRule="exact"/>
        <w:ind w:firstLine="480" w:firstLineChars="150"/>
        <w:rPr>
          <w:rFonts w:hint="eastAsia" w:ascii="宋体" w:hAnsi="宋体" w:cs="宋体"/>
          <w:color w:val="000000"/>
          <w:sz w:val="32"/>
          <w:szCs w:val="32"/>
        </w:rPr>
      </w:pPr>
      <w:r>
        <w:rPr>
          <w:rFonts w:hint="eastAsia" w:ascii="宋体" w:hAnsi="宋体" w:cs="宋体"/>
          <w:color w:val="000000"/>
          <w:sz w:val="32"/>
          <w:szCs w:val="32"/>
        </w:rPr>
        <w:t>加强</w:t>
      </w:r>
      <w:r>
        <w:rPr>
          <w:rFonts w:hint="eastAsia" w:ascii="宋体" w:hAnsi="宋体" w:cs="宋体"/>
          <w:color w:val="000000"/>
          <w:sz w:val="32"/>
          <w:szCs w:val="32"/>
          <w:lang w:eastAsia="zh-CN"/>
        </w:rPr>
        <w:t>政治理论学习</w:t>
      </w:r>
      <w:r>
        <w:rPr>
          <w:rFonts w:hint="eastAsia" w:ascii="宋体" w:hAnsi="宋体" w:cs="宋体"/>
          <w:color w:val="000000"/>
          <w:sz w:val="32"/>
          <w:szCs w:val="32"/>
        </w:rPr>
        <w:t>，打造过硬法院队伍</w:t>
      </w:r>
      <w:r>
        <w:rPr>
          <w:rFonts w:hint="eastAsia" w:ascii="宋体" w:hAnsi="宋体" w:cs="宋体"/>
          <w:color w:val="000000"/>
          <w:sz w:val="32"/>
          <w:szCs w:val="32"/>
          <w:lang w:eastAsia="zh-CN"/>
        </w:rPr>
        <w:t>。坚决</w:t>
      </w:r>
      <w:r>
        <w:rPr>
          <w:rFonts w:hint="eastAsia" w:ascii="宋体" w:hAnsi="宋体" w:cs="宋体"/>
          <w:color w:val="000000"/>
          <w:sz w:val="32"/>
          <w:szCs w:val="32"/>
        </w:rPr>
        <w:t>贯彻以人民为中心的</w:t>
      </w:r>
      <w:r>
        <w:rPr>
          <w:rFonts w:hint="eastAsia" w:ascii="宋体" w:hAnsi="宋体" w:cs="宋体"/>
          <w:color w:val="000000"/>
          <w:sz w:val="32"/>
          <w:szCs w:val="32"/>
          <w:lang w:eastAsia="zh-CN"/>
        </w:rPr>
        <w:t>思想和理念</w:t>
      </w:r>
      <w:r>
        <w:rPr>
          <w:rFonts w:hint="eastAsia" w:ascii="宋体" w:hAnsi="宋体" w:cs="宋体"/>
          <w:color w:val="000000"/>
          <w:sz w:val="32"/>
          <w:szCs w:val="32"/>
        </w:rPr>
        <w:t>，坚定不移把习近平新时代中国特色社会主义思想作为思想旗帜、理论指引，教育引导全院干警增强“四个意识”、坚定“四个自信”，坚决做到“两个维护”，自觉在政治立场、政治方向、政治原则、政治道路上同以习近平同志为核心的党中央保持高度一致。按</w:t>
      </w:r>
      <w:r>
        <w:rPr>
          <w:rFonts w:hint="eastAsia" w:ascii="宋体" w:hAnsi="宋体" w:cs="宋体"/>
          <w:color w:val="000000"/>
          <w:sz w:val="32"/>
          <w:szCs w:val="32"/>
          <w:lang w:eastAsia="zh-CN"/>
        </w:rPr>
        <w:t>县委和</w:t>
      </w:r>
      <w:r>
        <w:rPr>
          <w:rFonts w:hint="eastAsia" w:ascii="宋体" w:hAnsi="宋体" w:cs="宋体"/>
          <w:color w:val="000000"/>
          <w:sz w:val="32"/>
          <w:szCs w:val="32"/>
        </w:rPr>
        <w:t>上级法院</w:t>
      </w:r>
      <w:r>
        <w:rPr>
          <w:rFonts w:hint="eastAsia" w:ascii="宋体" w:hAnsi="宋体" w:cs="宋体"/>
          <w:color w:val="000000"/>
          <w:sz w:val="32"/>
          <w:szCs w:val="32"/>
          <w:lang w:eastAsia="zh-CN"/>
        </w:rPr>
        <w:t>的</w:t>
      </w:r>
      <w:r>
        <w:rPr>
          <w:rFonts w:hint="eastAsia" w:ascii="宋体" w:hAnsi="宋体" w:cs="宋体"/>
          <w:color w:val="000000"/>
          <w:sz w:val="32"/>
          <w:szCs w:val="32"/>
        </w:rPr>
        <w:t>部署</w:t>
      </w:r>
      <w:r>
        <w:rPr>
          <w:rFonts w:hint="eastAsia" w:ascii="宋体" w:hAnsi="宋体" w:cs="宋体"/>
          <w:color w:val="000000"/>
          <w:sz w:val="32"/>
          <w:szCs w:val="32"/>
          <w:lang w:eastAsia="zh-CN"/>
        </w:rPr>
        <w:t>，</w:t>
      </w:r>
      <w:r>
        <w:rPr>
          <w:rFonts w:hint="eastAsia" w:ascii="宋体" w:hAnsi="宋体" w:cs="宋体"/>
          <w:color w:val="000000"/>
          <w:sz w:val="32"/>
          <w:szCs w:val="32"/>
        </w:rPr>
        <w:t>扎实开展好</w:t>
      </w:r>
      <w:r>
        <w:rPr>
          <w:rFonts w:hint="eastAsia" w:ascii="宋体" w:hAnsi="宋体" w:cs="宋体"/>
          <w:color w:val="000000"/>
          <w:sz w:val="32"/>
          <w:szCs w:val="32"/>
          <w:lang w:eastAsia="zh-CN"/>
        </w:rPr>
        <w:t>党史学习教育和政法队伍教育整顿</w:t>
      </w:r>
      <w:r>
        <w:rPr>
          <w:rFonts w:hint="eastAsia" w:ascii="宋体" w:hAnsi="宋体" w:cs="宋体"/>
          <w:color w:val="000000"/>
          <w:sz w:val="32"/>
          <w:szCs w:val="32"/>
        </w:rPr>
        <w:t>等活动，</w:t>
      </w:r>
      <w:r>
        <w:rPr>
          <w:rFonts w:hint="eastAsia" w:ascii="宋体" w:hAnsi="宋体" w:cs="宋体"/>
          <w:color w:val="000000"/>
          <w:sz w:val="32"/>
          <w:szCs w:val="32"/>
          <w:lang w:eastAsia="zh-CN"/>
        </w:rPr>
        <w:t>通过“身边人、身边事警示案例”</w:t>
      </w:r>
      <w:r>
        <w:rPr>
          <w:rFonts w:hint="eastAsia" w:ascii="宋体" w:hAnsi="宋体" w:cs="宋体"/>
          <w:color w:val="000000"/>
          <w:sz w:val="32"/>
          <w:szCs w:val="32"/>
        </w:rPr>
        <w:t>切实抓好干警思想教育和纪律教育，不断提升人民群众对法院的满意度和队伍的凝聚力；以“零容忍”态度严厉惩治司法腐败，</w:t>
      </w:r>
      <w:r>
        <w:rPr>
          <w:rFonts w:hint="eastAsia" w:ascii="宋体" w:hAnsi="宋体" w:cs="宋体"/>
          <w:color w:val="000000"/>
          <w:sz w:val="32"/>
          <w:szCs w:val="32"/>
          <w:lang w:eastAsia="zh-CN"/>
        </w:rPr>
        <w:t>努力</w:t>
      </w:r>
      <w:r>
        <w:rPr>
          <w:rFonts w:hint="eastAsia" w:ascii="宋体" w:hAnsi="宋体" w:cs="宋体"/>
          <w:color w:val="000000"/>
          <w:sz w:val="32"/>
          <w:szCs w:val="32"/>
        </w:rPr>
        <w:t>建设一支忠诚、干净、担当的法院队伍。</w:t>
      </w:r>
    </w:p>
    <w:p>
      <w:pPr>
        <w:spacing w:line="540" w:lineRule="exact"/>
        <w:ind w:firstLine="480" w:firstLineChars="150"/>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为打造市场化、法治化营商环境提供司法服务。1-10月</w:t>
      </w:r>
      <w:r>
        <w:rPr>
          <w:rFonts w:hint="eastAsia" w:ascii="宋体" w:hAnsi="宋体" w:cs="宋体"/>
          <w:color w:val="000000"/>
          <w:sz w:val="32"/>
          <w:szCs w:val="32"/>
        </w:rPr>
        <w:t>，我院共收民商事案件</w:t>
      </w:r>
      <w:r>
        <w:rPr>
          <w:rFonts w:hint="eastAsia" w:ascii="宋体" w:hAnsi="宋体" w:cs="宋体"/>
          <w:color w:val="000000"/>
          <w:sz w:val="32"/>
          <w:szCs w:val="32"/>
          <w:lang w:val="en-US" w:eastAsia="zh-CN"/>
        </w:rPr>
        <w:t>3465</w:t>
      </w:r>
      <w:r>
        <w:rPr>
          <w:rFonts w:hint="eastAsia" w:ascii="宋体" w:hAnsi="宋体" w:cs="宋体"/>
          <w:color w:val="000000"/>
          <w:sz w:val="32"/>
          <w:szCs w:val="32"/>
        </w:rPr>
        <w:t>件，审</w:t>
      </w:r>
      <w:r>
        <w:rPr>
          <w:rFonts w:hint="eastAsia" w:ascii="宋体" w:hAnsi="宋体" w:cs="宋体"/>
          <w:color w:val="000000"/>
          <w:sz w:val="32"/>
          <w:szCs w:val="32"/>
          <w:lang w:eastAsia="zh-CN"/>
        </w:rPr>
        <w:t>结</w:t>
      </w:r>
      <w:r>
        <w:rPr>
          <w:rFonts w:hint="eastAsia" w:ascii="宋体" w:hAnsi="宋体" w:cs="宋体"/>
          <w:color w:val="000000"/>
          <w:sz w:val="32"/>
          <w:szCs w:val="32"/>
          <w:lang w:val="en-US" w:eastAsia="zh-CN"/>
        </w:rPr>
        <w:t>2821</w:t>
      </w:r>
      <w:r>
        <w:rPr>
          <w:rFonts w:hint="eastAsia" w:ascii="宋体" w:hAnsi="宋体" w:cs="宋体"/>
          <w:color w:val="000000"/>
          <w:sz w:val="32"/>
          <w:szCs w:val="32"/>
        </w:rPr>
        <w:t>件，结案率</w:t>
      </w:r>
      <w:r>
        <w:rPr>
          <w:rFonts w:hint="eastAsia" w:ascii="宋体" w:hAnsi="宋体" w:cs="宋体"/>
          <w:color w:val="000000"/>
          <w:sz w:val="32"/>
          <w:szCs w:val="32"/>
          <w:lang w:val="en-US" w:eastAsia="zh-CN"/>
        </w:rPr>
        <w:t>81.41</w:t>
      </w:r>
      <w:r>
        <w:rPr>
          <w:rFonts w:hint="eastAsia" w:ascii="宋体" w:hAnsi="宋体" w:cs="宋体"/>
          <w:color w:val="000000"/>
          <w:sz w:val="32"/>
          <w:szCs w:val="32"/>
        </w:rPr>
        <w:t>%。坚持“法治是最好的营商环境”理念，</w:t>
      </w:r>
      <w:r>
        <w:rPr>
          <w:rFonts w:hint="eastAsia" w:ascii="宋体" w:hAnsi="宋体" w:cs="宋体"/>
          <w:color w:val="000000"/>
          <w:sz w:val="32"/>
          <w:szCs w:val="32"/>
          <w:lang w:val="en-US" w:eastAsia="zh-CN"/>
        </w:rPr>
        <w:t>围绕县委“9大工程”建设部署</w:t>
      </w:r>
      <w:r>
        <w:rPr>
          <w:rFonts w:hint="eastAsia" w:ascii="宋体" w:hAnsi="宋体" w:cs="宋体"/>
          <w:color w:val="000000"/>
          <w:sz w:val="32"/>
          <w:szCs w:val="32"/>
          <w:lang w:eastAsia="zh-CN"/>
        </w:rPr>
        <w:t>，</w:t>
      </w:r>
      <w:r>
        <w:rPr>
          <w:rFonts w:hint="eastAsia" w:ascii="宋体" w:hAnsi="宋体" w:cs="宋体"/>
          <w:color w:val="000000"/>
          <w:sz w:val="32"/>
          <w:szCs w:val="32"/>
        </w:rPr>
        <w:t>主动为县委、县政府出台的相关文件、签订的招商引资合同提供法律意见</w:t>
      </w:r>
      <w:r>
        <w:rPr>
          <w:rFonts w:hint="eastAsia" w:ascii="宋体" w:hAnsi="宋体" w:cs="宋体"/>
          <w:color w:val="000000"/>
          <w:sz w:val="32"/>
          <w:szCs w:val="32"/>
          <w:lang w:eastAsia="zh-CN"/>
        </w:rPr>
        <w:t>，</w:t>
      </w:r>
      <w:r>
        <w:rPr>
          <w:rFonts w:hint="eastAsia" w:ascii="宋体" w:hAnsi="宋体" w:cs="宋体"/>
          <w:color w:val="000000"/>
          <w:sz w:val="32"/>
          <w:szCs w:val="32"/>
        </w:rPr>
        <w:t>抽调业务骨干，</w:t>
      </w:r>
      <w:r>
        <w:rPr>
          <w:rFonts w:hint="eastAsia" w:ascii="宋体" w:hAnsi="宋体" w:cs="宋体"/>
          <w:color w:val="000000"/>
          <w:sz w:val="32"/>
          <w:szCs w:val="32"/>
          <w:lang w:eastAsia="zh-CN"/>
        </w:rPr>
        <w:t>主动</w:t>
      </w:r>
      <w:r>
        <w:rPr>
          <w:rFonts w:hint="eastAsia" w:ascii="宋体" w:hAnsi="宋体" w:cs="宋体"/>
          <w:color w:val="000000"/>
          <w:sz w:val="32"/>
          <w:szCs w:val="32"/>
        </w:rPr>
        <w:t>服务县委</w:t>
      </w:r>
      <w:r>
        <w:rPr>
          <w:rFonts w:hint="eastAsia" w:ascii="宋体" w:hAnsi="宋体" w:cs="宋体"/>
          <w:color w:val="000000"/>
          <w:sz w:val="32"/>
          <w:szCs w:val="32"/>
          <w:lang w:eastAsia="zh-CN"/>
        </w:rPr>
        <w:t>、</w:t>
      </w:r>
      <w:r>
        <w:rPr>
          <w:rFonts w:hint="eastAsia" w:ascii="宋体" w:hAnsi="宋体" w:cs="宋体"/>
          <w:color w:val="000000"/>
          <w:sz w:val="32"/>
          <w:szCs w:val="32"/>
        </w:rPr>
        <w:t>县政府招商引资工作</w:t>
      </w:r>
      <w:r>
        <w:rPr>
          <w:rFonts w:hint="eastAsia" w:ascii="宋体" w:hAnsi="宋体" w:cs="宋体"/>
          <w:color w:val="000000"/>
          <w:sz w:val="32"/>
          <w:szCs w:val="32"/>
          <w:lang w:eastAsia="zh-CN"/>
        </w:rPr>
        <w:t>，积极</w:t>
      </w:r>
      <w:r>
        <w:rPr>
          <w:rFonts w:hint="eastAsia" w:ascii="宋体" w:hAnsi="宋体" w:cs="宋体"/>
          <w:color w:val="000000"/>
          <w:sz w:val="32"/>
          <w:szCs w:val="32"/>
        </w:rPr>
        <w:t>建言献策，</w:t>
      </w:r>
      <w:r>
        <w:rPr>
          <w:rFonts w:hint="eastAsia" w:ascii="宋体" w:hAnsi="宋体" w:cs="宋体"/>
          <w:color w:val="000000"/>
          <w:sz w:val="32"/>
          <w:szCs w:val="32"/>
          <w:lang w:eastAsia="zh-CN"/>
        </w:rPr>
        <w:t>促进改善投资和市场环境，努力营造公平稳定透明、可预期的法治化营商环境</w:t>
      </w:r>
      <w:r>
        <w:rPr>
          <w:rFonts w:hint="eastAsia" w:ascii="宋体" w:hAnsi="宋体" w:cs="宋体"/>
          <w:color w:val="000000"/>
          <w:sz w:val="32"/>
          <w:szCs w:val="32"/>
        </w:rPr>
        <w:t>。</w:t>
      </w:r>
    </w:p>
    <w:p>
      <w:pPr>
        <w:spacing w:line="540" w:lineRule="exact"/>
        <w:ind w:firstLine="480" w:firstLineChars="150"/>
        <w:rPr>
          <w:rFonts w:hint="eastAsia" w:ascii="宋体" w:hAnsi="宋体" w:cs="宋体"/>
          <w:color w:val="000000"/>
          <w:sz w:val="32"/>
          <w:szCs w:val="32"/>
        </w:rPr>
      </w:pPr>
      <w:r>
        <w:rPr>
          <w:rFonts w:hint="eastAsia" w:ascii="宋体" w:hAnsi="宋体" w:cs="宋体"/>
          <w:color w:val="000000"/>
          <w:sz w:val="32"/>
          <w:szCs w:val="32"/>
          <w:lang w:eastAsia="zh-CN"/>
        </w:rPr>
        <w:t>切实维护柳城安全和社会大局稳定</w:t>
      </w:r>
      <w:r>
        <w:rPr>
          <w:rFonts w:hint="eastAsia" w:ascii="宋体" w:hAnsi="宋体" w:cs="宋体"/>
          <w:color w:val="000000"/>
          <w:sz w:val="32"/>
          <w:szCs w:val="32"/>
          <w:lang w:val="en-US" w:eastAsia="zh-CN"/>
        </w:rPr>
        <w:t>。1-10月</w:t>
      </w:r>
      <w:r>
        <w:rPr>
          <w:rFonts w:hint="eastAsia" w:ascii="宋体" w:hAnsi="宋体" w:cs="宋体"/>
          <w:color w:val="000000"/>
          <w:sz w:val="32"/>
          <w:szCs w:val="32"/>
        </w:rPr>
        <w:t>，我院共收刑事案</w:t>
      </w:r>
      <w:r>
        <w:rPr>
          <w:rFonts w:hint="eastAsia" w:ascii="宋体" w:hAnsi="宋体" w:cs="宋体"/>
          <w:color w:val="000000"/>
          <w:sz w:val="32"/>
          <w:szCs w:val="32"/>
          <w:lang w:val="en-US" w:eastAsia="zh-CN"/>
        </w:rPr>
        <w:t>251</w:t>
      </w:r>
      <w:r>
        <w:rPr>
          <w:rFonts w:hint="eastAsia" w:ascii="宋体" w:hAnsi="宋体" w:cs="宋体"/>
          <w:color w:val="000000"/>
          <w:sz w:val="32"/>
          <w:szCs w:val="32"/>
        </w:rPr>
        <w:t>件，审结</w:t>
      </w:r>
      <w:r>
        <w:rPr>
          <w:rFonts w:hint="eastAsia" w:ascii="宋体" w:hAnsi="宋体" w:cs="宋体"/>
          <w:color w:val="000000"/>
          <w:sz w:val="32"/>
          <w:szCs w:val="32"/>
          <w:lang w:val="en-US" w:eastAsia="zh-CN"/>
        </w:rPr>
        <w:t>231</w:t>
      </w:r>
      <w:r>
        <w:rPr>
          <w:rFonts w:hint="eastAsia" w:ascii="宋体" w:hAnsi="宋体" w:cs="宋体"/>
          <w:color w:val="000000"/>
          <w:sz w:val="32"/>
          <w:szCs w:val="32"/>
        </w:rPr>
        <w:t>件，结案率</w:t>
      </w:r>
      <w:r>
        <w:rPr>
          <w:rFonts w:hint="eastAsia" w:ascii="宋体" w:hAnsi="宋体" w:cs="宋体"/>
          <w:color w:val="000000"/>
          <w:sz w:val="32"/>
          <w:szCs w:val="32"/>
          <w:lang w:val="en-US" w:eastAsia="zh-CN"/>
        </w:rPr>
        <w:t>92.03</w:t>
      </w:r>
      <w:r>
        <w:rPr>
          <w:rFonts w:hint="eastAsia" w:ascii="宋体" w:hAnsi="宋体" w:cs="宋体"/>
          <w:color w:val="000000"/>
          <w:sz w:val="32"/>
          <w:szCs w:val="32"/>
        </w:rPr>
        <w:t>%。毫不动摇把维护柳城安全和社会稳定作为刑事审判工作的落脚点，</w:t>
      </w:r>
      <w:r>
        <w:rPr>
          <w:rFonts w:hint="eastAsia" w:ascii="宋体" w:hAnsi="宋体" w:cs="宋体"/>
          <w:color w:val="000000"/>
          <w:sz w:val="32"/>
          <w:szCs w:val="32"/>
          <w:lang w:eastAsia="zh-CN"/>
        </w:rPr>
        <w:t>扎实推进以审判为中心的刑事诉讼制度改革，积极参加县委政法委组织的重大案件研讨会，不定期与县纪委监委、县检察院、县公安局、县司法局等部门开展联席会，对案件处理过程中遇到的和可能遇到的问题积极进行交流，并重点就如何提升量刑建议进行研商，扎实推进</w:t>
      </w:r>
      <w:r>
        <w:rPr>
          <w:rFonts w:hint="eastAsia" w:ascii="宋体" w:hAnsi="宋体" w:cs="宋体"/>
          <w:color w:val="000000"/>
          <w:sz w:val="32"/>
          <w:szCs w:val="32"/>
        </w:rPr>
        <w:t>认罪认罚从宽</w:t>
      </w:r>
      <w:r>
        <w:rPr>
          <w:rFonts w:hint="eastAsia" w:ascii="宋体" w:hAnsi="宋体" w:cs="宋体"/>
          <w:color w:val="000000"/>
          <w:sz w:val="32"/>
          <w:szCs w:val="32"/>
          <w:lang w:eastAsia="zh-CN"/>
        </w:rPr>
        <w:t>工作，同时坚持证据裁判原则，强化监督制约，确保宽严相济刑事政策的落实，提升办案质效。规范落实“网上办案”制度，实现所有案件庭审、合议、文书制作、签批、送达、结案、归档等全面在网上流转，积极启用“云间庭审”，做到疫情防控与审判工作“两不误”。不断延伸审判职能，</w:t>
      </w:r>
      <w:r>
        <w:rPr>
          <w:rFonts w:hint="eastAsia" w:ascii="宋体" w:hAnsi="宋体" w:cs="宋体"/>
          <w:color w:val="000000"/>
          <w:sz w:val="32"/>
          <w:szCs w:val="32"/>
          <w:lang w:val="en-US" w:eastAsia="zh-CN"/>
        </w:rPr>
        <w:t>持续严厉打击毒品犯罪和做好禁毒宣传教育活动，切实提高群众对毒品危害性的深刻认识，进一步增强群众远离毒品的意识和抵制毒品的能力，用“满意”为柳城县禁毒工作、“平安柳城建设”加油。持续开展扫黑除恶专项斗争常态化工作，</w:t>
      </w:r>
      <w:r>
        <w:rPr>
          <w:rFonts w:hint="eastAsia" w:ascii="宋体" w:hAnsi="宋体" w:cs="宋体"/>
          <w:color w:val="000000"/>
          <w:sz w:val="32"/>
          <w:szCs w:val="32"/>
          <w:lang w:eastAsia="zh-CN"/>
        </w:rPr>
        <w:t>建立健全扫黑除恶长效机制，</w:t>
      </w:r>
      <w:r>
        <w:rPr>
          <w:rFonts w:hint="eastAsia" w:ascii="宋体" w:hAnsi="宋体" w:cs="宋体"/>
          <w:color w:val="000000"/>
          <w:sz w:val="32"/>
          <w:szCs w:val="32"/>
        </w:rPr>
        <w:t>不断取得新成效，切实提升人民群众安全感和满意度，目前我院无涉黑案件</w:t>
      </w:r>
      <w:r>
        <w:rPr>
          <w:rFonts w:hint="eastAsia" w:ascii="宋体" w:hAnsi="宋体" w:cs="宋体"/>
          <w:color w:val="000000"/>
          <w:sz w:val="32"/>
          <w:szCs w:val="32"/>
          <w:lang w:val="en-US" w:eastAsia="zh-CN"/>
        </w:rPr>
        <w:t>,</w:t>
      </w:r>
      <w:r>
        <w:rPr>
          <w:rFonts w:hint="eastAsia" w:ascii="宋体" w:hAnsi="宋体" w:cs="宋体"/>
          <w:color w:val="000000"/>
          <w:sz w:val="32"/>
          <w:szCs w:val="32"/>
        </w:rPr>
        <w:t>涉恶案件已经清结，线索也已经清零。</w:t>
      </w:r>
    </w:p>
    <w:p>
      <w:pPr>
        <w:spacing w:line="540" w:lineRule="exact"/>
        <w:ind w:firstLine="480" w:firstLineChars="150"/>
        <w:rPr>
          <w:rFonts w:hint="eastAsia" w:ascii="宋体" w:hAnsi="宋体" w:cs="宋体"/>
          <w:color w:val="000000"/>
          <w:sz w:val="32"/>
          <w:szCs w:val="32"/>
          <w:lang w:val="en-US" w:eastAsia="zh-CN"/>
        </w:rPr>
      </w:pPr>
      <w:r>
        <w:rPr>
          <w:rFonts w:hint="eastAsia" w:ascii="宋体" w:hAnsi="宋体" w:cs="宋体"/>
          <w:color w:val="000000"/>
          <w:sz w:val="32"/>
          <w:szCs w:val="32"/>
        </w:rPr>
        <w:t>狠抓执行攻坚，全力破解执行难题。</w:t>
      </w:r>
      <w:r>
        <w:rPr>
          <w:rFonts w:hint="eastAsia" w:ascii="宋体" w:hAnsi="宋体" w:cs="宋体"/>
          <w:color w:val="000000"/>
          <w:sz w:val="32"/>
          <w:szCs w:val="32"/>
          <w:lang w:val="en-US" w:eastAsia="zh-CN"/>
        </w:rPr>
        <w:t>1-10月，共受理执行案件1976件，结案1660件，结案率达84.01%，终本案件合格率100%，信访案件办结率100%，有财产案件法定期限内实际执结率99.85%，保持了执行质效指标中三个“90%”一个“80%”的高效运行。集中</w:t>
      </w:r>
      <w:r>
        <w:rPr>
          <w:rFonts w:hint="eastAsia" w:ascii="宋体" w:hAnsi="宋体" w:cs="宋体"/>
          <w:color w:val="000000"/>
          <w:sz w:val="32"/>
          <w:szCs w:val="32"/>
        </w:rPr>
        <w:t>开展</w:t>
      </w:r>
      <w:r>
        <w:rPr>
          <w:rFonts w:hint="eastAsia" w:ascii="宋体" w:hAnsi="宋体" w:cs="宋体"/>
          <w:color w:val="000000"/>
          <w:sz w:val="32"/>
          <w:szCs w:val="32"/>
          <w:lang w:eastAsia="zh-CN"/>
        </w:rPr>
        <w:t>各项执行</w:t>
      </w:r>
      <w:r>
        <w:rPr>
          <w:rFonts w:hint="eastAsia" w:ascii="宋体" w:hAnsi="宋体" w:cs="宋体"/>
          <w:color w:val="000000"/>
          <w:sz w:val="32"/>
          <w:szCs w:val="32"/>
        </w:rPr>
        <w:t>专项活动</w:t>
      </w:r>
      <w:r>
        <w:rPr>
          <w:rFonts w:hint="eastAsia" w:ascii="宋体" w:hAnsi="宋体" w:cs="宋体"/>
          <w:color w:val="000000"/>
          <w:sz w:val="32"/>
          <w:szCs w:val="32"/>
          <w:lang w:eastAsia="zh-CN"/>
        </w:rPr>
        <w:t>，</w:t>
      </w:r>
      <w:r>
        <w:rPr>
          <w:rFonts w:hint="eastAsia" w:ascii="宋体" w:hAnsi="宋体" w:cs="宋体"/>
          <w:color w:val="000000"/>
          <w:sz w:val="32"/>
          <w:szCs w:val="32"/>
        </w:rPr>
        <w:t>切实加大对涉及人民群众生存生活的追索劳动报酬（包括农民工工资）、赡养费、扶养费、抚育费、抚恤金、医疗损害赔偿、交通事故人身损害赔偿、工伤保险待遇等案件的执行力度</w:t>
      </w:r>
      <w:r>
        <w:rPr>
          <w:rFonts w:hint="eastAsia" w:ascii="宋体" w:hAnsi="宋体" w:cs="宋体"/>
          <w:color w:val="000000"/>
          <w:sz w:val="32"/>
          <w:szCs w:val="32"/>
          <w:lang w:eastAsia="zh-CN"/>
        </w:rPr>
        <w:t>，今年以来</w:t>
      </w:r>
      <w:r>
        <w:rPr>
          <w:rFonts w:hint="eastAsia" w:ascii="宋体" w:hAnsi="宋体" w:cs="宋体"/>
          <w:color w:val="000000"/>
          <w:sz w:val="32"/>
          <w:szCs w:val="32"/>
        </w:rPr>
        <w:t>共执结涉民生案件</w:t>
      </w:r>
      <w:r>
        <w:rPr>
          <w:rFonts w:hint="eastAsia" w:ascii="宋体" w:hAnsi="宋体" w:cs="宋体"/>
          <w:color w:val="000000"/>
          <w:sz w:val="32"/>
          <w:szCs w:val="32"/>
          <w:lang w:val="en-US" w:eastAsia="zh-CN"/>
        </w:rPr>
        <w:t>164</w:t>
      </w:r>
      <w:r>
        <w:rPr>
          <w:rFonts w:hint="eastAsia" w:ascii="宋体" w:hAnsi="宋体" w:cs="宋体"/>
          <w:color w:val="000000"/>
          <w:sz w:val="32"/>
          <w:szCs w:val="32"/>
        </w:rPr>
        <w:t>件，为当事人追回款项</w:t>
      </w:r>
      <w:r>
        <w:rPr>
          <w:rFonts w:hint="eastAsia" w:ascii="宋体" w:hAnsi="宋体" w:cs="宋体"/>
          <w:color w:val="000000"/>
          <w:sz w:val="32"/>
          <w:szCs w:val="32"/>
          <w:lang w:val="en-US" w:eastAsia="zh-CN"/>
        </w:rPr>
        <w:t>1768.03</w:t>
      </w:r>
      <w:r>
        <w:rPr>
          <w:rFonts w:hint="eastAsia" w:ascii="宋体" w:hAnsi="宋体" w:cs="宋体"/>
          <w:color w:val="000000"/>
          <w:sz w:val="32"/>
          <w:szCs w:val="32"/>
        </w:rPr>
        <w:t>万</w:t>
      </w:r>
      <w:r>
        <w:rPr>
          <w:rFonts w:hint="eastAsia" w:ascii="宋体" w:hAnsi="宋体" w:cs="宋体"/>
          <w:color w:val="000000"/>
          <w:sz w:val="32"/>
          <w:szCs w:val="32"/>
          <w:lang w:eastAsia="zh-CN"/>
        </w:rPr>
        <w:t>元。</w:t>
      </w:r>
      <w:r>
        <w:rPr>
          <w:rFonts w:hint="eastAsia" w:ascii="宋体" w:hAnsi="宋体" w:cs="宋体"/>
          <w:color w:val="000000"/>
          <w:sz w:val="32"/>
          <w:szCs w:val="32"/>
        </w:rPr>
        <w:t>我院</w:t>
      </w:r>
      <w:r>
        <w:rPr>
          <w:rFonts w:hint="eastAsia" w:ascii="宋体" w:hAnsi="宋体" w:cs="宋体"/>
          <w:color w:val="000000"/>
          <w:sz w:val="32"/>
          <w:szCs w:val="32"/>
          <w:lang w:eastAsia="zh-CN"/>
        </w:rPr>
        <w:t>积极开展司法网拍活动，今年以来，挂网</w:t>
      </w:r>
      <w:r>
        <w:rPr>
          <w:rFonts w:hint="eastAsia" w:ascii="宋体" w:hAnsi="宋体" w:cs="宋体"/>
          <w:color w:val="000000"/>
          <w:sz w:val="32"/>
          <w:szCs w:val="32"/>
        </w:rPr>
        <w:t>拍卖</w:t>
      </w:r>
      <w:r>
        <w:rPr>
          <w:rFonts w:hint="eastAsia" w:ascii="宋体" w:hAnsi="宋体" w:cs="宋体"/>
          <w:color w:val="000000"/>
          <w:sz w:val="32"/>
          <w:szCs w:val="32"/>
          <w:lang w:eastAsia="zh-CN"/>
        </w:rPr>
        <w:t>案件</w:t>
      </w:r>
      <w:r>
        <w:rPr>
          <w:rFonts w:hint="eastAsia" w:ascii="宋体" w:hAnsi="宋体" w:cs="宋体"/>
          <w:color w:val="000000"/>
          <w:sz w:val="32"/>
          <w:szCs w:val="32"/>
        </w:rPr>
        <w:t>数</w:t>
      </w:r>
      <w:r>
        <w:rPr>
          <w:rFonts w:hint="eastAsia" w:ascii="宋体" w:hAnsi="宋体" w:cs="宋体"/>
          <w:color w:val="000000"/>
          <w:sz w:val="32"/>
          <w:szCs w:val="32"/>
          <w:lang w:val="en-US" w:eastAsia="zh-CN"/>
        </w:rPr>
        <w:t>92</w:t>
      </w:r>
      <w:r>
        <w:rPr>
          <w:rFonts w:hint="eastAsia" w:ascii="宋体" w:hAnsi="宋体" w:cs="宋体"/>
          <w:color w:val="000000"/>
          <w:sz w:val="32"/>
          <w:szCs w:val="32"/>
        </w:rPr>
        <w:t>件</w:t>
      </w:r>
      <w:r>
        <w:rPr>
          <w:rFonts w:hint="eastAsia" w:ascii="宋体" w:hAnsi="宋体" w:cs="宋体"/>
          <w:color w:val="000000"/>
          <w:sz w:val="32"/>
          <w:szCs w:val="32"/>
          <w:lang w:eastAsia="zh-CN"/>
        </w:rPr>
        <w:t>，标的物数量</w:t>
      </w:r>
      <w:r>
        <w:rPr>
          <w:rFonts w:hint="eastAsia" w:ascii="宋体" w:hAnsi="宋体" w:cs="宋体"/>
          <w:color w:val="000000"/>
          <w:sz w:val="32"/>
          <w:szCs w:val="32"/>
          <w:lang w:val="en-US" w:eastAsia="zh-CN"/>
        </w:rPr>
        <w:t>146个</w:t>
      </w:r>
      <w:r>
        <w:rPr>
          <w:rFonts w:hint="eastAsia" w:ascii="宋体" w:hAnsi="宋体" w:cs="宋体"/>
          <w:color w:val="000000"/>
          <w:sz w:val="32"/>
          <w:szCs w:val="32"/>
        </w:rPr>
        <w:t>，</w:t>
      </w:r>
      <w:r>
        <w:rPr>
          <w:rFonts w:hint="eastAsia" w:ascii="宋体" w:hAnsi="宋体" w:cs="宋体"/>
          <w:color w:val="000000"/>
          <w:sz w:val="32"/>
          <w:szCs w:val="32"/>
          <w:lang w:eastAsia="zh-CN"/>
        </w:rPr>
        <w:t>全部由</w:t>
      </w:r>
      <w:r>
        <w:rPr>
          <w:rFonts w:hint="eastAsia" w:ascii="宋体" w:hAnsi="宋体" w:cs="宋体"/>
          <w:color w:val="000000"/>
          <w:sz w:val="32"/>
          <w:szCs w:val="32"/>
        </w:rPr>
        <w:t>从内网推送（五大平台拍卖），成交量</w:t>
      </w:r>
      <w:r>
        <w:rPr>
          <w:rFonts w:hint="eastAsia" w:ascii="宋体" w:hAnsi="宋体" w:cs="宋体"/>
          <w:color w:val="000000"/>
          <w:sz w:val="32"/>
          <w:szCs w:val="32"/>
          <w:lang w:eastAsia="zh-CN"/>
        </w:rPr>
        <w:t>达</w:t>
      </w:r>
      <w:r>
        <w:rPr>
          <w:rFonts w:hint="eastAsia" w:ascii="宋体" w:hAnsi="宋体" w:cs="宋体"/>
          <w:color w:val="000000"/>
          <w:sz w:val="32"/>
          <w:szCs w:val="32"/>
          <w:lang w:val="en-US" w:eastAsia="zh-CN"/>
        </w:rPr>
        <w:t>115</w:t>
      </w:r>
      <w:r>
        <w:rPr>
          <w:rFonts w:hint="eastAsia" w:ascii="宋体" w:hAnsi="宋体" w:cs="宋体"/>
          <w:color w:val="000000"/>
          <w:sz w:val="32"/>
          <w:szCs w:val="32"/>
          <w:lang w:eastAsia="zh-CN"/>
        </w:rPr>
        <w:t>个</w:t>
      </w:r>
      <w:r>
        <w:rPr>
          <w:rFonts w:hint="eastAsia" w:ascii="宋体" w:hAnsi="宋体" w:cs="宋体"/>
          <w:color w:val="000000"/>
          <w:sz w:val="32"/>
          <w:szCs w:val="32"/>
        </w:rPr>
        <w:t>，成交金额达</w:t>
      </w:r>
      <w:r>
        <w:rPr>
          <w:rFonts w:hint="eastAsia" w:ascii="宋体" w:hAnsi="宋体" w:cs="宋体"/>
          <w:color w:val="000000"/>
          <w:sz w:val="32"/>
          <w:szCs w:val="32"/>
          <w:lang w:val="en-US" w:eastAsia="zh-CN"/>
        </w:rPr>
        <w:t>2830.1697</w:t>
      </w:r>
      <w:r>
        <w:rPr>
          <w:rFonts w:hint="eastAsia" w:ascii="宋体" w:hAnsi="宋体" w:cs="宋体"/>
          <w:color w:val="000000"/>
          <w:sz w:val="32"/>
          <w:szCs w:val="32"/>
        </w:rPr>
        <w:t>万元，</w:t>
      </w:r>
      <w:r>
        <w:rPr>
          <w:rFonts w:hint="eastAsia" w:ascii="宋体" w:hAnsi="宋体" w:cs="宋体"/>
          <w:color w:val="000000"/>
          <w:sz w:val="32"/>
          <w:szCs w:val="32"/>
          <w:lang w:eastAsia="zh-CN"/>
        </w:rPr>
        <w:t>标的成交率达</w:t>
      </w:r>
      <w:r>
        <w:rPr>
          <w:rFonts w:hint="eastAsia" w:ascii="宋体" w:hAnsi="宋体" w:cs="宋体"/>
          <w:color w:val="000000"/>
          <w:sz w:val="32"/>
          <w:szCs w:val="32"/>
          <w:lang w:val="en-US" w:eastAsia="zh-CN"/>
        </w:rPr>
        <w:t>95.04%，溢价率达到606.01%。</w:t>
      </w:r>
    </w:p>
    <w:p>
      <w:pPr>
        <w:spacing w:line="540" w:lineRule="exact"/>
        <w:ind w:firstLine="480" w:firstLineChars="150"/>
        <w:rPr>
          <w:rFonts w:hint="eastAsia" w:ascii="宋体" w:hAnsi="宋体" w:cs="宋体"/>
          <w:color w:val="000000"/>
          <w:sz w:val="32"/>
          <w:szCs w:val="32"/>
        </w:rPr>
      </w:pPr>
      <w:r>
        <w:rPr>
          <w:rFonts w:hint="eastAsia" w:ascii="宋体" w:hAnsi="宋体" w:cs="宋体"/>
          <w:color w:val="000000"/>
          <w:sz w:val="32"/>
          <w:szCs w:val="32"/>
        </w:rPr>
        <w:t>持续深化司法公</w:t>
      </w:r>
      <w:r>
        <w:rPr>
          <w:rFonts w:hint="eastAsia" w:ascii="宋体" w:hAnsi="宋体" w:cs="宋体"/>
          <w:color w:val="000000"/>
          <w:sz w:val="32"/>
          <w:szCs w:val="32"/>
          <w:lang w:eastAsia="zh-CN"/>
        </w:rPr>
        <w:t>开，不断提升司法公信力</w:t>
      </w:r>
      <w:r>
        <w:rPr>
          <w:rFonts w:hint="eastAsia" w:ascii="宋体" w:hAnsi="宋体" w:cs="宋体"/>
          <w:color w:val="000000"/>
          <w:sz w:val="32"/>
          <w:szCs w:val="32"/>
        </w:rPr>
        <w:t>。</w:t>
      </w:r>
      <w:r>
        <w:rPr>
          <w:rFonts w:hint="eastAsia" w:ascii="宋体" w:hAnsi="宋体" w:cs="宋体"/>
          <w:color w:val="000000"/>
          <w:sz w:val="32"/>
          <w:szCs w:val="32"/>
          <w:lang w:val="en-US" w:eastAsia="zh-CN"/>
        </w:rPr>
        <w:t>1-10月，</w:t>
      </w:r>
      <w:r>
        <w:rPr>
          <w:rFonts w:hint="eastAsia" w:ascii="宋体" w:hAnsi="宋体" w:cs="宋体"/>
          <w:color w:val="000000"/>
          <w:sz w:val="32"/>
          <w:szCs w:val="32"/>
        </w:rPr>
        <w:t>公开直播庭审</w:t>
      </w:r>
      <w:r>
        <w:rPr>
          <w:rFonts w:hint="eastAsia" w:ascii="宋体" w:hAnsi="宋体" w:cs="宋体"/>
          <w:color w:val="000000"/>
          <w:sz w:val="32"/>
          <w:szCs w:val="32"/>
          <w:lang w:val="en-US" w:eastAsia="zh-CN"/>
        </w:rPr>
        <w:t>641</w:t>
      </w:r>
      <w:r>
        <w:rPr>
          <w:rFonts w:hint="eastAsia" w:ascii="宋体" w:hAnsi="宋体" w:cs="宋体"/>
          <w:color w:val="000000"/>
          <w:sz w:val="32"/>
          <w:szCs w:val="32"/>
        </w:rPr>
        <w:t>件，公开裁判文书</w:t>
      </w:r>
      <w:r>
        <w:rPr>
          <w:rFonts w:hint="eastAsia" w:ascii="宋体" w:hAnsi="宋体" w:cs="宋体"/>
          <w:color w:val="000000"/>
          <w:sz w:val="32"/>
          <w:szCs w:val="32"/>
          <w:lang w:val="en-US" w:eastAsia="zh-CN"/>
        </w:rPr>
        <w:t>1731</w:t>
      </w:r>
      <w:r>
        <w:rPr>
          <w:rFonts w:hint="eastAsia" w:ascii="宋体" w:hAnsi="宋体" w:cs="宋体"/>
          <w:color w:val="000000"/>
          <w:sz w:val="32"/>
          <w:szCs w:val="32"/>
        </w:rPr>
        <w:t>份，在人民法院报、广西法治日报等重点媒体发稿</w:t>
      </w:r>
      <w:r>
        <w:rPr>
          <w:rFonts w:hint="eastAsia" w:ascii="宋体" w:hAnsi="宋体" w:cs="宋体"/>
          <w:color w:val="000000"/>
          <w:sz w:val="32"/>
          <w:szCs w:val="32"/>
          <w:lang w:val="en-US" w:eastAsia="zh-CN"/>
        </w:rPr>
        <w:t>28</w:t>
      </w:r>
      <w:r>
        <w:rPr>
          <w:rFonts w:hint="eastAsia" w:ascii="宋体" w:hAnsi="宋体" w:cs="宋体"/>
          <w:color w:val="000000"/>
          <w:sz w:val="32"/>
          <w:szCs w:val="32"/>
        </w:rPr>
        <w:t>篇，发布官方微博</w:t>
      </w:r>
      <w:r>
        <w:rPr>
          <w:rFonts w:hint="eastAsia" w:ascii="宋体" w:hAnsi="宋体" w:cs="宋体"/>
          <w:color w:val="000000"/>
          <w:sz w:val="32"/>
          <w:szCs w:val="32"/>
          <w:lang w:val="en-US" w:eastAsia="zh-CN"/>
        </w:rPr>
        <w:t>186</w:t>
      </w:r>
      <w:r>
        <w:rPr>
          <w:rFonts w:hint="eastAsia" w:ascii="宋体" w:hAnsi="宋体" w:cs="宋体"/>
          <w:color w:val="000000"/>
          <w:sz w:val="32"/>
          <w:szCs w:val="32"/>
        </w:rPr>
        <w:t>条、微信</w:t>
      </w:r>
      <w:r>
        <w:rPr>
          <w:rFonts w:hint="eastAsia" w:ascii="宋体" w:hAnsi="宋体" w:cs="宋体"/>
          <w:color w:val="000000"/>
          <w:sz w:val="32"/>
          <w:szCs w:val="32"/>
          <w:lang w:val="en-US" w:eastAsia="zh-CN"/>
        </w:rPr>
        <w:t>160</w:t>
      </w:r>
      <w:r>
        <w:rPr>
          <w:rFonts w:hint="eastAsia" w:ascii="宋体" w:hAnsi="宋体" w:cs="宋体"/>
          <w:color w:val="000000"/>
          <w:sz w:val="32"/>
          <w:szCs w:val="32"/>
        </w:rPr>
        <w:t>期，发布今日头条</w:t>
      </w:r>
      <w:r>
        <w:rPr>
          <w:rFonts w:hint="eastAsia" w:ascii="宋体" w:hAnsi="宋体" w:cs="宋体"/>
          <w:color w:val="000000"/>
          <w:sz w:val="32"/>
          <w:szCs w:val="32"/>
          <w:lang w:val="en-US" w:eastAsia="zh-CN"/>
        </w:rPr>
        <w:t>172</w:t>
      </w:r>
      <w:r>
        <w:rPr>
          <w:rFonts w:hint="eastAsia" w:ascii="宋体" w:hAnsi="宋体" w:cs="宋体"/>
          <w:color w:val="000000"/>
          <w:sz w:val="32"/>
          <w:szCs w:val="32"/>
        </w:rPr>
        <w:t>条，举办法院公众开放日</w:t>
      </w:r>
      <w:r>
        <w:rPr>
          <w:rFonts w:hint="eastAsia" w:ascii="宋体" w:hAnsi="宋体" w:cs="宋体"/>
          <w:color w:val="000000"/>
          <w:sz w:val="32"/>
          <w:szCs w:val="32"/>
          <w:lang w:val="en-US" w:eastAsia="zh-CN"/>
        </w:rPr>
        <w:t>20</w:t>
      </w:r>
      <w:r>
        <w:rPr>
          <w:rFonts w:hint="eastAsia" w:ascii="宋体" w:hAnsi="宋体" w:cs="宋体"/>
          <w:color w:val="000000"/>
          <w:sz w:val="32"/>
          <w:szCs w:val="32"/>
        </w:rPr>
        <w:t>次</w:t>
      </w:r>
      <w:r>
        <w:rPr>
          <w:rFonts w:hint="eastAsia" w:ascii="宋体" w:hAnsi="宋体" w:cs="宋体"/>
          <w:color w:val="000000"/>
          <w:sz w:val="32"/>
          <w:szCs w:val="32"/>
          <w:lang w:val="en-US" w:eastAsia="zh-CN"/>
        </w:rPr>
        <w:t>3000</w:t>
      </w:r>
      <w:r>
        <w:rPr>
          <w:rFonts w:hint="eastAsia" w:ascii="宋体" w:hAnsi="宋体" w:cs="宋体"/>
          <w:color w:val="000000"/>
          <w:sz w:val="32"/>
          <w:szCs w:val="32"/>
        </w:rPr>
        <w:t>余人，努力以看得见的方式实现公平正义。一是在执法办案和司法改革过程中，始终坚持把法院工作置于县委的坚强领导下，主动接受县人大及其常委会的监督，定期报告法院工作情况，邀请人大代表、政协委员旁听法院庭审、监督执行，听取意见建议，进一步加强和改进法院工作。二是加强审判流程、庭审活动、裁判文书、执行信息四大公开平台建设，拓展司法公开广度深度。三是强化法院内部监督力度，以公开促公正，以作风促效率，以监督保廉洁，不断提高公正司法水平。四是</w:t>
      </w:r>
      <w:r>
        <w:rPr>
          <w:rFonts w:hint="eastAsia" w:ascii="宋体" w:hAnsi="宋体" w:cs="宋体"/>
          <w:color w:val="000000"/>
          <w:sz w:val="32"/>
          <w:szCs w:val="32"/>
          <w:lang w:eastAsia="zh-CN"/>
        </w:rPr>
        <w:t>切实加强意识形态</w:t>
      </w:r>
      <w:r>
        <w:rPr>
          <w:rFonts w:hint="eastAsia" w:ascii="宋体" w:hAnsi="宋体" w:cs="宋体"/>
          <w:color w:val="000000"/>
          <w:sz w:val="32"/>
          <w:szCs w:val="32"/>
        </w:rPr>
        <w:t>工作力度，</w:t>
      </w:r>
      <w:r>
        <w:rPr>
          <w:rFonts w:hint="eastAsia" w:ascii="宋体" w:hAnsi="宋体" w:cs="宋体"/>
          <w:color w:val="000000"/>
          <w:sz w:val="32"/>
          <w:szCs w:val="32"/>
          <w:lang w:eastAsia="zh-CN"/>
        </w:rPr>
        <w:t>由</w:t>
      </w:r>
      <w:r>
        <w:rPr>
          <w:rFonts w:hint="eastAsia" w:ascii="宋体" w:hAnsi="宋体" w:cs="宋体"/>
          <w:color w:val="000000"/>
          <w:sz w:val="32"/>
          <w:szCs w:val="32"/>
          <w:lang w:val="en-US" w:eastAsia="zh-CN"/>
        </w:rPr>
        <w:t>5名干警组成网评队伍，通过建立“柳城法苑”微信公众号，</w:t>
      </w:r>
      <w:r>
        <w:rPr>
          <w:rFonts w:hint="eastAsia" w:ascii="宋体" w:hAnsi="宋体" w:cs="宋体"/>
          <w:color w:val="000000"/>
          <w:sz w:val="32"/>
          <w:szCs w:val="32"/>
          <w:lang w:eastAsia="zh-CN"/>
        </w:rPr>
        <w:t>主动</w:t>
      </w:r>
      <w:r>
        <w:rPr>
          <w:rFonts w:hint="eastAsia" w:ascii="宋体" w:hAnsi="宋体" w:cs="宋体"/>
          <w:color w:val="000000"/>
          <w:sz w:val="32"/>
          <w:szCs w:val="32"/>
        </w:rPr>
        <w:t>与新闻媒体</w:t>
      </w:r>
      <w:r>
        <w:rPr>
          <w:rFonts w:hint="eastAsia" w:ascii="宋体" w:hAnsi="宋体" w:cs="宋体"/>
          <w:color w:val="000000"/>
          <w:sz w:val="32"/>
          <w:szCs w:val="32"/>
          <w:lang w:eastAsia="zh-CN"/>
        </w:rPr>
        <w:t>进行</w:t>
      </w:r>
      <w:r>
        <w:rPr>
          <w:rFonts w:hint="eastAsia" w:ascii="宋体" w:hAnsi="宋体" w:cs="宋体"/>
          <w:color w:val="000000"/>
          <w:sz w:val="32"/>
          <w:szCs w:val="32"/>
        </w:rPr>
        <w:t>沟通和互动，健全舆情工作机制和法院新闻发布制度，加强法院微博、微信等自媒体建设，正确引导社会舆论风向。</w:t>
      </w:r>
    </w:p>
    <w:p>
      <w:pPr>
        <w:spacing w:line="540" w:lineRule="exact"/>
        <w:ind w:firstLine="480" w:firstLineChars="150"/>
        <w:rPr>
          <w:rFonts w:hint="default" w:ascii="宋体" w:hAnsi="宋体" w:cs="宋体"/>
          <w:color w:val="000000"/>
          <w:sz w:val="32"/>
          <w:szCs w:val="32"/>
          <w:lang w:val="en-US" w:eastAsia="zh-CN"/>
        </w:rPr>
      </w:pPr>
      <w:r>
        <w:rPr>
          <w:rFonts w:hint="eastAsia" w:ascii="宋体" w:hAnsi="宋体" w:cs="宋体"/>
          <w:color w:val="000000"/>
          <w:sz w:val="32"/>
          <w:szCs w:val="32"/>
          <w:lang w:val="en-US" w:eastAsia="zh-CN"/>
        </w:rPr>
        <w:t>2.亮点和成效。</w:t>
      </w:r>
      <w:r>
        <w:rPr>
          <w:rFonts w:hint="eastAsia" w:ascii="宋体" w:hAnsi="宋体" w:cs="宋体"/>
          <w:color w:val="000000"/>
          <w:sz w:val="32"/>
          <w:szCs w:val="32"/>
        </w:rPr>
        <w:t>一是积极推进现代化诉讼服务体系建设。引进智能化诉讼服务系统和信息化设备，积极推广网上立案、跨域立案、自助立案和应用移动微法院进行立案。二是进一步完善一站式多元化纠纷解决机制，拓宽多元解纷工作渠道。</w:t>
      </w:r>
      <w:r>
        <w:rPr>
          <w:rFonts w:hint="eastAsia" w:ascii="宋体" w:hAnsi="宋体" w:cs="宋体"/>
          <w:color w:val="000000"/>
          <w:sz w:val="32"/>
          <w:szCs w:val="32"/>
          <w:lang w:eastAsia="zh-CN"/>
        </w:rPr>
        <w:t xml:space="preserve">目前已把 </w:t>
      </w:r>
      <w:r>
        <w:rPr>
          <w:rFonts w:hint="eastAsia" w:ascii="宋体" w:hAnsi="宋体" w:cs="宋体"/>
          <w:color w:val="000000"/>
          <w:sz w:val="32"/>
          <w:szCs w:val="32"/>
          <w:lang w:val="en-US" w:eastAsia="zh-CN"/>
        </w:rPr>
        <w:t>14</w:t>
      </w:r>
      <w:r>
        <w:rPr>
          <w:rFonts w:hint="eastAsia" w:ascii="宋体" w:hAnsi="宋体" w:cs="宋体"/>
          <w:color w:val="000000"/>
          <w:sz w:val="32"/>
          <w:szCs w:val="32"/>
          <w:lang w:eastAsia="zh-CN"/>
        </w:rPr>
        <w:t>个调解组织、</w:t>
      </w:r>
      <w:r>
        <w:rPr>
          <w:rFonts w:hint="eastAsia" w:ascii="宋体" w:hAnsi="宋体" w:cs="宋体"/>
          <w:color w:val="000000"/>
          <w:sz w:val="32"/>
          <w:szCs w:val="32"/>
          <w:lang w:val="en-US" w:eastAsia="zh-CN"/>
        </w:rPr>
        <w:t>48</w:t>
      </w:r>
      <w:r>
        <w:rPr>
          <w:rFonts w:hint="eastAsia" w:ascii="宋体" w:hAnsi="宋体" w:cs="宋体"/>
          <w:color w:val="000000"/>
          <w:sz w:val="32"/>
          <w:szCs w:val="32"/>
          <w:lang w:eastAsia="zh-CN"/>
        </w:rPr>
        <w:t>名调解员列入特邀调解组织和特邀调解员名册；积极与县公安局、司法局、市场监督管理局、工商局、交警大队、妇联等部门紧密合作，以分布在各乡镇的司法所诉调工作室、各村人民调解委员会为载体，形成管理精细的三级网格化管理体系解决矛盾纠纷。</w:t>
      </w:r>
      <w:r>
        <w:rPr>
          <w:rFonts w:hint="eastAsia" w:ascii="宋体" w:hAnsi="宋体" w:cs="宋体"/>
          <w:color w:val="000000"/>
          <w:sz w:val="32"/>
          <w:szCs w:val="32"/>
          <w:lang w:val="en-US" w:eastAsia="zh-CN"/>
        </w:rPr>
        <w:t xml:space="preserve"> 三是开展“一村一法官”工作。</w:t>
      </w:r>
      <w:r>
        <w:rPr>
          <w:rFonts w:hint="eastAsia" w:ascii="宋体" w:hAnsi="宋体" w:cs="宋体"/>
          <w:color w:val="000000"/>
          <w:sz w:val="32"/>
          <w:szCs w:val="32"/>
          <w:lang w:eastAsia="zh-CN"/>
        </w:rPr>
        <w:t>在辖区120个村委会，12个社区均配备了责任法官团队，悬挂“一村一法官”联系牌。每个法官团队与当地党委政府综治工作队员、村（社区）“两委”干部以及人民调解员等建立联系，为群众提供“家门口的司法服务”。四是</w:t>
      </w:r>
      <w:r>
        <w:rPr>
          <w:rFonts w:hint="eastAsia" w:ascii="宋体" w:hAnsi="宋体" w:cs="宋体"/>
          <w:color w:val="000000"/>
          <w:sz w:val="32"/>
          <w:szCs w:val="32"/>
          <w:lang w:val="en-US" w:eastAsia="zh-CN"/>
        </w:rPr>
        <w:t>强化诉源治理。今年我院在立案庭成立诉源治理中心，各人民法庭成立诉源治理工作室，针对民事审判案由排名靠前的家事纠纷、合同纠纷、物业纠纷等，在诉源治理中心分别设立专门调解室，由立案庭速裁法官负责，邀请人民调解机构、行业协会、行政部门、律师、网格员等三方力量定期参与调解。当事人到法院后，导诉员讲解诉讼风险告知，坚持起诉的，引导到各调解室组织专门调解，效果较为明显。</w:t>
      </w:r>
      <w:r>
        <w:rPr>
          <w:rFonts w:hint="eastAsia" w:ascii="宋体" w:hAnsi="宋体" w:cs="宋体"/>
          <w:color w:val="000000"/>
          <w:sz w:val="32"/>
          <w:szCs w:val="32"/>
          <w:lang w:eastAsia="zh-CN"/>
        </w:rPr>
        <w:t>五是</w:t>
      </w:r>
      <w:r>
        <w:rPr>
          <w:rFonts w:hint="eastAsia" w:ascii="宋体" w:hAnsi="宋体" w:cs="宋体"/>
          <w:color w:val="000000"/>
          <w:sz w:val="32"/>
          <w:szCs w:val="32"/>
        </w:rPr>
        <w:t>积极推进家事与少年审判改革工作和家事审判改革向人民法庭延伸工作。</w:t>
      </w:r>
      <w:r>
        <w:rPr>
          <w:rFonts w:hint="eastAsia" w:ascii="宋体" w:hAnsi="宋体" w:cs="宋体"/>
          <w:color w:val="000000"/>
          <w:sz w:val="32"/>
          <w:szCs w:val="32"/>
          <w:lang w:val="en-US" w:eastAsia="zh-CN"/>
        </w:rPr>
        <w:t>组建专门的审判团队，通过建立人身安全保护令、心理疏导、案件回访等机制，为家事审判工作提供有力保障。</w:t>
      </w:r>
      <w:r>
        <w:rPr>
          <w:rFonts w:hint="eastAsia" w:ascii="宋体" w:hAnsi="宋体" w:cs="宋体"/>
          <w:color w:val="000000"/>
          <w:sz w:val="32"/>
          <w:szCs w:val="32"/>
          <w:lang w:eastAsia="zh-CN"/>
        </w:rPr>
        <w:t>六是</w:t>
      </w:r>
      <w:r>
        <w:rPr>
          <w:rFonts w:hint="eastAsia" w:ascii="宋体" w:hAnsi="宋体" w:cs="宋体"/>
          <w:color w:val="000000"/>
          <w:sz w:val="32"/>
          <w:szCs w:val="32"/>
        </w:rPr>
        <w:t>全面推进智慧法院建设。</w:t>
      </w:r>
      <w:r>
        <w:rPr>
          <w:rFonts w:hint="eastAsia" w:ascii="宋体" w:hAnsi="宋体" w:cs="宋体"/>
          <w:color w:val="000000"/>
          <w:sz w:val="32"/>
          <w:szCs w:val="32"/>
          <w:lang w:val="en-US" w:eastAsia="zh-CN"/>
        </w:rPr>
        <w:t>目前在建的古砦法庭和法警体能训练馆工程基建均已完工，正在等待竣工验收。档案库房内恒温恒湿自动控制系统、视频监控防盗自动报警系统、电动密集架、防紫外线防爆灯等设备已完成安装调试。双千兆网络升级改造正在进行招投标审批程序，预计11月完成该项工作。计划对人民法庭的简易科技法庭设备进行改造，升级成标准科技法庭</w:t>
      </w:r>
      <w:r>
        <w:rPr>
          <w:rFonts w:hint="eastAsia" w:ascii="宋体" w:hAnsi="宋体" w:cs="宋体"/>
          <w:color w:val="000000"/>
          <w:sz w:val="32"/>
          <w:szCs w:val="32"/>
        </w:rPr>
        <w:t>，智慧法院建设再上新台阶</w:t>
      </w:r>
      <w:r>
        <w:rPr>
          <w:rFonts w:hint="eastAsia" w:ascii="宋体" w:hAnsi="宋体" w:cs="宋体"/>
          <w:color w:val="000000"/>
          <w:sz w:val="32"/>
          <w:szCs w:val="32"/>
          <w:lang w:eastAsia="zh-CN"/>
        </w:rPr>
        <w:t>。</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adjustRightInd w:val="0"/>
        <w:snapToGrid w:val="0"/>
        <w:spacing w:line="560" w:lineRule="exact"/>
        <w:ind w:right="-218" w:rightChars="-104" w:firstLine="640" w:firstLineChars="200"/>
        <w:rPr>
          <w:rFonts w:ascii="??_GB2312" w:eastAsia="Times New Roman"/>
          <w:color w:val="000000"/>
          <w:sz w:val="32"/>
          <w:szCs w:val="32"/>
        </w:rPr>
      </w:pPr>
      <w:r>
        <w:rPr>
          <w:rFonts w:hint="eastAsia" w:ascii="宋体" w:hAnsi="宋体" w:cs="宋体"/>
          <w:color w:val="000000"/>
          <w:sz w:val="32"/>
          <w:szCs w:val="32"/>
        </w:rPr>
        <w:t>我院为广西法院</w:t>
      </w:r>
      <w:r>
        <w:rPr>
          <w:rFonts w:hint="eastAsia" w:ascii="宋体" w:hAnsi="宋体" w:cs="宋体"/>
          <w:color w:val="000000"/>
          <w:sz w:val="32"/>
          <w:szCs w:val="32"/>
          <w:lang w:eastAsia="zh-CN"/>
        </w:rPr>
        <w:t>及</w:t>
      </w:r>
      <w:r>
        <w:rPr>
          <w:rFonts w:hint="eastAsia" w:ascii="宋体" w:hAnsi="宋体" w:cs="宋体"/>
          <w:color w:val="000000"/>
          <w:sz w:val="32"/>
          <w:szCs w:val="32"/>
        </w:rPr>
        <w:t>检察院财物统一管理改革试点单位，从</w:t>
      </w:r>
      <w:r>
        <w:rPr>
          <w:rFonts w:ascii="??_GB2312" w:hAnsi="??_GB2312" w:cs="??_GB2312"/>
          <w:color w:val="000000"/>
          <w:sz w:val="32"/>
          <w:szCs w:val="32"/>
        </w:rPr>
        <w:t>2020</w:t>
      </w:r>
      <w:r>
        <w:rPr>
          <w:rFonts w:hint="eastAsia" w:ascii="宋体" w:hAnsi="宋体" w:cs="宋体"/>
          <w:color w:val="000000"/>
          <w:sz w:val="32"/>
          <w:szCs w:val="32"/>
        </w:rPr>
        <w:t>年起我院作为</w:t>
      </w:r>
      <w:r>
        <w:rPr>
          <w:rFonts w:hint="eastAsia" w:ascii="宋体" w:hAnsi="宋体" w:cs="宋体"/>
          <w:color w:val="000000"/>
          <w:sz w:val="32"/>
          <w:szCs w:val="32"/>
          <w:lang w:eastAsia="zh-CN"/>
        </w:rPr>
        <w:t>柳州</w:t>
      </w:r>
      <w:r>
        <w:rPr>
          <w:rFonts w:hint="eastAsia" w:ascii="宋体" w:hAnsi="宋体" w:cs="宋体"/>
          <w:color w:val="000000"/>
          <w:sz w:val="32"/>
          <w:szCs w:val="32"/>
        </w:rPr>
        <w:t>市中级</w:t>
      </w:r>
      <w:r>
        <w:rPr>
          <w:rFonts w:hint="eastAsia" w:ascii="宋体" w:hAnsi="宋体" w:cs="宋体"/>
          <w:color w:val="000000"/>
          <w:sz w:val="32"/>
          <w:szCs w:val="32"/>
          <w:lang w:val="en-US" w:eastAsia="zh-CN"/>
        </w:rPr>
        <w:t>人民</w:t>
      </w:r>
      <w:r>
        <w:rPr>
          <w:rFonts w:hint="eastAsia" w:ascii="宋体" w:hAnsi="宋体" w:cs="宋体"/>
          <w:color w:val="000000"/>
          <w:sz w:val="32"/>
          <w:szCs w:val="32"/>
        </w:rPr>
        <w:t>法院二级预算单位进行管理</w:t>
      </w:r>
      <w:r>
        <w:rPr>
          <w:rFonts w:ascii="??_GB2312" w:eastAsia="Times New Roman"/>
          <w:color w:val="000000"/>
          <w:sz w:val="32"/>
          <w:szCs w:val="32"/>
        </w:rPr>
        <w:t>。单位现设</w:t>
      </w:r>
      <w:r>
        <w:rPr>
          <w:rFonts w:hint="eastAsia" w:ascii="??_GB2312"/>
          <w:color w:val="000000"/>
          <w:sz w:val="32"/>
          <w:szCs w:val="32"/>
          <w:lang w:eastAsia="zh-CN"/>
        </w:rPr>
        <w:t>有</w:t>
      </w:r>
      <w:r>
        <w:rPr>
          <w:rFonts w:ascii="??_GB2312" w:eastAsia="Times New Roman" w:cs="??_GB2312"/>
          <w:color w:val="000000"/>
          <w:sz w:val="32"/>
          <w:szCs w:val="32"/>
        </w:rPr>
        <w:t>9</w:t>
      </w:r>
      <w:r>
        <w:rPr>
          <w:rFonts w:ascii="??_GB2312" w:eastAsia="Times New Roman"/>
          <w:color w:val="000000"/>
          <w:sz w:val="32"/>
          <w:szCs w:val="32"/>
        </w:rPr>
        <w:t>个部门和</w:t>
      </w:r>
      <w:r>
        <w:rPr>
          <w:rFonts w:ascii="??_GB2312" w:eastAsia="Times New Roman" w:cs="??_GB2312"/>
          <w:color w:val="000000"/>
          <w:sz w:val="32"/>
          <w:szCs w:val="32"/>
        </w:rPr>
        <w:t>5</w:t>
      </w:r>
      <w:r>
        <w:rPr>
          <w:rFonts w:ascii="??_GB2312" w:eastAsia="Times New Roman"/>
          <w:color w:val="000000"/>
          <w:sz w:val="32"/>
          <w:szCs w:val="32"/>
        </w:rPr>
        <w:t>个法庭，分别为：立案庭、刑事审判庭、家事和少年审判庭、综合审判庭、执行局、审判管理办公室（研究室）、综合办公室、政治部、司法警察大队。以及东泉人民法庭、凤山人民法庭、太平人民法庭、六塘人民法庭、古砦人民法庭。</w:t>
      </w:r>
    </w:p>
    <w:p>
      <w:pPr>
        <w:spacing w:line="560" w:lineRule="exact"/>
        <w:ind w:firstLine="640" w:firstLineChars="200"/>
        <w:rPr>
          <w:rFonts w:ascii="??_GB2312"/>
          <w:sz w:val="32"/>
          <w:szCs w:val="32"/>
        </w:rPr>
      </w:pPr>
      <w:r>
        <w:rPr>
          <w:rFonts w:ascii="??_GB2312" w:hAnsi="仿宋" w:eastAsia="Times New Roman"/>
          <w:sz w:val="32"/>
          <w:szCs w:val="32"/>
        </w:rPr>
        <w:t>本单位</w:t>
      </w:r>
      <w:r>
        <w:rPr>
          <w:rFonts w:ascii="??_GB2312" w:hAnsi="仿宋" w:eastAsia="Times New Roman" w:cs="??_GB2312"/>
          <w:sz w:val="32"/>
          <w:szCs w:val="32"/>
        </w:rPr>
        <w:t>202</w:t>
      </w:r>
      <w:r>
        <w:rPr>
          <w:rFonts w:hint="eastAsia" w:ascii="??_GB2312" w:hAnsi="仿宋" w:cs="??_GB2312"/>
          <w:sz w:val="32"/>
          <w:szCs w:val="32"/>
          <w:lang w:val="en-US" w:eastAsia="zh-CN"/>
        </w:rPr>
        <w:t>1</w:t>
      </w:r>
      <w:r>
        <w:rPr>
          <w:rFonts w:ascii="??_GB2312" w:hAnsi="仿宋" w:eastAsia="Times New Roman"/>
          <w:sz w:val="32"/>
          <w:szCs w:val="32"/>
        </w:rPr>
        <w:t>年年末编制人数为</w:t>
      </w:r>
      <w:r>
        <w:rPr>
          <w:rFonts w:ascii="??_GB2312" w:hAnsi="仿宋" w:eastAsia="Times New Roman" w:cs="??_GB2312"/>
          <w:sz w:val="32"/>
          <w:szCs w:val="32"/>
        </w:rPr>
        <w:t>108</w:t>
      </w:r>
      <w:r>
        <w:rPr>
          <w:rFonts w:ascii="??_GB2312" w:hAnsi="仿宋" w:eastAsia="Times New Roman"/>
          <w:sz w:val="32"/>
          <w:szCs w:val="32"/>
        </w:rPr>
        <w:t>人，其中行政人员编制数为</w:t>
      </w:r>
      <w:r>
        <w:rPr>
          <w:rFonts w:ascii="??_GB2312" w:hAnsi="仿宋" w:eastAsia="Times New Roman" w:cs="??_GB2312"/>
          <w:sz w:val="32"/>
          <w:szCs w:val="32"/>
        </w:rPr>
        <w:t>99</w:t>
      </w:r>
      <w:r>
        <w:rPr>
          <w:rFonts w:ascii="??_GB2312" w:hAnsi="仿宋" w:eastAsia="Times New Roman"/>
          <w:sz w:val="32"/>
          <w:szCs w:val="32"/>
        </w:rPr>
        <w:t>人，工勤人员编制数为</w:t>
      </w:r>
      <w:r>
        <w:rPr>
          <w:rFonts w:ascii="??_GB2312" w:hAnsi="仿宋" w:eastAsia="Times New Roman" w:cs="??_GB2312"/>
          <w:sz w:val="32"/>
          <w:szCs w:val="32"/>
        </w:rPr>
        <w:t>9</w:t>
      </w:r>
      <w:r>
        <w:rPr>
          <w:rFonts w:ascii="??_GB2312" w:hAnsi="仿宋" w:eastAsia="Times New Roman"/>
          <w:sz w:val="32"/>
          <w:szCs w:val="32"/>
        </w:rPr>
        <w:t>人。</w:t>
      </w:r>
      <w:r>
        <w:rPr>
          <w:rFonts w:ascii="??_GB2312" w:hAnsi="仿宋" w:eastAsia="Times New Roman" w:cs="??_GB2312"/>
          <w:sz w:val="32"/>
          <w:szCs w:val="32"/>
        </w:rPr>
        <w:t>202</w:t>
      </w:r>
      <w:r>
        <w:rPr>
          <w:rFonts w:hint="eastAsia" w:ascii="??_GB2312" w:hAnsi="仿宋" w:cs="??_GB2312"/>
          <w:sz w:val="32"/>
          <w:szCs w:val="32"/>
          <w:lang w:val="en-US" w:eastAsia="zh-CN"/>
        </w:rPr>
        <w:t>1</w:t>
      </w:r>
      <w:r>
        <w:rPr>
          <w:rFonts w:ascii="??_GB2312" w:hAnsi="仿宋" w:eastAsia="Times New Roman"/>
          <w:sz w:val="32"/>
          <w:szCs w:val="32"/>
        </w:rPr>
        <w:t>年年末实有</w:t>
      </w:r>
      <w:r>
        <w:rPr>
          <w:rFonts w:hint="eastAsia" w:ascii="??_GB2312" w:hAnsi="仿宋"/>
          <w:sz w:val="32"/>
          <w:szCs w:val="32"/>
          <w:lang w:eastAsia="zh-CN"/>
        </w:rPr>
        <w:t>在职</w:t>
      </w:r>
      <w:r>
        <w:rPr>
          <w:rFonts w:ascii="??_GB2312" w:hAnsi="仿宋" w:eastAsia="Times New Roman"/>
          <w:sz w:val="32"/>
          <w:szCs w:val="32"/>
        </w:rPr>
        <w:t>人数</w:t>
      </w:r>
      <w:r>
        <w:rPr>
          <w:rFonts w:hint="eastAsia" w:ascii="??_GB2312" w:hAnsi="仿宋" w:cs="??_GB2312"/>
          <w:sz w:val="32"/>
          <w:szCs w:val="32"/>
          <w:lang w:val="en-US" w:eastAsia="zh-CN"/>
        </w:rPr>
        <w:t>181</w:t>
      </w:r>
      <w:r>
        <w:rPr>
          <w:rFonts w:ascii="??_GB2312" w:hAnsi="仿宋" w:eastAsia="Times New Roman"/>
          <w:sz w:val="32"/>
          <w:szCs w:val="32"/>
        </w:rPr>
        <w:t>人</w:t>
      </w:r>
      <w:r>
        <w:rPr>
          <w:rFonts w:hint="eastAsia" w:ascii="??_GB2312" w:hAnsi="仿宋"/>
          <w:sz w:val="32"/>
          <w:szCs w:val="32"/>
          <w:lang w:eastAsia="zh-CN"/>
        </w:rPr>
        <w:t>，其中在编人数为</w:t>
      </w:r>
      <w:r>
        <w:rPr>
          <w:rFonts w:hint="eastAsia" w:ascii="??_GB2312" w:hAnsi="仿宋"/>
          <w:sz w:val="32"/>
          <w:szCs w:val="32"/>
          <w:lang w:val="en-US" w:eastAsia="zh-CN"/>
        </w:rPr>
        <w:t>99人，聘用辅助办案人员82人</w:t>
      </w:r>
      <w:r>
        <w:rPr>
          <w:rFonts w:hint="eastAsia" w:ascii="??_GB2312" w:hAnsi="仿宋"/>
          <w:sz w:val="32"/>
          <w:szCs w:val="32"/>
          <w:lang w:eastAsia="zh-CN"/>
        </w:rPr>
        <w:t>。</w:t>
      </w:r>
      <w:r>
        <w:rPr>
          <w:rFonts w:ascii="??_GB2312" w:hAnsi="仿宋" w:eastAsia="Times New Roman"/>
          <w:sz w:val="32"/>
          <w:szCs w:val="32"/>
        </w:rPr>
        <w:t>退休人员</w:t>
      </w:r>
      <w:r>
        <w:rPr>
          <w:rFonts w:ascii="??_GB2312" w:hAnsi="仿宋" w:cs="??_GB2312"/>
          <w:color w:val="000000"/>
          <w:sz w:val="32"/>
          <w:szCs w:val="32"/>
        </w:rPr>
        <w:t>4</w:t>
      </w:r>
      <w:r>
        <w:rPr>
          <w:rFonts w:hint="eastAsia" w:ascii="??_GB2312" w:hAnsi="仿宋" w:cs="??_GB2312"/>
          <w:color w:val="000000"/>
          <w:sz w:val="32"/>
          <w:szCs w:val="32"/>
          <w:lang w:val="en-US" w:eastAsia="zh-CN"/>
        </w:rPr>
        <w:t>6</w:t>
      </w:r>
      <w:r>
        <w:rPr>
          <w:rFonts w:ascii="??_GB2312" w:hAnsi="仿宋" w:eastAsia="Times New Roman"/>
          <w:sz w:val="32"/>
          <w:szCs w:val="32"/>
        </w:rPr>
        <w:t>人</w:t>
      </w:r>
      <w:r>
        <w:rPr>
          <w:rFonts w:hint="eastAsia" w:ascii="??_GB2312" w:hAnsi="仿宋"/>
          <w:sz w:val="32"/>
          <w:szCs w:val="32"/>
          <w:lang w:eastAsia="zh-CN"/>
        </w:rPr>
        <w:t>，</w:t>
      </w:r>
      <w:r>
        <w:rPr>
          <w:rFonts w:hint="eastAsia" w:ascii="宋体" w:hAnsi="宋体" w:cs="宋体"/>
          <w:sz w:val="32"/>
          <w:szCs w:val="32"/>
        </w:rPr>
        <w:t>由县社保局管理</w:t>
      </w:r>
      <w:r>
        <w:rPr>
          <w:rFonts w:ascii="??_GB2312" w:hAnsi="仿宋" w:eastAsia="Times New Roman"/>
          <w:sz w:val="32"/>
          <w:szCs w:val="32"/>
        </w:rPr>
        <w:t>。</w:t>
      </w:r>
    </w:p>
    <w:p>
      <w:pPr>
        <w:rPr>
          <w:rFonts w:ascii="仿宋_GB2312" w:eastAsia="仿宋_GB2312"/>
          <w:b/>
          <w:sz w:val="32"/>
          <w:szCs w:val="32"/>
        </w:rPr>
      </w:pPr>
      <w:r>
        <w:rPr>
          <w:rFonts w:hint="eastAsia" w:ascii="仿宋_GB2312" w:eastAsia="仿宋_GB2312"/>
          <w:sz w:val="32"/>
          <w:szCs w:val="32"/>
          <w:lang w:val="en-US" w:eastAsia="zh-CN"/>
        </w:rPr>
        <w:t xml:space="preserve">          </w:t>
      </w: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柳城县人民法院</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firstLineChars="200"/>
        <w:rPr>
          <w:rFonts w:hint="eastAsia"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w:t>
      </w:r>
      <w:r>
        <w:rPr>
          <w:rFonts w:hint="eastAsia" w:ascii="仿宋_GB2312" w:hAnsi="黑体" w:eastAsia="仿宋_GB2312"/>
          <w:sz w:val="32"/>
          <w:szCs w:val="32"/>
          <w:lang w:eastAsia="zh-CN"/>
        </w:rPr>
        <w:t>已</w:t>
      </w:r>
      <w:r>
        <w:rPr>
          <w:rFonts w:hint="eastAsia" w:ascii="仿宋_GB2312" w:hAnsi="黑体" w:eastAsia="仿宋_GB2312"/>
          <w:sz w:val="32"/>
          <w:szCs w:val="32"/>
        </w:rPr>
        <w:t>细化公开到支出功能分类项级科目，《一般公共预算财政拨款基本支出决算表》</w:t>
      </w:r>
      <w:r>
        <w:rPr>
          <w:rFonts w:hint="eastAsia" w:ascii="仿宋_GB2312" w:hAnsi="黑体" w:eastAsia="仿宋_GB2312"/>
          <w:sz w:val="32"/>
          <w:szCs w:val="32"/>
          <w:lang w:eastAsia="zh-CN"/>
        </w:rPr>
        <w:t>已</w:t>
      </w:r>
      <w:r>
        <w:rPr>
          <w:rFonts w:hint="eastAsia" w:ascii="仿宋_GB2312" w:hAnsi="黑体" w:eastAsia="仿宋_GB2312"/>
          <w:sz w:val="32"/>
          <w:szCs w:val="32"/>
        </w:rPr>
        <w:t>细化公开到经济分类款级科目。</w:t>
      </w:r>
    </w:p>
    <w:p>
      <w:pPr>
        <w:ind w:firstLine="0"/>
        <w:jc w:val="right"/>
        <w:rPr>
          <w:rFonts w:hint="eastAsia" w:ascii="黑体" w:hAnsi="黑体" w:eastAsia="黑体"/>
          <w:sz w:val="32"/>
          <w:szCs w:val="32"/>
          <w:lang w:eastAsia="zh-CN"/>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lang w:eastAsia="zh-CN"/>
        </w:rPr>
        <w:t>柳城县人民法院</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w:t>
      </w:r>
      <w:r>
        <w:rPr>
          <w:rFonts w:hint="eastAsia" w:ascii="黑体" w:hAnsi="黑体" w:eastAsia="黑体"/>
          <w:sz w:val="32"/>
          <w:szCs w:val="32"/>
          <w:lang w:eastAsia="zh-CN"/>
        </w:rPr>
        <w:t>门</w:t>
      </w:r>
    </w:p>
    <w:p>
      <w:pPr>
        <w:ind w:firstLine="0"/>
        <w:rPr>
          <w:rFonts w:hint="eastAsia" w:ascii="黑体" w:hAnsi="黑体" w:eastAsia="黑体"/>
          <w:sz w:val="32"/>
          <w:szCs w:val="32"/>
        </w:rPr>
      </w:pPr>
      <w:r>
        <w:rPr>
          <w:rFonts w:hint="eastAsia" w:ascii="黑体" w:hAnsi="黑体" w:eastAsia="黑体"/>
          <w:sz w:val="32"/>
          <w:szCs w:val="32"/>
        </w:rPr>
        <w:t>决算公开表)</w:t>
      </w:r>
    </w:p>
    <w:p/>
    <w:p>
      <w:pPr>
        <w:sectPr>
          <w:headerReference r:id="rId3" w:type="default"/>
          <w:footerReference r:id="rId4" w:type="default"/>
          <w:footerReference r:id="rId5" w:type="even"/>
          <w:pgSz w:w="11906" w:h="16838"/>
          <w:pgMar w:top="1134" w:right="1797" w:bottom="1134" w:left="1378" w:header="851" w:footer="992" w:gutter="0"/>
          <w:pgNumType w:fmt="numberInDash"/>
          <w:cols w:space="0" w:num="1"/>
          <w:rtlGutter w:val="0"/>
          <w:docGrid w:type="lines" w:linePitch="312" w:charSpace="0"/>
        </w:sectPr>
      </w:pPr>
    </w:p>
    <w:p>
      <w:pPr>
        <w:spacing w:line="580" w:lineRule="exact"/>
        <w:ind w:firstLine="321" w:firstLineChars="1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柳城县人民法院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3837.87</w:t>
      </w:r>
      <w:r>
        <w:rPr>
          <w:rFonts w:hint="eastAsia" w:ascii="仿宋_GB2312" w:eastAsia="仿宋_GB2312" w:cs="仿宋_GB2312"/>
          <w:kern w:val="0"/>
          <w:sz w:val="32"/>
          <w:szCs w:val="32"/>
        </w:rPr>
        <w:t>万元，其中本年收入</w:t>
      </w:r>
      <w:r>
        <w:rPr>
          <w:rFonts w:hint="eastAsia" w:ascii="仿宋_GB2312" w:eastAsia="仿宋_GB2312"/>
          <w:kern w:val="0"/>
          <w:sz w:val="32"/>
          <w:szCs w:val="32"/>
          <w:lang w:val="en-US" w:eastAsia="zh-CN"/>
        </w:rPr>
        <w:t>3837.87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 xml:space="preserve">年度决算数减少 </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2869.11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172.95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6.41</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：一是基本支出拨款增长</w:t>
      </w:r>
      <w:r>
        <w:rPr>
          <w:rFonts w:hint="eastAsia" w:ascii="仿宋_GB2312" w:hAnsi="黑体" w:eastAsia="仿宋_GB2312" w:cs="仿宋_GB2312"/>
          <w:kern w:val="0"/>
          <w:sz w:val="32"/>
          <w:szCs w:val="32"/>
          <w:lang w:val="en-US" w:eastAsia="zh-CN"/>
        </w:rPr>
        <w:t>50.40万元，包含社会保障缴费、正常调资及补发工资。二是项目资金拨款增长122.55万元，包含物业管理费、“六专四室”等经费。</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：我院本年度无</w:t>
      </w:r>
      <w:r>
        <w:rPr>
          <w:rFonts w:hint="eastAsia" w:ascii="仿宋_GB2312" w:eastAsia="仿宋_GB2312" w:cs="仿宋_GB2312"/>
          <w:kern w:val="0"/>
          <w:sz w:val="32"/>
          <w:szCs w:val="32"/>
        </w:rPr>
        <w:t>政府性基金预算</w:t>
      </w:r>
      <w:r>
        <w:rPr>
          <w:rFonts w:hint="eastAsia" w:ascii="仿宋_GB2312" w:hAnsi="黑体" w:eastAsia="仿宋_GB2312" w:cs="仿宋_GB2312"/>
          <w:kern w:val="0"/>
          <w:sz w:val="32"/>
          <w:szCs w:val="32"/>
          <w:lang w:eastAsia="zh-CN"/>
        </w:rPr>
        <w:t>财政拨款收入，</w:t>
      </w:r>
      <w:r>
        <w:rPr>
          <w:rFonts w:hint="eastAsia" w:ascii="仿宋_GB2312" w:eastAsia="仿宋_GB2312" w:cs="仿宋_GB2312"/>
          <w:kern w:val="0"/>
          <w:sz w:val="32"/>
          <w:szCs w:val="32"/>
          <w:lang w:eastAsia="zh-CN"/>
        </w:rPr>
        <w:t>故</w:t>
      </w:r>
      <w:r>
        <w:rPr>
          <w:rFonts w:hint="eastAsia" w:ascii="仿宋_GB2312" w:eastAsia="仿宋_GB2312" w:cs="仿宋_GB2312"/>
          <w:b w:val="0"/>
          <w:bCs w:val="0"/>
          <w:kern w:val="0"/>
          <w:sz w:val="32"/>
          <w:szCs w:val="32"/>
        </w:rPr>
        <w:t>无数据情况说明。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：我院本年度无</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lang w:eastAsia="zh-CN"/>
        </w:rPr>
        <w:t>财政拨款收入，</w:t>
      </w:r>
      <w:r>
        <w:rPr>
          <w:rFonts w:hint="eastAsia" w:ascii="仿宋_GB2312" w:eastAsia="仿宋_GB2312" w:cs="仿宋_GB2312"/>
          <w:kern w:val="0"/>
          <w:sz w:val="32"/>
          <w:szCs w:val="32"/>
          <w:lang w:eastAsia="zh-CN"/>
        </w:rPr>
        <w:t>故</w:t>
      </w:r>
      <w:r>
        <w:rPr>
          <w:rFonts w:hint="eastAsia" w:ascii="仿宋_GB2312" w:eastAsia="仿宋_GB2312" w:cs="仿宋_GB2312"/>
          <w:b w:val="0"/>
          <w:bCs w:val="0"/>
          <w:kern w:val="0"/>
          <w:sz w:val="32"/>
          <w:szCs w:val="32"/>
        </w:rPr>
        <w:t>无数据情况说明</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eastAsia="zh-CN"/>
        </w:rPr>
        <w:t>我院属于行政单位，此项无收入，故</w:t>
      </w:r>
      <w:r>
        <w:rPr>
          <w:rFonts w:hint="eastAsia" w:ascii="仿宋_GB2312" w:eastAsia="仿宋_GB2312" w:cs="仿宋_GB2312"/>
          <w:b w:val="0"/>
          <w:bCs w:val="0"/>
          <w:kern w:val="0"/>
          <w:sz w:val="32"/>
          <w:szCs w:val="32"/>
        </w:rPr>
        <w:t>无数据情况说明</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0" w:firstLineChars="0"/>
        <w:jc w:val="left"/>
        <w:rPr>
          <w:rFonts w:hint="eastAsia" w:ascii="仿宋_GB2312" w:eastAsia="仿宋_GB2312"/>
          <w:bCs/>
          <w:kern w:val="0"/>
          <w:sz w:val="32"/>
          <w:szCs w:val="32"/>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 xml:space="preserve">年度决算数增加（减少）  </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：我院属于行政单位，此项无收入，故</w:t>
      </w:r>
      <w:r>
        <w:rPr>
          <w:rFonts w:hint="eastAsia" w:ascii="仿宋_GB2312" w:eastAsia="仿宋_GB2312" w:cs="仿宋_GB2312"/>
          <w:b w:val="0"/>
          <w:bCs w:val="0"/>
          <w:kern w:val="0"/>
          <w:sz w:val="32"/>
          <w:szCs w:val="32"/>
        </w:rPr>
        <w:t>无数据情况说明</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968.76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均为县级</w:t>
      </w:r>
      <w:r>
        <w:rPr>
          <w:rFonts w:hint="eastAsia" w:ascii="仿宋_GB2312" w:eastAsia="仿宋_GB2312" w:cs="仿宋_GB2312"/>
          <w:kern w:val="0"/>
          <w:sz w:val="32"/>
          <w:szCs w:val="32"/>
        </w:rPr>
        <w:t>财政拨款收入。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83.24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9.40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：县级财政拨付给我院审判法庭及法警训练馆建设工程款项目资金，故该项本年度收入有所增长。</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：我院属于行政单位，无</w:t>
      </w:r>
      <w:r>
        <w:rPr>
          <w:rFonts w:hint="eastAsia" w:ascii="仿宋_GB2312" w:eastAsia="仿宋_GB2312" w:cs="仿宋_GB2312"/>
          <w:kern w:val="0"/>
          <w:sz w:val="32"/>
          <w:szCs w:val="32"/>
        </w:rPr>
        <w:t>非财政拨款结余</w:t>
      </w:r>
      <w:r>
        <w:rPr>
          <w:rFonts w:hint="eastAsia" w:ascii="仿宋_GB2312" w:eastAsia="仿宋_GB2312" w:cs="仿宋_GB2312"/>
          <w:kern w:val="0"/>
          <w:sz w:val="32"/>
          <w:szCs w:val="32"/>
          <w:lang w:eastAsia="zh-CN"/>
        </w:rPr>
        <w:t>资金，</w:t>
      </w:r>
      <w:r>
        <w:rPr>
          <w:rFonts w:hint="eastAsia" w:ascii="仿宋_GB2312" w:hAnsi="黑体" w:eastAsia="仿宋_GB2312" w:cs="仿宋_GB2312"/>
          <w:kern w:val="0"/>
          <w:sz w:val="32"/>
          <w:szCs w:val="32"/>
          <w:lang w:eastAsia="zh-CN"/>
        </w:rPr>
        <w:t>故</w:t>
      </w:r>
      <w:r>
        <w:rPr>
          <w:rFonts w:hint="eastAsia" w:ascii="仿宋_GB2312" w:eastAsia="仿宋_GB2312" w:cs="仿宋_GB2312"/>
          <w:b w:val="0"/>
          <w:bCs w:val="0"/>
          <w:kern w:val="0"/>
          <w:sz w:val="32"/>
          <w:szCs w:val="32"/>
        </w:rPr>
        <w:t>无数据情况说明</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：我院无</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eastAsia="zh-CN"/>
        </w:rPr>
        <w:t>资金，</w:t>
      </w:r>
      <w:r>
        <w:rPr>
          <w:rFonts w:hint="eastAsia" w:ascii="仿宋_GB2312" w:hAnsi="黑体" w:eastAsia="仿宋_GB2312" w:cs="仿宋_GB2312"/>
          <w:kern w:val="0"/>
          <w:sz w:val="32"/>
          <w:szCs w:val="32"/>
          <w:lang w:eastAsia="zh-CN"/>
        </w:rPr>
        <w:t>故</w:t>
      </w:r>
      <w:r>
        <w:rPr>
          <w:rFonts w:hint="eastAsia" w:ascii="仿宋_GB2312" w:eastAsia="仿宋_GB2312" w:cs="仿宋_GB2312"/>
          <w:b w:val="0"/>
          <w:bCs w:val="0"/>
          <w:kern w:val="0"/>
          <w:sz w:val="32"/>
          <w:szCs w:val="32"/>
        </w:rPr>
        <w:t>无数据情况说明</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3837.87</w:t>
      </w:r>
      <w:r>
        <w:rPr>
          <w:rFonts w:hint="eastAsia" w:ascii="仿宋_GB2312" w:eastAsia="仿宋_GB2312" w:cs="仿宋_GB2312"/>
          <w:kern w:val="0"/>
          <w:sz w:val="32"/>
          <w:szCs w:val="32"/>
        </w:rPr>
        <w:t>万元，其中本年支出</w:t>
      </w:r>
      <w:r>
        <w:rPr>
          <w:rFonts w:hint="eastAsia" w:ascii="仿宋_GB2312" w:eastAsia="仿宋_GB2312"/>
          <w:kern w:val="0"/>
          <w:sz w:val="32"/>
          <w:szCs w:val="32"/>
          <w:lang w:val="en-US" w:eastAsia="zh-CN"/>
        </w:rPr>
        <w:t>3837.87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-0.74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-0.02</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公共安全</w:t>
      </w:r>
      <w:r>
        <w:rPr>
          <w:rFonts w:hint="eastAsia" w:ascii="仿宋_GB2312" w:eastAsia="仿宋_GB2312" w:cs="仿宋_GB2312"/>
          <w:kern w:val="0"/>
          <w:sz w:val="32"/>
          <w:szCs w:val="32"/>
        </w:rPr>
        <w:t>支出（类）</w:t>
      </w:r>
      <w:r>
        <w:rPr>
          <w:rFonts w:hint="eastAsia" w:ascii="仿宋_GB2312" w:eastAsia="仿宋_GB2312"/>
          <w:kern w:val="0"/>
          <w:sz w:val="32"/>
          <w:szCs w:val="32"/>
          <w:lang w:val="en-US" w:eastAsia="zh-CN"/>
        </w:rPr>
        <w:t>3124.12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干警工资津补贴、日常基本支出及我院审判执行等业务项目支出。</w:t>
      </w:r>
    </w:p>
    <w:p>
      <w:pPr>
        <w:autoSpaceDE w:val="0"/>
        <w:autoSpaceDN w:val="0"/>
        <w:adjustRightInd w:val="0"/>
        <w:spacing w:line="560" w:lineRule="exact"/>
        <w:ind w:firstLine="0" w:firstLineChars="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-77.58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-2.42</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2020年度决算支出含有上年结余资金，故此项同比支出有所下降。</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2.社会保障和就业</w:t>
      </w:r>
      <w:r>
        <w:rPr>
          <w:rFonts w:hint="eastAsia" w:ascii="仿宋_GB2312" w:eastAsia="仿宋_GB2312" w:cs="仿宋_GB2312"/>
          <w:kern w:val="0"/>
          <w:sz w:val="32"/>
          <w:szCs w:val="32"/>
        </w:rPr>
        <w:t>支出（类）</w:t>
      </w:r>
      <w:r>
        <w:rPr>
          <w:rFonts w:hint="eastAsia" w:ascii="仿宋_GB2312" w:eastAsia="仿宋_GB2312"/>
          <w:kern w:val="0"/>
          <w:sz w:val="32"/>
          <w:szCs w:val="32"/>
          <w:lang w:val="en-US" w:eastAsia="zh-CN"/>
        </w:rPr>
        <w:t>385.16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干警工养老保险、职业年金、退休人员物业补贴及生活补助，以及遗属生活补助支出。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69.62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22.06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：抚恤金增加</w:t>
      </w:r>
      <w:r>
        <w:rPr>
          <w:rFonts w:hint="eastAsia" w:ascii="仿宋_GB2312" w:hAnsi="黑体" w:eastAsia="仿宋_GB2312" w:cs="仿宋_GB2312"/>
          <w:kern w:val="0"/>
          <w:sz w:val="32"/>
          <w:szCs w:val="32"/>
          <w:lang w:val="en-US" w:eastAsia="zh-CN"/>
        </w:rPr>
        <w:t>44.92万元</w:t>
      </w:r>
      <w:r>
        <w:rPr>
          <w:rFonts w:hint="eastAsia" w:ascii="仿宋_GB2312" w:hAnsi="黑体" w:eastAsia="仿宋_GB2312" w:cs="仿宋_GB2312"/>
          <w:kern w:val="0"/>
          <w:sz w:val="32"/>
          <w:szCs w:val="32"/>
          <w:lang w:eastAsia="zh-CN"/>
        </w:rPr>
        <w:t>及干警的社会保障缴费基数调高，故此项支出增长幅度大</w:t>
      </w:r>
      <w:r>
        <w:rPr>
          <w:rFonts w:hint="eastAsia" w:ascii="仿宋_GB2312" w:hAnsi="黑体" w:eastAsia="仿宋_GB2312" w:cs="仿宋_GB2312"/>
          <w:kern w:val="0"/>
          <w:sz w:val="32"/>
          <w:szCs w:val="32"/>
          <w:lang w:val="en-US" w:eastAsia="zh-CN"/>
        </w:rPr>
        <w:t>。</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3.卫生健康支出</w:t>
      </w:r>
      <w:r>
        <w:rPr>
          <w:rFonts w:hint="eastAsia" w:ascii="仿宋_GB2312" w:eastAsia="仿宋_GB2312" w:cs="仿宋_GB2312"/>
          <w:kern w:val="0"/>
          <w:sz w:val="32"/>
          <w:szCs w:val="32"/>
        </w:rPr>
        <w:t>支出（类）</w:t>
      </w:r>
      <w:r>
        <w:rPr>
          <w:rFonts w:hint="eastAsia" w:ascii="仿宋_GB2312" w:eastAsia="仿宋_GB2312" w:cs="仿宋_GB2312"/>
          <w:kern w:val="0"/>
          <w:sz w:val="32"/>
          <w:szCs w:val="32"/>
          <w:lang w:val="en-US" w:eastAsia="zh-CN"/>
        </w:rPr>
        <w:t>168.67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干警医疗保险、工伤险、生育险、公务员医疗补助支出。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-3.19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-1.86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：在职人员退休，医疗保障经费减少，故此项同比支出有所下降</w:t>
      </w:r>
      <w:r>
        <w:rPr>
          <w:rFonts w:hint="eastAsia" w:ascii="仿宋_GB2312" w:hAnsi="黑体" w:eastAsia="仿宋_GB2312" w:cs="仿宋_GB2312"/>
          <w:kern w:val="0"/>
          <w:sz w:val="32"/>
          <w:szCs w:val="32"/>
          <w:lang w:val="en-US" w:eastAsia="zh-CN"/>
        </w:rPr>
        <w:t>。</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w:t>
      </w:r>
      <w:r>
        <w:rPr>
          <w:rFonts w:hint="eastAsia" w:ascii="仿宋_GB2312" w:eastAsia="仿宋_GB2312" w:cs="仿宋_GB2312"/>
          <w:kern w:val="0"/>
          <w:sz w:val="32"/>
          <w:szCs w:val="32"/>
          <w:lang w:val="en-US" w:eastAsia="zh-CN"/>
        </w:rPr>
        <w:t>住房保障</w:t>
      </w:r>
      <w:r>
        <w:rPr>
          <w:rFonts w:hint="eastAsia" w:ascii="仿宋_GB2312" w:eastAsia="仿宋_GB2312" w:cs="仿宋_GB2312"/>
          <w:kern w:val="0"/>
          <w:sz w:val="32"/>
          <w:szCs w:val="32"/>
        </w:rPr>
        <w:t>支出（类）</w:t>
      </w:r>
      <w:r>
        <w:rPr>
          <w:rFonts w:hint="eastAsia" w:ascii="仿宋_GB2312" w:eastAsia="仿宋_GB2312"/>
          <w:kern w:val="0"/>
          <w:sz w:val="32"/>
          <w:szCs w:val="32"/>
          <w:lang w:val="en-US" w:eastAsia="zh-CN"/>
        </w:rPr>
        <w:t>159.92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干警住房公积金支出。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25.31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18.80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：公积金基数调高及补提补发绩效部分的公积金，故此项同比支出有所增长</w:t>
      </w:r>
      <w:r>
        <w:rPr>
          <w:rFonts w:hint="eastAsia" w:ascii="仿宋_GB2312" w:hAnsi="黑体"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：我院属于行政单位，无</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eastAsia="zh-CN"/>
        </w:rPr>
        <w:t>资金，</w:t>
      </w:r>
      <w:r>
        <w:rPr>
          <w:rFonts w:hint="eastAsia" w:ascii="仿宋_GB2312" w:hAnsi="黑体" w:eastAsia="仿宋_GB2312" w:cs="仿宋_GB2312"/>
          <w:kern w:val="0"/>
          <w:sz w:val="32"/>
          <w:szCs w:val="32"/>
          <w:lang w:eastAsia="zh-CN"/>
        </w:rPr>
        <w:t>故</w:t>
      </w:r>
      <w:r>
        <w:rPr>
          <w:rFonts w:hint="eastAsia" w:ascii="仿宋_GB2312" w:eastAsia="仿宋_GB2312" w:cs="仿宋_GB2312"/>
          <w:b w:val="0"/>
          <w:bCs w:val="0"/>
          <w:kern w:val="0"/>
          <w:sz w:val="32"/>
          <w:szCs w:val="32"/>
        </w:rPr>
        <w:t>无数据情况说明</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 xml:space="preserve">    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：我院得到的财政拨款，已在当年全部支出，故</w:t>
      </w:r>
      <w:r>
        <w:rPr>
          <w:rFonts w:hint="eastAsia" w:ascii="仿宋_GB2312" w:eastAsia="仿宋_GB2312" w:cs="仿宋_GB2312"/>
          <w:kern w:val="0"/>
          <w:sz w:val="32"/>
          <w:szCs w:val="32"/>
        </w:rPr>
        <w:t>年末结转和结余</w:t>
      </w:r>
      <w:r>
        <w:rPr>
          <w:rFonts w:hint="eastAsia" w:ascii="仿宋_GB2312" w:hAnsi="黑体" w:eastAsia="仿宋_GB2312" w:cs="仿宋_GB2312"/>
          <w:kern w:val="0"/>
          <w:sz w:val="32"/>
          <w:szCs w:val="32"/>
          <w:lang w:eastAsia="zh-CN"/>
        </w:rPr>
        <w:t>为零，</w:t>
      </w:r>
      <w:r>
        <w:rPr>
          <w:rFonts w:hint="eastAsia" w:ascii="仿宋_GB2312" w:eastAsia="仿宋_GB2312" w:cs="仿宋_GB2312"/>
          <w:b w:val="0"/>
          <w:bCs w:val="0"/>
          <w:kern w:val="0"/>
          <w:sz w:val="32"/>
          <w:szCs w:val="32"/>
        </w:rPr>
        <w:t>无数据情况说明</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2869.11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-83.98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1716.47</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1152.64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2393.57</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lang w:val="en-US" w:eastAsia="zh-CN"/>
        </w:rPr>
        <w:t>2869.11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119.87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lang w:eastAsia="zh-CN"/>
        </w:rPr>
        <w:t>公共安全</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1204.40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1209.15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100.39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支付在职干警工资、津补贴及单位日常工作运行开支。预决算差异（增加）</w:t>
      </w:r>
      <w:r>
        <w:rPr>
          <w:rFonts w:hint="eastAsia" w:ascii="仿宋_GB2312" w:eastAsia="仿宋_GB2312" w:cs="仿宋_GB2312"/>
          <w:kern w:val="0"/>
          <w:sz w:val="32"/>
          <w:szCs w:val="32"/>
          <w:lang w:val="en-US" w:eastAsia="zh-CN"/>
        </w:rPr>
        <w:t>4.75万元，</w:t>
      </w:r>
      <w:r>
        <w:rPr>
          <w:rFonts w:hint="eastAsia" w:ascii="仿宋_GB2312" w:eastAsia="仿宋_GB2312" w:cs="仿宋_GB2312"/>
          <w:kern w:val="0"/>
          <w:sz w:val="32"/>
          <w:szCs w:val="32"/>
          <w:lang w:eastAsia="zh-CN"/>
        </w:rPr>
        <w:t>为我院干警正常调资及补发工资。</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（二）公共安全</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（款）一般行政管理事务（项）。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25.07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24.99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99.68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原因：预决算差异（减少）</w:t>
      </w:r>
      <w:r>
        <w:rPr>
          <w:rFonts w:hint="eastAsia" w:ascii="仿宋_GB2312" w:eastAsia="仿宋_GB2312" w:cs="仿宋_GB2312"/>
          <w:kern w:val="0"/>
          <w:sz w:val="32"/>
          <w:szCs w:val="32"/>
          <w:lang w:val="en-US" w:eastAsia="zh-CN"/>
        </w:rPr>
        <w:t>-0.08万元，</w:t>
      </w:r>
      <w:r>
        <w:rPr>
          <w:rFonts w:hint="eastAsia" w:ascii="仿宋_GB2312" w:eastAsia="仿宋_GB2312" w:cs="仿宋_GB2312"/>
          <w:kern w:val="0"/>
          <w:sz w:val="32"/>
          <w:szCs w:val="32"/>
          <w:lang w:eastAsia="zh-CN"/>
        </w:rPr>
        <w:t>为我院按该项实际产生的费用结付项目款，故决算与年初预算有所差异。</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lang w:eastAsia="zh-CN"/>
        </w:rPr>
        <w:t>公共安全</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案件审判</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305.64</w:t>
      </w:r>
      <w:r>
        <w:rPr>
          <w:rFonts w:hint="eastAsia" w:ascii="仿宋_GB2312" w:hAnsi="黑体" w:eastAsia="仿宋_GB2312" w:cs="仿宋_GB2312"/>
          <w:kern w:val="0"/>
          <w:sz w:val="32"/>
          <w:szCs w:val="32"/>
        </w:rPr>
        <w:t>万元，完成</w:t>
      </w:r>
      <w:r>
        <w:rPr>
          <w:rFonts w:hint="eastAsia" w:ascii="仿宋_GB2312" w:hAnsi="黑体" w:eastAsia="仿宋_GB2312" w:cs="仿宋_GB2312"/>
          <w:kern w:val="0"/>
          <w:sz w:val="32"/>
          <w:szCs w:val="32"/>
          <w:lang w:eastAsia="zh-CN"/>
        </w:rPr>
        <w:t>（上级）</w:t>
      </w:r>
      <w:r>
        <w:rPr>
          <w:rFonts w:hint="eastAsia" w:ascii="仿宋_GB2312" w:hAnsi="黑体" w:eastAsia="仿宋_GB2312" w:cs="仿宋_GB2312"/>
          <w:kern w:val="0"/>
          <w:sz w:val="32"/>
          <w:szCs w:val="32"/>
        </w:rPr>
        <w:t>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原因：该项为上级下拨的政法转移支付资金，年初无法估算预算拨款，故年初预算栏为零。</w:t>
      </w:r>
      <w:r>
        <w:rPr>
          <w:rFonts w:hint="eastAsia" w:ascii="仿宋_GB2312" w:hAnsi="黑体" w:eastAsia="仿宋_GB2312" w:cs="仿宋_GB2312"/>
          <w:kern w:val="0"/>
          <w:sz w:val="32"/>
          <w:szCs w:val="32"/>
        </w:rPr>
        <w:t>决算</w:t>
      </w:r>
      <w:r>
        <w:rPr>
          <w:rFonts w:hint="eastAsia" w:ascii="仿宋_GB2312" w:hAnsi="黑体" w:eastAsia="仿宋_GB2312" w:cs="仿宋_GB2312"/>
          <w:kern w:val="0"/>
          <w:sz w:val="32"/>
          <w:szCs w:val="32"/>
          <w:lang w:eastAsia="zh-CN"/>
        </w:rPr>
        <w:t>数按财政实际拨款支出填报。</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lang w:eastAsia="zh-CN"/>
        </w:rPr>
        <w:t>公共安全</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案件执行</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5.96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5.56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93.29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原因：该项支出预算为我院法警执勤津贴，预决算差异（减少）</w:t>
      </w:r>
      <w:r>
        <w:rPr>
          <w:rFonts w:hint="eastAsia" w:ascii="仿宋_GB2312" w:eastAsia="仿宋_GB2312" w:cs="仿宋_GB2312"/>
          <w:kern w:val="0"/>
          <w:sz w:val="32"/>
          <w:szCs w:val="32"/>
          <w:lang w:val="en-US" w:eastAsia="zh-CN"/>
        </w:rPr>
        <w:t>-0.40万元，</w:t>
      </w:r>
      <w:r>
        <w:rPr>
          <w:rFonts w:hint="eastAsia" w:ascii="仿宋_GB2312" w:eastAsia="仿宋_GB2312" w:cs="仿宋_GB2312"/>
          <w:kern w:val="0"/>
          <w:sz w:val="32"/>
          <w:szCs w:val="32"/>
          <w:lang w:eastAsia="zh-CN"/>
        </w:rPr>
        <w:t>为我院按法警实际执勤天数核付的执勤津贴，故决算与年初预算有所差异。</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ascii="仿宋_GB2312" w:eastAsia="仿宋_GB2312" w:cs="仿宋_GB2312"/>
          <w:bCs/>
          <w:kern w:val="0"/>
          <w:sz w:val="32"/>
          <w:szCs w:val="32"/>
          <w:lang w:eastAsia="zh-CN"/>
        </w:rPr>
        <w:t>公共安全</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其他法院支出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709.36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816.45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115.10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原因：预决算差异（增加）</w:t>
      </w:r>
      <w:r>
        <w:rPr>
          <w:rFonts w:hint="eastAsia" w:ascii="仿宋_GB2312" w:eastAsia="仿宋_GB2312" w:cs="仿宋_GB2312"/>
          <w:kern w:val="0"/>
          <w:sz w:val="32"/>
          <w:szCs w:val="32"/>
          <w:lang w:val="en-US" w:eastAsia="zh-CN"/>
        </w:rPr>
        <w:t>107.09万元</w:t>
      </w:r>
      <w:r>
        <w:rPr>
          <w:rFonts w:hint="eastAsia" w:ascii="仿宋_GB2312" w:eastAsia="仿宋_GB2312" w:cs="仿宋_GB2312"/>
          <w:kern w:val="0"/>
          <w:sz w:val="32"/>
          <w:szCs w:val="32"/>
          <w:lang w:eastAsia="zh-CN"/>
        </w:rPr>
        <w:t>，主要为区级财政下拨的诉讼费补助业务资金及市级财政追加拨付的项目资金，故决算与年初预算差异大。</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67.68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376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原因：预决算差异（增加）</w:t>
      </w:r>
      <w:r>
        <w:rPr>
          <w:rFonts w:hint="eastAsia" w:ascii="仿宋_GB2312" w:eastAsia="仿宋_GB2312" w:cs="仿宋_GB2312"/>
          <w:kern w:val="0"/>
          <w:sz w:val="32"/>
          <w:szCs w:val="32"/>
          <w:lang w:val="en-US" w:eastAsia="zh-CN"/>
        </w:rPr>
        <w:t>49.68万元，</w:t>
      </w:r>
      <w:r>
        <w:rPr>
          <w:rFonts w:hint="eastAsia" w:ascii="仿宋_GB2312" w:eastAsia="仿宋_GB2312" w:cs="仿宋_GB2312"/>
          <w:kern w:val="0"/>
          <w:sz w:val="32"/>
          <w:szCs w:val="32"/>
          <w:lang w:eastAsia="zh-CN"/>
        </w:rPr>
        <w:t>为抚恤金。</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rPr>
      </w:pPr>
      <w:r>
        <w:rPr>
          <w:rFonts w:hint="eastAsia" w:ascii="仿宋_GB2312" w:eastAsia="仿宋_GB2312" w:cs="仿宋_GB2312"/>
          <w:kern w:val="0"/>
          <w:sz w:val="32"/>
          <w:szCs w:val="32"/>
          <w:lang w:eastAsia="zh-CN"/>
        </w:rPr>
        <w:t>（七）</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机关事业单位基本养老金缴费支出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141.81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143.01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100.85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原因：预决算差异（增加）</w:t>
      </w:r>
      <w:r>
        <w:rPr>
          <w:rFonts w:hint="eastAsia" w:ascii="仿宋_GB2312" w:eastAsia="仿宋_GB2312" w:cs="仿宋_GB2312"/>
          <w:kern w:val="0"/>
          <w:sz w:val="32"/>
          <w:szCs w:val="32"/>
          <w:lang w:val="en-US" w:eastAsia="zh-CN"/>
        </w:rPr>
        <w:t>1.20万元，为年度养老基数调高所增加的拨款支出。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rPr>
      </w:pPr>
      <w:r>
        <w:rPr>
          <w:rFonts w:hint="eastAsia" w:ascii="仿宋_GB2312" w:eastAsia="仿宋_GB2312" w:cs="仿宋_GB2312"/>
          <w:kern w:val="0"/>
          <w:sz w:val="32"/>
          <w:szCs w:val="32"/>
          <w:lang w:eastAsia="zh-CN"/>
        </w:rPr>
        <w:t>（八）</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70.90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71.50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100.85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原因：预决算差异（增加）</w:t>
      </w:r>
      <w:r>
        <w:rPr>
          <w:rFonts w:hint="eastAsia" w:ascii="仿宋_GB2312" w:eastAsia="仿宋_GB2312" w:cs="仿宋_GB2312"/>
          <w:kern w:val="0"/>
          <w:sz w:val="32"/>
          <w:szCs w:val="32"/>
          <w:lang w:val="en-US" w:eastAsia="zh-CN"/>
        </w:rPr>
        <w:t>0.60万元，为年度</w:t>
      </w:r>
      <w:r>
        <w:rPr>
          <w:rFonts w:hint="eastAsia" w:ascii="仿宋_GB2312" w:eastAsia="仿宋_GB2312" w:cs="仿宋_GB2312"/>
          <w:bCs/>
          <w:kern w:val="0"/>
          <w:sz w:val="32"/>
          <w:szCs w:val="32"/>
          <w:lang w:eastAsia="zh-CN"/>
        </w:rPr>
        <w:t>职业年金基</w:t>
      </w:r>
      <w:r>
        <w:rPr>
          <w:rFonts w:hint="eastAsia" w:ascii="仿宋_GB2312" w:eastAsia="仿宋_GB2312" w:cs="仿宋_GB2312"/>
          <w:kern w:val="0"/>
          <w:sz w:val="32"/>
          <w:szCs w:val="32"/>
          <w:lang w:val="en-US" w:eastAsia="zh-CN"/>
        </w:rPr>
        <w:t>数调高所增加的拨款支出。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（九）</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color w:val="000000" w:themeColor="text1"/>
          <w:kern w:val="0"/>
          <w:sz w:val="32"/>
          <w:szCs w:val="32"/>
          <w:lang w:eastAsia="zh-CN"/>
          <w14:textFill>
            <w14:solidFill>
              <w14:schemeClr w14:val="tx1"/>
            </w14:solidFill>
          </w14:textFill>
        </w:rPr>
        <w:t>其他社会保障和就业支出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6.06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5.05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83.33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原因：预决算差异（减少）</w:t>
      </w:r>
      <w:r>
        <w:rPr>
          <w:rFonts w:hint="eastAsia" w:ascii="仿宋_GB2312" w:eastAsia="仿宋_GB2312" w:cs="仿宋_GB2312"/>
          <w:kern w:val="0"/>
          <w:sz w:val="32"/>
          <w:szCs w:val="32"/>
          <w:lang w:val="en-US" w:eastAsia="zh-CN"/>
        </w:rPr>
        <w:t>-1.01万</w:t>
      </w:r>
      <w:r>
        <w:rPr>
          <w:rFonts w:hint="eastAsia" w:ascii="仿宋_GB2312" w:eastAsia="仿宋_GB2312" w:cs="仿宋_GB2312"/>
          <w:kern w:val="0"/>
          <w:sz w:val="32"/>
          <w:szCs w:val="32"/>
          <w:lang w:eastAsia="zh-CN"/>
        </w:rPr>
        <w:t>元，为该项遗属补助人员减少，故决算支出也相应减少。</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（十）</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69.13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69.72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100.85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lang w:eastAsia="zh-CN"/>
        </w:rPr>
        <w:t>预决算差异（增加）</w:t>
      </w:r>
      <w:r>
        <w:rPr>
          <w:rFonts w:hint="eastAsia" w:ascii="仿宋_GB2312" w:eastAsia="仿宋_GB2312" w:cs="仿宋_GB2312"/>
          <w:kern w:val="0"/>
          <w:sz w:val="32"/>
          <w:szCs w:val="32"/>
          <w:lang w:val="en-US" w:eastAsia="zh-CN"/>
        </w:rPr>
        <w:t>0.59万元，为年度</w:t>
      </w:r>
      <w:r>
        <w:rPr>
          <w:rFonts w:hint="eastAsia" w:ascii="仿宋_GB2312" w:eastAsia="仿宋_GB2312" w:cs="仿宋_GB2312"/>
          <w:bCs/>
          <w:kern w:val="0"/>
          <w:sz w:val="32"/>
          <w:szCs w:val="32"/>
          <w:lang w:eastAsia="zh-CN"/>
        </w:rPr>
        <w:t>行政单位医疗基</w:t>
      </w:r>
      <w:r>
        <w:rPr>
          <w:rFonts w:hint="eastAsia" w:ascii="仿宋_GB2312" w:eastAsia="仿宋_GB2312" w:cs="仿宋_GB2312"/>
          <w:kern w:val="0"/>
          <w:sz w:val="32"/>
          <w:szCs w:val="32"/>
          <w:lang w:val="en-US" w:eastAsia="zh-CN"/>
        </w:rPr>
        <w:t>数调高所增加的拨款支出。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（十一）</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36.53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43.11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118.01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lang w:eastAsia="zh-CN"/>
        </w:rPr>
        <w:t>预决算差异（增加）</w:t>
      </w:r>
      <w:r>
        <w:rPr>
          <w:rFonts w:hint="eastAsia" w:ascii="仿宋_GB2312" w:eastAsia="仿宋_GB2312" w:cs="仿宋_GB2312"/>
          <w:kern w:val="0"/>
          <w:sz w:val="32"/>
          <w:szCs w:val="32"/>
          <w:lang w:val="en-US" w:eastAsia="zh-CN"/>
        </w:rPr>
        <w:t>6.58万元，为年度</w:t>
      </w:r>
      <w:r>
        <w:rPr>
          <w:rFonts w:hint="eastAsia" w:ascii="仿宋_GB2312" w:eastAsia="仿宋_GB2312" w:cs="仿宋_GB2312"/>
          <w:bCs/>
          <w:kern w:val="0"/>
          <w:sz w:val="32"/>
          <w:szCs w:val="32"/>
          <w:lang w:eastAsia="zh-CN"/>
        </w:rPr>
        <w:t>公务员医疗补助基</w:t>
      </w:r>
      <w:r>
        <w:rPr>
          <w:rFonts w:hint="eastAsia" w:ascii="仿宋_GB2312" w:eastAsia="仿宋_GB2312" w:cs="仿宋_GB2312"/>
          <w:kern w:val="0"/>
          <w:sz w:val="32"/>
          <w:szCs w:val="32"/>
          <w:lang w:val="en-US" w:eastAsia="zh-CN"/>
        </w:rPr>
        <w:t>数调高及根据社保部门核算年度差额补缴费等所增加的拨款支出。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（十二）</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106.35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107.26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100.86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lang w:eastAsia="zh-CN"/>
        </w:rPr>
        <w:t>预决算差异（增加）</w:t>
      </w:r>
      <w:r>
        <w:rPr>
          <w:rFonts w:hint="eastAsia" w:ascii="仿宋_GB2312" w:eastAsia="仿宋_GB2312" w:cs="仿宋_GB2312"/>
          <w:kern w:val="0"/>
          <w:sz w:val="32"/>
          <w:szCs w:val="32"/>
          <w:lang w:val="en-US" w:eastAsia="zh-CN"/>
        </w:rPr>
        <w:t>0.91万元，为年度</w:t>
      </w:r>
      <w:r>
        <w:rPr>
          <w:rFonts w:hint="eastAsia" w:ascii="仿宋_GB2312" w:eastAsia="仿宋_GB2312" w:cs="仿宋_GB2312"/>
          <w:bCs/>
          <w:kern w:val="0"/>
          <w:sz w:val="32"/>
          <w:szCs w:val="32"/>
          <w:lang w:eastAsia="zh-CN"/>
        </w:rPr>
        <w:t>住房公积金基</w:t>
      </w:r>
      <w:r>
        <w:rPr>
          <w:rFonts w:hint="eastAsia" w:ascii="仿宋_GB2312" w:eastAsia="仿宋_GB2312" w:cs="仿宋_GB2312"/>
          <w:kern w:val="0"/>
          <w:sz w:val="32"/>
          <w:szCs w:val="32"/>
          <w:lang w:val="en-US" w:eastAsia="zh-CN"/>
        </w:rPr>
        <w:t>数调高所增加的拨款支出。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1716.47</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1355.36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100.05</w:t>
      </w:r>
      <w:r>
        <w:rPr>
          <w:rFonts w:hint="eastAsia" w:ascii="仿宋_GB2312" w:eastAsia="仿宋_GB2312"/>
          <w:bCs/>
          <w:kern w:val="0"/>
          <w:sz w:val="32"/>
          <w:szCs w:val="32"/>
        </w:rPr>
        <w:t>%</w:t>
      </w:r>
      <w:r>
        <w:rPr>
          <w:rFonts w:hint="eastAsia" w:ascii="仿宋_GB2312" w:eastAsia="仿宋_GB2312"/>
          <w:bCs/>
          <w:kern w:val="0"/>
          <w:sz w:val="32"/>
          <w:szCs w:val="32"/>
          <w:lang w:eastAsia="zh-CN"/>
        </w:rPr>
        <w:t>。其中基本工资</w:t>
      </w:r>
      <w:r>
        <w:rPr>
          <w:rFonts w:hint="eastAsia" w:ascii="仿宋_GB2312" w:eastAsia="仿宋_GB2312"/>
          <w:bCs/>
          <w:kern w:val="0"/>
          <w:sz w:val="32"/>
          <w:szCs w:val="32"/>
          <w:lang w:val="en-US" w:eastAsia="zh-CN"/>
        </w:rPr>
        <w:t>380.80万元，津贴补贴321.05万元，奖金34.10万元，绩效工资182.59万元，机关事业单位基本养老保险缴费143.01万元，职业年金缴费71.50万元，职工基本医疗保险缴费69.72万元，公务员医疗补助缴费43.11万元，其他社会保障缴费2.22万元，住房公积金107.26万元</w:t>
      </w:r>
      <w:r>
        <w:rPr>
          <w:rFonts w:hint="eastAsia" w:ascii="仿宋_GB2312" w:eastAsia="仿宋_GB2312"/>
          <w:bCs/>
          <w:kern w:val="0"/>
          <w:sz w:val="32"/>
          <w:szCs w:val="32"/>
        </w:rPr>
        <w:t>。预决算差异</w:t>
      </w:r>
      <w:r>
        <w:rPr>
          <w:rFonts w:hint="eastAsia" w:ascii="仿宋_GB2312" w:eastAsia="仿宋_GB2312"/>
          <w:bCs/>
          <w:kern w:val="0"/>
          <w:sz w:val="32"/>
          <w:szCs w:val="32"/>
          <w:lang w:eastAsia="zh-CN"/>
        </w:rPr>
        <w:t>的原因：为干警正常调资、补发工资、五险缴费基数调高所增加的拨款支出。</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285.15</w:t>
      </w:r>
      <w:r>
        <w:rPr>
          <w:rFonts w:hint="eastAsia" w:ascii="仿宋_GB2312" w:eastAsia="仿宋_GB2312"/>
          <w:bCs/>
          <w:kern w:val="0"/>
          <w:sz w:val="32"/>
          <w:szCs w:val="32"/>
        </w:rPr>
        <w:t>万元</w:t>
      </w:r>
      <w:r>
        <w:rPr>
          <w:rFonts w:hint="eastAsia" w:ascii="仿宋_GB2312" w:eastAsia="仿宋_GB2312"/>
          <w:bCs/>
          <w:kern w:val="0"/>
          <w:sz w:val="32"/>
          <w:szCs w:val="32"/>
          <w:lang w:val="en-US" w:eastAsia="zh-CN"/>
        </w:rPr>
        <w:t>，</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93.69</w:t>
      </w:r>
      <w:r>
        <w:rPr>
          <w:rFonts w:hint="eastAsia" w:ascii="仿宋_GB2312" w:eastAsia="仿宋_GB2312"/>
          <w:bCs/>
          <w:kern w:val="0"/>
          <w:sz w:val="32"/>
          <w:szCs w:val="32"/>
        </w:rPr>
        <w:t>%</w:t>
      </w:r>
      <w:r>
        <w:rPr>
          <w:rFonts w:hint="eastAsia" w:ascii="仿宋_GB2312" w:eastAsia="仿宋_GB2312"/>
          <w:bCs/>
          <w:kern w:val="0"/>
          <w:sz w:val="32"/>
          <w:szCs w:val="32"/>
          <w:lang w:eastAsia="zh-CN"/>
        </w:rPr>
        <w:t>，其中</w:t>
      </w:r>
      <w:r>
        <w:rPr>
          <w:rFonts w:hint="eastAsia" w:ascii="仿宋_GB2312" w:eastAsia="仿宋_GB2312"/>
          <w:bCs/>
          <w:kern w:val="0"/>
          <w:sz w:val="32"/>
          <w:szCs w:val="32"/>
        </w:rPr>
        <w:t>办公费</w:t>
      </w:r>
      <w:r>
        <w:rPr>
          <w:rFonts w:hint="eastAsia" w:ascii="仿宋_GB2312" w:eastAsia="仿宋_GB2312"/>
          <w:bCs/>
          <w:kern w:val="0"/>
          <w:sz w:val="32"/>
          <w:szCs w:val="32"/>
          <w:lang w:val="en-US" w:eastAsia="zh-CN"/>
        </w:rPr>
        <w:t>24.84万元，水费1.88万元，电费14.12万元，邮电费18.69万元，物业管理费1.94万元，差旅费46.55万元，维修（护）费2.28万元，培训费8.49万元，公务接待费2.49万元，劳务费0.60万元，委托业务费0.15万元，工会经费17.73万元，福利费6.79万元，其他交通费用88.82万元，其他商品和服务支出49.78万元</w:t>
      </w:r>
      <w:r>
        <w:rPr>
          <w:rFonts w:hint="eastAsia" w:ascii="仿宋_GB2312" w:eastAsia="仿宋_GB2312"/>
          <w:bCs/>
          <w:kern w:val="0"/>
          <w:sz w:val="32"/>
          <w:szCs w:val="32"/>
        </w:rPr>
        <w:t>。预决算差异</w:t>
      </w:r>
      <w:r>
        <w:rPr>
          <w:rFonts w:hint="eastAsia" w:ascii="仿宋_GB2312" w:eastAsia="仿宋_GB2312"/>
          <w:bCs/>
          <w:kern w:val="0"/>
          <w:sz w:val="32"/>
          <w:szCs w:val="32"/>
          <w:lang w:eastAsia="zh-CN"/>
        </w:rPr>
        <w:t>的原因：厉行节约，压减支出。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rPr>
        <w:t>支出</w:t>
      </w:r>
      <w:r>
        <w:rPr>
          <w:rFonts w:hint="eastAsia" w:ascii="仿宋_GB2312" w:eastAsia="仿宋_GB2312"/>
          <w:bCs/>
          <w:kern w:val="0"/>
          <w:sz w:val="32"/>
          <w:szCs w:val="32"/>
          <w:lang w:val="en-US" w:eastAsia="zh-CN"/>
        </w:rPr>
        <w:t>75.96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289.04</w:t>
      </w:r>
      <w:r>
        <w:rPr>
          <w:rFonts w:hint="eastAsia" w:ascii="仿宋_GB2312" w:eastAsia="仿宋_GB2312"/>
          <w:bCs/>
          <w:kern w:val="0"/>
          <w:sz w:val="32"/>
          <w:szCs w:val="32"/>
        </w:rPr>
        <w:t>%</w:t>
      </w:r>
      <w:r>
        <w:rPr>
          <w:rFonts w:hint="eastAsia" w:ascii="仿宋_GB2312" w:eastAsia="仿宋_GB2312"/>
          <w:bCs/>
          <w:kern w:val="0"/>
          <w:sz w:val="32"/>
          <w:szCs w:val="32"/>
          <w:lang w:eastAsia="zh-CN"/>
        </w:rPr>
        <w:t>。其中</w:t>
      </w:r>
      <w:r>
        <w:rPr>
          <w:rFonts w:hint="eastAsia" w:ascii="仿宋_GB2312" w:eastAsia="仿宋_GB2312"/>
          <w:bCs/>
          <w:kern w:val="0"/>
          <w:sz w:val="32"/>
          <w:szCs w:val="32"/>
        </w:rPr>
        <w:t>退休费</w:t>
      </w:r>
      <w:r>
        <w:rPr>
          <w:rFonts w:hint="eastAsia" w:ascii="仿宋_GB2312" w:eastAsia="仿宋_GB2312"/>
          <w:bCs/>
          <w:kern w:val="0"/>
          <w:sz w:val="32"/>
          <w:szCs w:val="32"/>
          <w:lang w:val="en-US" w:eastAsia="zh-CN"/>
        </w:rPr>
        <w:t>25.98万元，抚恤金44.93万元，生活补助5.05万元</w:t>
      </w:r>
      <w:r>
        <w:rPr>
          <w:rFonts w:hint="eastAsia" w:ascii="仿宋_GB2312" w:eastAsia="仿宋_GB2312"/>
          <w:bCs/>
          <w:kern w:val="0"/>
          <w:sz w:val="32"/>
          <w:szCs w:val="32"/>
        </w:rPr>
        <w:t>。预决算差异</w:t>
      </w:r>
      <w:r>
        <w:rPr>
          <w:rFonts w:hint="eastAsia" w:ascii="仿宋_GB2312" w:eastAsia="仿宋_GB2312"/>
          <w:bCs/>
          <w:kern w:val="0"/>
          <w:sz w:val="32"/>
          <w:szCs w:val="32"/>
          <w:lang w:eastAsia="zh-CN"/>
        </w:rPr>
        <w:t>的原因：为支付抚恤金所增加的拨款支出。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柳城县人民法院</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left="319" w:leftChars="152" w:firstLine="320" w:firstLineChars="1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年度国有资本经营预算支出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柳城县人民法院</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16.89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59.53</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12.04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。同比减少的</w:t>
      </w:r>
      <w:r>
        <w:rPr>
          <w:rFonts w:hint="eastAsia" w:ascii="仿宋_GB2312" w:eastAsia="仿宋_GB2312" w:cs="仿宋_GB2312"/>
          <w:kern w:val="0"/>
          <w:sz w:val="32"/>
          <w:szCs w:val="32"/>
        </w:rPr>
        <w:t>主要原因</w:t>
      </w:r>
      <w:r>
        <w:rPr>
          <w:rFonts w:hint="eastAsia" w:ascii="仿宋_GB2312" w:eastAsia="仿宋_GB2312" w:cs="仿宋_GB2312"/>
          <w:kern w:val="0"/>
          <w:sz w:val="32"/>
          <w:szCs w:val="32"/>
          <w:lang w:eastAsia="zh-CN"/>
        </w:rPr>
        <w:t>：一是我院租用新能源车辆办案，故公务车辆运行维护费减少</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二是由于我院垂直管理后，一部分车辆经费支出在主管院列支。故</w:t>
      </w:r>
      <w:r>
        <w:rPr>
          <w:rFonts w:hint="eastAsia" w:ascii="仿宋_GB2312" w:eastAsia="仿宋_GB2312" w:cs="仿宋_GB2312"/>
          <w:kern w:val="0"/>
          <w:sz w:val="32"/>
          <w:szCs w:val="32"/>
          <w:lang w:val="en-US" w:eastAsia="zh-CN"/>
        </w:rPr>
        <w:t>2021年度</w:t>
      </w:r>
      <w:r>
        <w:rPr>
          <w:rFonts w:hint="eastAsia" w:ascii="仿宋_GB2312" w:eastAsia="仿宋_GB2312" w:cs="仿宋_GB2312"/>
          <w:kern w:val="0"/>
          <w:sz w:val="32"/>
          <w:szCs w:val="32"/>
        </w:rPr>
        <w:t>“三公”经费</w:t>
      </w:r>
      <w:r>
        <w:rPr>
          <w:rFonts w:hint="eastAsia" w:ascii="仿宋_GB2312" w:eastAsia="仿宋_GB2312" w:cs="仿宋_GB2312"/>
          <w:kern w:val="0"/>
          <w:sz w:val="32"/>
          <w:szCs w:val="32"/>
          <w:lang w:eastAsia="zh-CN"/>
        </w:rPr>
        <w:t>同比支出降幅大。</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14.40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2.49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：我院此项无支出，故无数据说明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14.40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：我院此项无支出，故无数据说明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14.40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12.40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：一是我院租用新能源车辆办案，故公务车辆运行维护费减少</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二是由于我院垂直管理后，一部分车辆经费支出在主管院列支。故</w:t>
      </w:r>
      <w:r>
        <w:rPr>
          <w:rFonts w:hint="eastAsia" w:ascii="仿宋_GB2312" w:eastAsia="仿宋_GB2312" w:cs="仿宋_GB2312"/>
          <w:kern w:val="0"/>
          <w:sz w:val="32"/>
          <w:szCs w:val="32"/>
          <w:lang w:val="en-US" w:eastAsia="zh-CN"/>
        </w:rPr>
        <w:t>2021年度</w:t>
      </w:r>
      <w:r>
        <w:rPr>
          <w:rFonts w:hint="eastAsia" w:ascii="仿宋_GB2312" w:eastAsia="仿宋_GB2312" w:cs="仿宋_GB2312"/>
          <w:kern w:val="0"/>
          <w:sz w:val="32"/>
          <w:szCs w:val="32"/>
        </w:rPr>
        <w:t>公务用车运行经费</w:t>
      </w:r>
      <w:r>
        <w:rPr>
          <w:rFonts w:hint="eastAsia" w:ascii="仿宋_GB2312" w:eastAsia="仿宋_GB2312" w:cs="仿宋_GB2312"/>
          <w:kern w:val="0"/>
          <w:sz w:val="32"/>
          <w:szCs w:val="32"/>
          <w:lang w:eastAsia="zh-CN"/>
        </w:rPr>
        <w:t>同比支出降幅大。</w:t>
      </w:r>
      <w:r>
        <w:rPr>
          <w:rFonts w:hint="eastAsia" w:ascii="仿宋_GB2312" w:eastAsia="仿宋_GB2312" w:cs="仿宋_GB2312"/>
          <w:kern w:val="0"/>
          <w:sz w:val="32"/>
          <w:szCs w:val="32"/>
        </w:rPr>
        <w:t>主要用于机要文件交换、市内因公出行以及开展  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柳城县人民法院</w:t>
      </w:r>
      <w:r>
        <w:rPr>
          <w:rFonts w:hint="eastAsia" w:ascii="仿宋_GB2312" w:hAnsi="黑体" w:eastAsia="仿宋_GB2312"/>
          <w:bCs/>
          <w:color w:val="000000"/>
          <w:sz w:val="32"/>
          <w:szCs w:val="32"/>
        </w:rPr>
        <w:t>所属单位开支财政拨款的公务用车保有量为</w:t>
      </w:r>
      <w:r>
        <w:rPr>
          <w:rFonts w:hint="eastAsia" w:ascii="仿宋_GB2312" w:hAnsi="黑体" w:eastAsia="仿宋_GB2312"/>
          <w:bCs/>
          <w:color w:val="000000"/>
          <w:sz w:val="32"/>
          <w:szCs w:val="32"/>
          <w:lang w:val="en-US" w:eastAsia="zh-CN"/>
        </w:rPr>
        <w:t>12</w:t>
      </w:r>
      <w:r>
        <w:rPr>
          <w:rFonts w:hint="eastAsia" w:ascii="仿宋_GB2312" w:hAnsi="黑体" w:eastAsia="仿宋_GB2312"/>
          <w:bCs/>
          <w:color w:val="000000"/>
          <w:sz w:val="32"/>
          <w:szCs w:val="32"/>
        </w:rPr>
        <w:t>辆</w:t>
      </w:r>
      <w:r>
        <w:rPr>
          <w:rFonts w:hint="eastAsia" w:ascii="仿宋_GB2312" w:hAnsi="黑体" w:eastAsia="仿宋_GB2312"/>
          <w:b w:val="0"/>
          <w:bCs/>
          <w:color w:val="000000"/>
          <w:sz w:val="32"/>
          <w:szCs w:val="32"/>
          <w:lang w:eastAsia="zh-CN"/>
        </w:rPr>
        <w:t>（直管编制归主管院）</w:t>
      </w:r>
      <w:r>
        <w:rPr>
          <w:rFonts w:hint="eastAsia" w:ascii="仿宋_GB2312" w:hAnsi="黑体" w:eastAsia="仿宋_GB2312"/>
          <w:b w:val="0"/>
          <w:bCs/>
          <w:color w:val="000000"/>
          <w:sz w:val="32"/>
          <w:szCs w:val="32"/>
        </w:rPr>
        <w:t>，</w:t>
      </w:r>
      <w:r>
        <w:rPr>
          <w:rFonts w:hint="eastAsia" w:ascii="仿宋_GB2312" w:hAnsi="黑体" w:eastAsia="仿宋_GB2312"/>
          <w:bCs/>
          <w:color w:val="000000"/>
          <w:sz w:val="32"/>
          <w:szCs w:val="32"/>
        </w:rPr>
        <w:t xml:space="preserve">全年运行费支出  </w:t>
      </w:r>
      <w:r>
        <w:rPr>
          <w:rFonts w:hint="eastAsia" w:ascii="仿宋_GB2312" w:hAnsi="黑体" w:eastAsia="仿宋_GB2312"/>
          <w:bCs/>
          <w:color w:val="000000"/>
          <w:sz w:val="32"/>
          <w:szCs w:val="32"/>
          <w:lang w:val="en-US" w:eastAsia="zh-CN"/>
        </w:rPr>
        <w:t>14.40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1.20</w:t>
      </w:r>
      <w:r>
        <w:rPr>
          <w:rFonts w:hint="eastAsia" w:ascii="仿宋_GB2312" w:hAnsi="黑体" w:eastAsia="仿宋_GB2312"/>
          <w:bCs/>
          <w:color w:val="000000"/>
          <w:sz w:val="32"/>
          <w:szCs w:val="32"/>
        </w:rPr>
        <w:t>万元。</w:t>
      </w:r>
    </w:p>
    <w:p>
      <w:pPr>
        <w:ind w:firstLine="640" w:firstLineChars="200"/>
        <w:rPr>
          <w:rFonts w:hint="eastAsia" w:ascii="黑体" w:hAnsi="仿宋" w:eastAsia="仿宋" w:cs="Times New Roman"/>
          <w:b w:val="0"/>
          <w:bCs w:val="0"/>
          <w:color w:val="000000" w:themeColor="text1"/>
          <w:sz w:val="32"/>
          <w:szCs w:val="32"/>
          <w14:textFill>
            <w14:solidFill>
              <w14:schemeClr w14:val="tx1"/>
            </w14:solidFill>
          </w14:textFill>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2.49</w:t>
      </w:r>
      <w:r>
        <w:rPr>
          <w:rFonts w:hint="eastAsia" w:ascii="仿宋_GB2312" w:eastAsia="仿宋_GB2312" w:cs="仿宋_GB2312"/>
          <w:kern w:val="0"/>
          <w:sz w:val="32"/>
          <w:szCs w:val="32"/>
        </w:rPr>
        <w:t>万元，完成年初预算</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lang w:val="en-US" w:eastAsia="zh-CN"/>
        </w:rPr>
        <w:t>56.98</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0.36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。支出增长的</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w:t>
      </w:r>
      <w:r>
        <w:rPr>
          <w:rFonts w:hint="eastAsia" w:ascii="仿宋" w:hAnsi="仿宋" w:eastAsia="仿宋" w:cs="仿宋"/>
          <w:b w:val="0"/>
          <w:bCs w:val="0"/>
          <w:color w:val="000000" w:themeColor="text1"/>
          <w:sz w:val="32"/>
          <w:szCs w:val="32"/>
          <w14:textFill>
            <w14:solidFill>
              <w14:schemeClr w14:val="tx1"/>
            </w14:solidFill>
          </w14:textFill>
        </w:rPr>
        <w:t>一是</w:t>
      </w:r>
      <w:r>
        <w:rPr>
          <w:rFonts w:hint="eastAsia" w:ascii="仿宋" w:hAnsi="仿宋" w:eastAsia="仿宋" w:cs="仿宋"/>
          <w:b w:val="0"/>
          <w:bCs w:val="0"/>
          <w:color w:val="000000" w:themeColor="text1"/>
          <w:sz w:val="32"/>
          <w:szCs w:val="32"/>
          <w:lang w:val="en-US" w:eastAsia="zh-CN"/>
          <w14:textFill>
            <w14:solidFill>
              <w14:schemeClr w14:val="tx1"/>
            </w14:solidFill>
          </w14:textFill>
        </w:rPr>
        <w:t>2021年</w:t>
      </w:r>
      <w:r>
        <w:rPr>
          <w:rFonts w:hint="eastAsia" w:ascii="仿宋" w:hAnsi="仿宋" w:eastAsia="仿宋" w:cs="仿宋"/>
          <w:b w:val="0"/>
          <w:bCs w:val="0"/>
          <w:color w:val="000000" w:themeColor="text1"/>
          <w:sz w:val="32"/>
          <w:szCs w:val="32"/>
          <w14:textFill>
            <w14:solidFill>
              <w14:schemeClr w14:val="tx1"/>
            </w14:solidFill>
          </w14:textFill>
        </w:rPr>
        <w:t>我院刑庭审理妨害信用卡管理罪案等大案涉及的犯罪嫌疑人比较多，需要抽调外援法警协助开庭的人员比较多，以及中院到我院开庭的人次也比较多，故正常工作餐费用也相应增加。二是2021年我院共受理各类刑事案件312件，审结305件，结案率97.75%，判处罪犯472人。刑庭在审理大案及复杂案件时，开庭延时及受疫情影响等原因，</w:t>
      </w:r>
      <w:r>
        <w:rPr>
          <w:rFonts w:hint="eastAsia" w:ascii="仿宋" w:hAnsi="仿宋" w:eastAsia="仿宋" w:cs="仿宋"/>
          <w:b w:val="0"/>
          <w:bCs w:val="0"/>
          <w:color w:val="000000"/>
          <w:sz w:val="32"/>
          <w:szCs w:val="32"/>
        </w:rPr>
        <w:t>我院</w:t>
      </w:r>
      <w:r>
        <w:rPr>
          <w:rFonts w:hint="eastAsia" w:ascii="仿宋" w:hAnsi="仿宋" w:eastAsia="仿宋" w:cs="仿宋"/>
          <w:b w:val="0"/>
          <w:bCs w:val="0"/>
          <w:color w:val="000000" w:themeColor="text1"/>
          <w:sz w:val="32"/>
          <w:szCs w:val="32"/>
          <w14:textFill>
            <w14:solidFill>
              <w14:schemeClr w14:val="tx1"/>
            </w14:solidFill>
          </w14:textFill>
        </w:rPr>
        <w:t>为严格做好疫情防护措施及安保工作，犯罪嫌疑人的午餐由本院解决，故这部分的误餐费用相对增长比较多。</w:t>
      </w:r>
      <w:r>
        <w:rPr>
          <w:rFonts w:hint="eastAsia" w:ascii="仿宋" w:hAnsi="仿宋" w:eastAsia="仿宋" w:cs="仿宋"/>
          <w:b w:val="0"/>
          <w:bCs w:val="0"/>
          <w:color w:val="000000" w:themeColor="text1"/>
          <w:sz w:val="32"/>
          <w:szCs w:val="32"/>
          <w:lang w:eastAsia="zh-CN"/>
          <w14:textFill>
            <w14:solidFill>
              <w14:schemeClr w14:val="tx1"/>
            </w14:solidFill>
          </w14:textFill>
        </w:rPr>
        <w:t>综上，该项同比支出有所增长</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其中：</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56</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349</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285.15</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19.20</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6.31</w:t>
      </w:r>
      <w:r>
        <w:rPr>
          <w:rFonts w:hint="eastAsia" w:ascii="仿宋_GB2312" w:eastAsia="仿宋_GB2312" w:cs="仿宋_GB2312"/>
          <w:kern w:val="0"/>
          <w:sz w:val="32"/>
          <w:szCs w:val="32"/>
        </w:rPr>
        <w:t>%。主要原因是：落实过紧日子压减</w:t>
      </w:r>
      <w:r>
        <w:rPr>
          <w:rFonts w:hint="eastAsia" w:ascii="仿宋_GB2312" w:eastAsia="仿宋_GB2312" w:cs="仿宋_GB2312"/>
          <w:kern w:val="0"/>
          <w:sz w:val="32"/>
          <w:szCs w:val="32"/>
          <w:lang w:eastAsia="zh-CN"/>
        </w:rPr>
        <w:t>经费支出。</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45.58</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13.78</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办公费、</w:t>
      </w:r>
      <w:r>
        <w:rPr>
          <w:rFonts w:hint="eastAsia" w:ascii="仿宋_GB2312" w:eastAsia="仿宋_GB2312" w:cs="仿宋_GB2312"/>
          <w:kern w:val="0"/>
          <w:sz w:val="32"/>
          <w:szCs w:val="32"/>
        </w:rPr>
        <w:t>资产运行维护支出减少、办公设施设备购置经费</w:t>
      </w:r>
      <w:r>
        <w:rPr>
          <w:rFonts w:hint="eastAsia" w:ascii="仿宋_GB2312" w:eastAsia="仿宋_GB2312" w:cs="仿宋_GB2312"/>
          <w:kern w:val="0"/>
          <w:sz w:val="32"/>
          <w:szCs w:val="32"/>
          <w:lang w:eastAsia="zh-CN"/>
        </w:rPr>
        <w:t>等</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eastAsia="zh-CN"/>
        </w:rPr>
        <w:t>。我院响应中央号召，厉行节约，</w:t>
      </w:r>
      <w:r>
        <w:rPr>
          <w:rFonts w:hint="eastAsia" w:ascii="仿宋_GB2312" w:eastAsia="仿宋_GB2312" w:cs="仿宋_GB2312"/>
          <w:kern w:val="0"/>
          <w:sz w:val="32"/>
          <w:szCs w:val="32"/>
        </w:rPr>
        <w:t>落实过紧日子要求</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压减</w:t>
      </w:r>
      <w:r>
        <w:rPr>
          <w:rFonts w:hint="eastAsia" w:ascii="仿宋_GB2312" w:eastAsia="仿宋_GB2312" w:cs="仿宋_GB2312"/>
          <w:kern w:val="0"/>
          <w:sz w:val="32"/>
          <w:szCs w:val="32"/>
          <w:lang w:eastAsia="zh-CN"/>
        </w:rPr>
        <w:t>办公费</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val="en-US" w:eastAsia="zh-CN"/>
        </w:rPr>
        <w:t>9.13万元、</w:t>
      </w:r>
      <w:r>
        <w:rPr>
          <w:rFonts w:hint="eastAsia" w:ascii="仿宋_GB2312" w:eastAsia="仿宋_GB2312" w:cs="仿宋_GB2312"/>
          <w:kern w:val="0"/>
          <w:sz w:val="32"/>
          <w:szCs w:val="32"/>
          <w:lang w:eastAsia="zh-CN"/>
        </w:rPr>
        <w:t>维修（护）费</w:t>
      </w:r>
      <w:r>
        <w:rPr>
          <w:rFonts w:hint="eastAsia" w:ascii="仿宋_GB2312" w:eastAsia="仿宋_GB2312" w:cs="仿宋_GB2312"/>
          <w:kern w:val="0"/>
          <w:sz w:val="32"/>
          <w:szCs w:val="32"/>
          <w:lang w:val="en-US" w:eastAsia="zh-CN"/>
        </w:rPr>
        <w:t>5.57万元</w:t>
      </w:r>
      <w:r>
        <w:rPr>
          <w:rFonts w:hint="eastAsia" w:ascii="仿宋_GB2312" w:eastAsia="仿宋_GB2312" w:cs="仿宋_GB2312"/>
          <w:kern w:val="0"/>
          <w:sz w:val="32"/>
          <w:szCs w:val="32"/>
          <w:lang w:eastAsia="zh-CN"/>
        </w:rPr>
        <w:t>、办公设备</w:t>
      </w:r>
      <w:r>
        <w:rPr>
          <w:rFonts w:hint="eastAsia" w:ascii="仿宋_GB2312" w:eastAsia="仿宋_GB2312" w:cs="仿宋_GB2312"/>
          <w:kern w:val="0"/>
          <w:sz w:val="32"/>
          <w:szCs w:val="32"/>
          <w:lang w:val="en-US" w:eastAsia="zh-CN"/>
        </w:rPr>
        <w:t>2.40万元等</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default" w:ascii="仿宋_GB2312" w:eastAsia="仿宋_GB2312" w:cs="仿宋_GB2312"/>
          <w:color w:val="FF0000"/>
          <w:kern w:val="0"/>
          <w:sz w:val="32"/>
          <w:szCs w:val="32"/>
          <w:lang w:val="en-US"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265.92</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146.30</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119.62</w:t>
      </w:r>
      <w:r>
        <w:rPr>
          <w:rFonts w:hint="eastAsia" w:ascii="仿宋_GB2312" w:eastAsia="仿宋_GB2312" w:cs="仿宋_GB2312"/>
          <w:kern w:val="0"/>
          <w:sz w:val="32"/>
          <w:szCs w:val="32"/>
        </w:rPr>
        <w:t>万元。</w:t>
      </w:r>
      <w:r>
        <w:rPr>
          <w:rFonts w:hint="eastAsia" w:ascii="仿宋_GB2312" w:eastAsia="仿宋_GB2312" w:cs="仿宋_GB2312"/>
          <w:color w:val="000000" w:themeColor="text1"/>
          <w:kern w:val="0"/>
          <w:sz w:val="32"/>
          <w:szCs w:val="32"/>
          <w:lang w:eastAsia="zh-CN"/>
          <w14:textFill>
            <w14:solidFill>
              <w14:schemeClr w14:val="tx1"/>
            </w14:solidFill>
          </w14:textFill>
        </w:rPr>
        <w:t>授予中小企业合同金额</w:t>
      </w:r>
      <w:r>
        <w:rPr>
          <w:rFonts w:hint="eastAsia" w:ascii="仿宋_GB2312" w:eastAsia="仿宋_GB2312" w:cs="仿宋_GB2312"/>
          <w:color w:val="000000" w:themeColor="text1"/>
          <w:kern w:val="0"/>
          <w:sz w:val="32"/>
          <w:szCs w:val="32"/>
          <w:lang w:val="en-US" w:eastAsia="zh-CN"/>
          <w14:textFill>
            <w14:solidFill>
              <w14:schemeClr w14:val="tx1"/>
            </w14:solidFill>
          </w14:textFill>
        </w:rPr>
        <w:t xml:space="preserve">  万元，占政府采购总额的83.11%,</w:t>
      </w:r>
      <w:r>
        <w:rPr>
          <w:rFonts w:hint="eastAsia" w:ascii="仿宋_GB2312" w:eastAsia="仿宋_GB2312" w:cs="仿宋_GB2312"/>
          <w:color w:val="000000" w:themeColor="text1"/>
          <w:kern w:val="0"/>
          <w:sz w:val="32"/>
          <w:szCs w:val="32"/>
          <w:lang w:eastAsia="zh-CN"/>
          <w14:textFill>
            <w14:solidFill>
              <w14:schemeClr w14:val="tx1"/>
            </w14:solidFill>
          </w14:textFill>
        </w:rPr>
        <w:t>授予中小微企业合同金额</w:t>
      </w:r>
      <w:r>
        <w:rPr>
          <w:rFonts w:hint="eastAsia" w:ascii="仿宋_GB2312" w:eastAsia="仿宋_GB2312" w:cs="仿宋_GB2312"/>
          <w:color w:val="000000" w:themeColor="text1"/>
          <w:kern w:val="0"/>
          <w:sz w:val="32"/>
          <w:szCs w:val="32"/>
          <w:lang w:val="en-US" w:eastAsia="zh-CN"/>
          <w14:textFill>
            <w14:solidFill>
              <w14:schemeClr w14:val="tx1"/>
            </w14:solidFill>
          </w14:textFill>
        </w:rPr>
        <w:t>44.91万元，占政府采购总额的16.69%。</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w:t>
      </w:r>
      <w:r>
        <w:rPr>
          <w:rFonts w:hint="eastAsia" w:asci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eastAsia="仿宋_GB2312" w:cs="仿宋_GB2312"/>
          <w:b w:val="0"/>
          <w:bCs w:val="0"/>
          <w:color w:val="000000" w:themeColor="text1"/>
          <w:kern w:val="0"/>
          <w:sz w:val="32"/>
          <w:szCs w:val="32"/>
          <w:lang w:eastAsia="zh-CN"/>
          <w14:textFill>
            <w14:solidFill>
              <w14:schemeClr w14:val="tx1"/>
            </w14:solidFill>
          </w14:textFill>
        </w:rPr>
        <w:t>我院</w:t>
      </w:r>
      <w:r>
        <w:rPr>
          <w:rFonts w:hint="eastAsia" w:ascii="仿宋_GB2312" w:hAnsi="黑体" w:eastAsia="仿宋_GB2312"/>
          <w:b w:val="0"/>
          <w:bCs w:val="0"/>
          <w:color w:val="000000"/>
          <w:sz w:val="32"/>
          <w:szCs w:val="32"/>
        </w:rPr>
        <w:t>公务用车保有量</w:t>
      </w:r>
      <w:r>
        <w:rPr>
          <w:rFonts w:hint="eastAsia" w:ascii="仿宋_GB2312" w:hAnsi="黑体" w:eastAsia="仿宋_GB2312"/>
          <w:b w:val="0"/>
          <w:bCs w:val="0"/>
          <w:color w:val="000000"/>
          <w:sz w:val="32"/>
          <w:szCs w:val="32"/>
          <w:lang w:eastAsia="zh-CN"/>
        </w:rPr>
        <w:t>（直管编制归主管院）</w:t>
      </w:r>
      <w:r>
        <w:rPr>
          <w:rFonts w:hint="eastAsia" w:ascii="仿宋_GB2312" w:hAnsi="黑体" w:eastAsia="仿宋_GB2312"/>
          <w:b w:val="0"/>
          <w:bCs w:val="0"/>
          <w:color w:val="000000"/>
          <w:sz w:val="32"/>
          <w:szCs w:val="32"/>
        </w:rPr>
        <w:t>为</w:t>
      </w:r>
      <w:r>
        <w:rPr>
          <w:rFonts w:hint="eastAsia" w:ascii="仿宋_GB2312" w:hAnsi="黑体" w:eastAsia="仿宋_GB2312"/>
          <w:b w:val="0"/>
          <w:bCs w:val="0"/>
          <w:color w:val="000000"/>
          <w:sz w:val="32"/>
          <w:szCs w:val="32"/>
          <w:lang w:val="en-US" w:eastAsia="zh-CN"/>
        </w:rPr>
        <w:t>12</w:t>
      </w:r>
      <w:r>
        <w:rPr>
          <w:rFonts w:hint="eastAsia" w:ascii="仿宋_GB2312" w:hAnsi="黑体" w:eastAsia="仿宋_GB2312"/>
          <w:b w:val="0"/>
          <w:bCs w:val="0"/>
          <w:color w:val="000000"/>
          <w:sz w:val="32"/>
          <w:szCs w:val="32"/>
        </w:rPr>
        <w:t>辆</w:t>
      </w:r>
      <w:r>
        <w:rPr>
          <w:rFonts w:hint="eastAsia" w:ascii="仿宋_GB2312" w:hAnsi="黑体" w:eastAsia="仿宋_GB2312"/>
          <w:b w:val="0"/>
          <w:bCs w:val="0"/>
          <w:color w:val="000000"/>
          <w:sz w:val="32"/>
          <w:szCs w:val="32"/>
          <w:lang w:eastAsia="zh-CN"/>
        </w:rPr>
        <w:t>。其中</w:t>
      </w:r>
      <w:r>
        <w:rPr>
          <w:rFonts w:hint="eastAsia" w:ascii="仿宋_GB2312" w:hAnsi="黑体" w:eastAsia="仿宋_GB2312"/>
          <w:b w:val="0"/>
          <w:bCs w:val="0"/>
          <w:color w:val="000000"/>
          <w:sz w:val="32"/>
          <w:szCs w:val="32"/>
          <w:lang w:val="en-US" w:eastAsia="zh-CN"/>
        </w:rPr>
        <w:t>年末</w:t>
      </w:r>
      <w:r>
        <w:rPr>
          <w:rFonts w:hint="eastAsia" w:ascii="仿宋_GB2312" w:eastAsia="仿宋_GB2312" w:cs="仿宋_GB2312"/>
          <w:b w:val="0"/>
          <w:bCs w:val="0"/>
          <w:color w:val="000000" w:themeColor="text1"/>
          <w:kern w:val="0"/>
          <w:sz w:val="32"/>
          <w:szCs w:val="32"/>
          <w:lang w:eastAsia="zh-CN"/>
          <w14:textFill>
            <w14:solidFill>
              <w14:schemeClr w14:val="tx1"/>
            </w14:solidFill>
          </w14:textFill>
        </w:rPr>
        <w:t>实</w:t>
      </w:r>
      <w:r>
        <w:rPr>
          <w:rFonts w:hint="eastAsia" w:ascii="仿宋_GB2312" w:eastAsia="仿宋_GB2312" w:cs="仿宋_GB2312"/>
          <w:b w:val="0"/>
          <w:bCs w:val="0"/>
          <w:color w:val="000000" w:themeColor="text1"/>
          <w:kern w:val="0"/>
          <w:sz w:val="32"/>
          <w:szCs w:val="32"/>
          <w14:textFill>
            <w14:solidFill>
              <w14:schemeClr w14:val="tx1"/>
            </w14:solidFill>
          </w14:textFill>
        </w:rPr>
        <w:t>有车辆</w:t>
      </w:r>
      <w:r>
        <w:rPr>
          <w:rFonts w:hint="eastAsia" w:ascii="仿宋_GB2312" w:eastAsia="仿宋_GB2312" w:cs="仿宋_GB2312"/>
          <w:b w:val="0"/>
          <w:bCs w:val="0"/>
          <w:color w:val="000000" w:themeColor="text1"/>
          <w:kern w:val="0"/>
          <w:sz w:val="32"/>
          <w:szCs w:val="32"/>
          <w:lang w:val="en-US" w:eastAsia="zh-CN"/>
          <w14:textFill>
            <w14:solidFill>
              <w14:schemeClr w14:val="tx1"/>
            </w14:solidFill>
          </w14:textFill>
        </w:rPr>
        <w:t>10</w:t>
      </w:r>
      <w:r>
        <w:rPr>
          <w:rFonts w:hint="eastAsia" w:ascii="仿宋_GB2312" w:eastAsia="仿宋_GB2312" w:cs="仿宋_GB2312"/>
          <w:b w:val="0"/>
          <w:bCs w:val="0"/>
          <w:color w:val="000000" w:themeColor="text1"/>
          <w:kern w:val="0"/>
          <w:sz w:val="32"/>
          <w:szCs w:val="32"/>
          <w14:textFill>
            <w14:solidFill>
              <w14:schemeClr w14:val="tx1"/>
            </w14:solidFill>
          </w14:textFill>
        </w:rPr>
        <w:t>辆，</w:t>
      </w:r>
      <w:r>
        <w:rPr>
          <w:rFonts w:hint="eastAsia" w:ascii="仿宋_GB2312" w:hAnsi="黑体" w:eastAsia="仿宋_GB2312"/>
          <w:b w:val="0"/>
          <w:bCs w:val="0"/>
          <w:color w:val="000000"/>
          <w:sz w:val="32"/>
          <w:szCs w:val="32"/>
          <w:lang w:eastAsia="zh-CN"/>
        </w:rPr>
        <w:t>更新报废</w:t>
      </w:r>
      <w:r>
        <w:rPr>
          <w:rFonts w:hint="eastAsia" w:ascii="仿宋_GB2312" w:hAnsi="黑体" w:eastAsia="仿宋_GB2312"/>
          <w:b w:val="0"/>
          <w:bCs w:val="0"/>
          <w:color w:val="000000"/>
          <w:sz w:val="32"/>
          <w:szCs w:val="32"/>
          <w:lang w:val="en-US" w:eastAsia="zh-CN"/>
        </w:rPr>
        <w:t>2辆</w:t>
      </w:r>
      <w:r>
        <w:rPr>
          <w:rFonts w:hint="eastAsia" w:ascii="仿宋_GB2312" w:eastAsia="仿宋_GB2312" w:cs="仿宋_GB2312"/>
          <w:kern w:val="0"/>
          <w:sz w:val="32"/>
          <w:szCs w:val="32"/>
        </w:rPr>
        <w:t>其中：公务用车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（四）预算绩效管理工作开展情况。</w:t>
      </w:r>
    </w:p>
    <w:p>
      <w:pPr>
        <w:autoSpaceDE w:val="0"/>
        <w:autoSpaceDN w:val="0"/>
        <w:adjustRightInd w:val="0"/>
        <w:spacing w:line="580" w:lineRule="exact"/>
        <w:ind w:firstLine="627" w:firstLineChars="196"/>
        <w:jc w:val="left"/>
        <w:rPr>
          <w:rFonts w:hint="eastAsia" w:ascii="仿宋_GB2312" w:hAnsi="黑体" w:eastAsia="仿宋_GB2312" w:cs="Times New Roman"/>
          <w:b w:val="0"/>
          <w:bCs w:val="0"/>
          <w:color w:val="000000"/>
          <w:sz w:val="32"/>
          <w:szCs w:val="32"/>
          <w:lang w:eastAsia="zh-CN"/>
        </w:rPr>
      </w:pPr>
      <w:r>
        <w:rPr>
          <w:rFonts w:hint="eastAsia" w:ascii="仿宋_GB2312" w:hAnsi="黑体" w:eastAsia="仿宋_GB2312" w:cs="Times New Roman"/>
          <w:b w:val="0"/>
          <w:bCs w:val="0"/>
          <w:color w:val="000000"/>
          <w:sz w:val="32"/>
          <w:szCs w:val="32"/>
          <w:lang w:eastAsia="zh-CN"/>
        </w:rPr>
        <w:t>1.绩效管理工作开展情况。</w:t>
      </w:r>
    </w:p>
    <w:p>
      <w:pPr>
        <w:autoSpaceDE w:val="0"/>
        <w:autoSpaceDN w:val="0"/>
        <w:adjustRightInd w:val="0"/>
        <w:spacing w:line="580" w:lineRule="exact"/>
        <w:ind w:firstLine="627" w:firstLineChars="196"/>
        <w:jc w:val="left"/>
        <w:rPr>
          <w:rFonts w:hint="eastAsia" w:ascii="仿宋_GB2312" w:hAnsi="黑体" w:eastAsia="仿宋_GB2312" w:cs="Times New Roman"/>
          <w:b w:val="0"/>
          <w:bCs w:val="0"/>
          <w:color w:val="000000"/>
          <w:sz w:val="32"/>
          <w:szCs w:val="32"/>
          <w:lang w:eastAsia="zh-CN"/>
        </w:rPr>
      </w:pPr>
      <w:r>
        <w:rPr>
          <w:rFonts w:hint="eastAsia" w:ascii="仿宋_GB2312" w:hAnsi="Times New Roman" w:eastAsia="仿宋_GB2312" w:cs="仿宋_GB2312"/>
          <w:kern w:val="0"/>
          <w:sz w:val="32"/>
          <w:szCs w:val="32"/>
          <w:lang w:eastAsia="zh-CN"/>
        </w:rPr>
        <w:t>根据财政预算管理要求，我单位组织对2021年度一般公共预算项目支出全面开展绩效自评。共涉及资金</w:t>
      </w:r>
      <w:r>
        <w:rPr>
          <w:rFonts w:hint="eastAsia" w:ascii="仿宋_GB2312" w:hAnsi="Times New Roman" w:eastAsia="仿宋_GB2312" w:cs="仿宋_GB2312"/>
          <w:kern w:val="0"/>
          <w:sz w:val="32"/>
          <w:szCs w:val="32"/>
          <w:lang w:val="en-US" w:eastAsia="zh-CN"/>
        </w:rPr>
        <w:t>445.5</w:t>
      </w:r>
      <w:r>
        <w:rPr>
          <w:rFonts w:hint="eastAsia" w:ascii="仿宋_GB2312" w:hAnsi="Times New Roman" w:eastAsia="仿宋_GB2312" w:cs="仿宋_GB2312"/>
          <w:kern w:val="0"/>
          <w:sz w:val="32"/>
          <w:szCs w:val="32"/>
          <w:lang w:eastAsia="zh-CN"/>
        </w:rPr>
        <w:t>万元，</w:t>
      </w:r>
      <w:r>
        <w:rPr>
          <w:rFonts w:hint="eastAsia" w:ascii="仿宋_GB2312" w:hAnsi="黑体" w:eastAsia="仿宋_GB2312" w:cs="Times New Roman"/>
          <w:b w:val="0"/>
          <w:bCs w:val="0"/>
          <w:color w:val="000000"/>
          <w:sz w:val="32"/>
          <w:szCs w:val="32"/>
          <w:lang w:eastAsia="zh-CN"/>
        </w:rPr>
        <w:t>占一般公共预算项目支出总额的</w:t>
      </w:r>
      <w:r>
        <w:rPr>
          <w:rFonts w:hint="eastAsia" w:ascii="仿宋_GB2312" w:hAnsi="黑体" w:eastAsia="仿宋_GB2312" w:cs="Times New Roman"/>
          <w:b w:val="0"/>
          <w:bCs w:val="0"/>
          <w:color w:val="000000"/>
          <w:sz w:val="32"/>
          <w:szCs w:val="32"/>
          <w:lang w:val="en-US" w:eastAsia="zh-CN"/>
        </w:rPr>
        <w:t>18.61</w:t>
      </w:r>
      <w:r>
        <w:rPr>
          <w:rFonts w:hint="eastAsia" w:ascii="仿宋_GB2312" w:hAnsi="黑体" w:eastAsia="仿宋_GB2312" w:cs="Times New Roman"/>
          <w:b w:val="0"/>
          <w:bCs w:val="0"/>
          <w:color w:val="000000"/>
          <w:sz w:val="32"/>
          <w:szCs w:val="32"/>
          <w:lang w:eastAsia="zh-CN"/>
        </w:rPr>
        <w:t>%。组织对2021年度</w:t>
      </w:r>
      <w:r>
        <w:rPr>
          <w:rFonts w:hint="eastAsia" w:ascii="仿宋_GB2312" w:hAnsi="黑体" w:eastAsia="仿宋_GB2312" w:cs="Times New Roman"/>
          <w:b w:val="0"/>
          <w:bCs w:val="0"/>
          <w:color w:val="000000"/>
          <w:sz w:val="32"/>
          <w:szCs w:val="32"/>
          <w:lang w:val="en-US" w:eastAsia="zh-CN"/>
        </w:rPr>
        <w:t>0</w:t>
      </w:r>
      <w:r>
        <w:rPr>
          <w:rFonts w:hint="eastAsia" w:ascii="仿宋_GB2312" w:hAnsi="黑体" w:eastAsia="仿宋_GB2312" w:cs="Times New Roman"/>
          <w:b w:val="0"/>
          <w:bCs w:val="0"/>
          <w:color w:val="000000"/>
          <w:sz w:val="32"/>
          <w:szCs w:val="32"/>
          <w:lang w:eastAsia="zh-CN"/>
        </w:rPr>
        <w:t xml:space="preserve">个政府性基金预算项目支出开展绩效自评，共涉及资金  </w:t>
      </w:r>
      <w:r>
        <w:rPr>
          <w:rFonts w:hint="eastAsia" w:ascii="仿宋_GB2312" w:hAnsi="黑体" w:eastAsia="仿宋_GB2312" w:cs="Times New Roman"/>
          <w:b w:val="0"/>
          <w:bCs w:val="0"/>
          <w:color w:val="000000"/>
          <w:sz w:val="32"/>
          <w:szCs w:val="32"/>
          <w:lang w:val="en-US" w:eastAsia="zh-CN"/>
        </w:rPr>
        <w:t>0</w:t>
      </w:r>
      <w:r>
        <w:rPr>
          <w:rFonts w:hint="eastAsia" w:ascii="仿宋_GB2312" w:hAnsi="黑体" w:eastAsia="仿宋_GB2312" w:cs="Times New Roman"/>
          <w:b w:val="0"/>
          <w:bCs w:val="0"/>
          <w:color w:val="000000"/>
          <w:sz w:val="32"/>
          <w:szCs w:val="32"/>
          <w:lang w:eastAsia="zh-CN"/>
        </w:rPr>
        <w:t>万元，占政府性基金预算项目支出总额的</w:t>
      </w:r>
      <w:r>
        <w:rPr>
          <w:rFonts w:hint="eastAsia" w:ascii="仿宋_GB2312" w:hAnsi="黑体" w:eastAsia="仿宋_GB2312" w:cs="Times New Roman"/>
          <w:b w:val="0"/>
          <w:bCs w:val="0"/>
          <w:color w:val="000000"/>
          <w:sz w:val="32"/>
          <w:szCs w:val="32"/>
          <w:lang w:val="en-US" w:eastAsia="zh-CN"/>
        </w:rPr>
        <w:t>0</w:t>
      </w:r>
      <w:r>
        <w:rPr>
          <w:rFonts w:hint="eastAsia" w:ascii="仿宋_GB2312" w:hAnsi="黑体" w:eastAsia="仿宋_GB2312" w:cs="Times New Roman"/>
          <w:b w:val="0"/>
          <w:bCs w:val="0"/>
          <w:color w:val="000000"/>
          <w:sz w:val="32"/>
          <w:szCs w:val="32"/>
          <w:lang w:eastAsia="zh-CN"/>
        </w:rPr>
        <w:t>%。</w:t>
      </w:r>
    </w:p>
    <w:p>
      <w:pPr>
        <w:autoSpaceDE w:val="0"/>
        <w:autoSpaceDN w:val="0"/>
        <w:adjustRightInd w:val="0"/>
        <w:spacing w:line="580" w:lineRule="exact"/>
        <w:ind w:firstLine="627" w:firstLineChars="196"/>
        <w:jc w:val="left"/>
        <w:rPr>
          <w:rFonts w:hint="eastAsia" w:ascii="仿宋_GB2312" w:hAnsi="黑体" w:eastAsia="仿宋_GB2312" w:cs="Times New Roman"/>
          <w:b w:val="0"/>
          <w:bCs w:val="0"/>
          <w:color w:val="000000"/>
          <w:sz w:val="32"/>
          <w:szCs w:val="32"/>
          <w:lang w:eastAsia="zh-CN"/>
        </w:rPr>
      </w:pPr>
      <w:r>
        <w:rPr>
          <w:rFonts w:hint="eastAsia" w:ascii="仿宋_GB2312" w:hAnsi="黑体" w:eastAsia="仿宋_GB2312" w:cs="Times New Roman"/>
          <w:b w:val="0"/>
          <w:bCs w:val="0"/>
          <w:color w:val="000000"/>
          <w:sz w:val="32"/>
          <w:szCs w:val="32"/>
          <w:lang w:eastAsia="zh-CN"/>
        </w:rPr>
        <w:t>共组织对“聘用人员费用”等</w:t>
      </w:r>
      <w:r>
        <w:rPr>
          <w:rFonts w:hint="eastAsia" w:ascii="仿宋_GB2312" w:hAnsi="黑体" w:eastAsia="仿宋_GB2312" w:cs="Times New Roman"/>
          <w:b w:val="0"/>
          <w:bCs w:val="0"/>
          <w:color w:val="000000"/>
          <w:sz w:val="32"/>
          <w:szCs w:val="32"/>
          <w:lang w:val="en-US" w:eastAsia="zh-CN"/>
        </w:rPr>
        <w:t>1</w:t>
      </w:r>
      <w:r>
        <w:rPr>
          <w:rFonts w:hint="eastAsia" w:ascii="仿宋_GB2312" w:hAnsi="黑体" w:eastAsia="仿宋_GB2312" w:cs="Times New Roman"/>
          <w:b w:val="0"/>
          <w:bCs w:val="0"/>
          <w:color w:val="000000"/>
          <w:sz w:val="32"/>
          <w:szCs w:val="32"/>
          <w:lang w:eastAsia="zh-CN"/>
        </w:rPr>
        <w:t>个项目进行了部门评价，涉及一般公共预算支出</w:t>
      </w:r>
      <w:r>
        <w:rPr>
          <w:rFonts w:hint="eastAsia" w:ascii="仿宋_GB2312" w:hAnsi="黑体" w:eastAsia="仿宋_GB2312" w:cs="Times New Roman"/>
          <w:b w:val="0"/>
          <w:bCs w:val="0"/>
          <w:color w:val="000000"/>
          <w:sz w:val="32"/>
          <w:szCs w:val="32"/>
          <w:lang w:val="en-US" w:eastAsia="zh-CN"/>
        </w:rPr>
        <w:t>445.5</w:t>
      </w:r>
      <w:r>
        <w:rPr>
          <w:rFonts w:hint="eastAsia" w:ascii="仿宋_GB2312" w:hAnsi="黑体" w:eastAsia="仿宋_GB2312" w:cs="Times New Roman"/>
          <w:b w:val="0"/>
          <w:bCs w:val="0"/>
          <w:color w:val="000000"/>
          <w:sz w:val="32"/>
          <w:szCs w:val="32"/>
          <w:lang w:eastAsia="zh-CN"/>
        </w:rPr>
        <w:t>万元，政府性基金预算支出</w:t>
      </w:r>
      <w:r>
        <w:rPr>
          <w:rFonts w:hint="eastAsia" w:ascii="仿宋_GB2312" w:hAnsi="黑体" w:eastAsia="仿宋_GB2312" w:cs="Times New Roman"/>
          <w:b w:val="0"/>
          <w:bCs w:val="0"/>
          <w:color w:val="000000"/>
          <w:sz w:val="32"/>
          <w:szCs w:val="32"/>
          <w:lang w:val="en-US" w:eastAsia="zh-CN"/>
        </w:rPr>
        <w:t>0</w:t>
      </w:r>
      <w:r>
        <w:rPr>
          <w:rFonts w:hint="eastAsia" w:ascii="仿宋_GB2312" w:hAnsi="黑体" w:eastAsia="仿宋_GB2312" w:cs="Times New Roman"/>
          <w:b w:val="0"/>
          <w:bCs w:val="0"/>
          <w:color w:val="000000"/>
          <w:sz w:val="32"/>
          <w:szCs w:val="32"/>
          <w:lang w:eastAsia="zh-CN"/>
        </w:rPr>
        <w:t>万元。从评价情况来看，进一步强化项目绩效目标管理，绩效目标全覆盖，注重绩效目标编制质量，及时开支过程性动态跟踪。</w:t>
      </w:r>
    </w:p>
    <w:p>
      <w:pPr>
        <w:autoSpaceDE w:val="0"/>
        <w:autoSpaceDN w:val="0"/>
        <w:adjustRightInd w:val="0"/>
        <w:spacing w:line="580" w:lineRule="exact"/>
        <w:ind w:firstLine="627" w:firstLineChars="196"/>
        <w:jc w:val="left"/>
        <w:rPr>
          <w:rFonts w:hint="eastAsia" w:ascii="仿宋_GB2312" w:hAnsi="黑体" w:eastAsia="仿宋_GB2312" w:cs="Times New Roman"/>
          <w:b w:val="0"/>
          <w:bCs w:val="0"/>
          <w:color w:val="000000"/>
          <w:sz w:val="32"/>
          <w:szCs w:val="32"/>
          <w:lang w:eastAsia="zh-CN"/>
        </w:rPr>
      </w:pPr>
      <w:r>
        <w:rPr>
          <w:rFonts w:hint="eastAsia" w:ascii="仿宋_GB2312" w:hAnsi="黑体" w:eastAsia="仿宋_GB2312" w:cs="Times New Roman"/>
          <w:b w:val="0"/>
          <w:bCs w:val="0"/>
          <w:color w:val="000000"/>
          <w:sz w:val="32"/>
          <w:szCs w:val="32"/>
          <w:lang w:eastAsia="zh-CN"/>
        </w:rPr>
        <w:t>组织对</w:t>
      </w:r>
      <w:r>
        <w:rPr>
          <w:rFonts w:hint="eastAsia" w:ascii="仿宋_GB2312" w:hAnsi="黑体" w:eastAsia="仿宋_GB2312" w:cs="Times New Roman"/>
          <w:b w:val="0"/>
          <w:bCs w:val="0"/>
          <w:color w:val="000000"/>
          <w:sz w:val="32"/>
          <w:szCs w:val="32"/>
          <w:lang w:val="en-US" w:eastAsia="zh-CN"/>
        </w:rPr>
        <w:t>1</w:t>
      </w:r>
      <w:r>
        <w:rPr>
          <w:rFonts w:hint="eastAsia" w:ascii="仿宋_GB2312" w:hAnsi="黑体" w:eastAsia="仿宋_GB2312" w:cs="Times New Roman"/>
          <w:b w:val="0"/>
          <w:bCs w:val="0"/>
          <w:color w:val="000000"/>
          <w:sz w:val="32"/>
          <w:szCs w:val="32"/>
          <w:lang w:eastAsia="zh-CN"/>
        </w:rPr>
        <w:t>个（单位）开展整体支出绩效评价试点，涉及一般公共预算支出</w:t>
      </w:r>
      <w:r>
        <w:rPr>
          <w:rFonts w:hint="eastAsia" w:ascii="仿宋_GB2312" w:hAnsi="黑体" w:eastAsia="仿宋_GB2312" w:cs="Times New Roman"/>
          <w:b w:val="0"/>
          <w:bCs w:val="0"/>
          <w:color w:val="000000"/>
          <w:sz w:val="32"/>
          <w:szCs w:val="32"/>
          <w:lang w:val="en-US" w:eastAsia="zh-CN"/>
        </w:rPr>
        <w:t>2393.58</w:t>
      </w:r>
      <w:r>
        <w:rPr>
          <w:rFonts w:hint="eastAsia" w:ascii="仿宋_GB2312" w:hAnsi="黑体" w:eastAsia="仿宋_GB2312" w:cs="Times New Roman"/>
          <w:b w:val="0"/>
          <w:bCs w:val="0"/>
          <w:color w:val="000000"/>
          <w:sz w:val="32"/>
          <w:szCs w:val="32"/>
          <w:lang w:eastAsia="zh-CN"/>
        </w:rPr>
        <w:t>万元，政府性基金预算支出</w:t>
      </w:r>
      <w:r>
        <w:rPr>
          <w:rFonts w:hint="eastAsia" w:ascii="仿宋_GB2312" w:hAnsi="黑体" w:eastAsia="仿宋_GB2312" w:cs="Times New Roman"/>
          <w:b w:val="0"/>
          <w:bCs w:val="0"/>
          <w:color w:val="000000"/>
          <w:sz w:val="32"/>
          <w:szCs w:val="32"/>
          <w:lang w:val="en-US" w:eastAsia="zh-CN"/>
        </w:rPr>
        <w:t>0</w:t>
      </w:r>
      <w:r>
        <w:rPr>
          <w:rFonts w:hint="eastAsia" w:ascii="仿宋_GB2312" w:hAnsi="黑体" w:eastAsia="仿宋_GB2312" w:cs="Times New Roman"/>
          <w:b w:val="0"/>
          <w:bCs w:val="0"/>
          <w:color w:val="000000"/>
          <w:sz w:val="32"/>
          <w:szCs w:val="32"/>
          <w:lang w:eastAsia="zh-CN"/>
        </w:rPr>
        <w:t xml:space="preserve">      万元。</w:t>
      </w:r>
      <w:r>
        <w:rPr>
          <w:rFonts w:hint="eastAsia" w:ascii="仿宋_GB2312" w:hAnsi="黑体" w:eastAsia="仿宋_GB2312" w:cs="Times New Roman"/>
          <w:b w:val="0"/>
          <w:bCs w:val="0"/>
          <w:color w:val="000000"/>
          <w:sz w:val="32"/>
          <w:szCs w:val="32"/>
          <w:lang w:val="en-US" w:eastAsia="zh-CN"/>
        </w:rPr>
        <w:t>我院预算资金使用，对</w:t>
      </w:r>
      <w:r>
        <w:rPr>
          <w:rFonts w:hint="eastAsia" w:ascii="仿宋_GB2312" w:hAnsi="黑体" w:eastAsia="仿宋_GB2312" w:cs="Times New Roman"/>
          <w:b w:val="0"/>
          <w:bCs w:val="0"/>
          <w:color w:val="000000"/>
          <w:sz w:val="32"/>
          <w:szCs w:val="32"/>
          <w:lang w:eastAsia="zh-CN"/>
        </w:rPr>
        <w:t>我院围绕落实中央、自治区、市委、市政府和县委、县政府、</w:t>
      </w:r>
      <w:bookmarkStart w:id="0" w:name="_GoBack"/>
      <w:r>
        <w:rPr>
          <w:rFonts w:hint="eastAsia" w:ascii="仿宋_GB2312" w:hAnsi="黑体" w:eastAsia="仿宋_GB2312" w:cs="Times New Roman"/>
          <w:b w:val="0"/>
          <w:bCs w:val="0"/>
          <w:color w:val="000000"/>
          <w:sz w:val="32"/>
          <w:szCs w:val="32"/>
          <w:lang w:eastAsia="zh-CN"/>
        </w:rPr>
        <w:t>县</w:t>
      </w:r>
      <w:r>
        <w:rPr>
          <w:rFonts w:hint="eastAsia" w:ascii="仿宋_GB2312" w:hAnsi="黑体" w:eastAsia="仿宋_GB2312" w:cs="Times New Roman"/>
          <w:b w:val="0"/>
          <w:bCs w:val="0"/>
          <w:color w:val="000000"/>
          <w:sz w:val="32"/>
          <w:szCs w:val="32"/>
          <w:lang w:val="en-US" w:eastAsia="zh-CN"/>
        </w:rPr>
        <w:t>委</w:t>
      </w:r>
      <w:r>
        <w:rPr>
          <w:rFonts w:hint="eastAsia" w:ascii="仿宋_GB2312" w:hAnsi="黑体" w:eastAsia="仿宋_GB2312" w:cs="Times New Roman"/>
          <w:b w:val="0"/>
          <w:bCs w:val="0"/>
          <w:color w:val="000000"/>
          <w:sz w:val="32"/>
          <w:szCs w:val="32"/>
          <w:lang w:eastAsia="zh-CN"/>
        </w:rPr>
        <w:t>政法委</w:t>
      </w:r>
      <w:bookmarkEnd w:id="0"/>
      <w:r>
        <w:rPr>
          <w:rFonts w:hint="eastAsia" w:ascii="仿宋_GB2312" w:hAnsi="黑体" w:eastAsia="仿宋_GB2312" w:cs="Times New Roman"/>
          <w:b w:val="0"/>
          <w:bCs w:val="0"/>
          <w:color w:val="000000"/>
          <w:sz w:val="32"/>
          <w:szCs w:val="32"/>
          <w:lang w:eastAsia="zh-CN"/>
        </w:rPr>
        <w:t>的各项政策和工作要求，落实“六稳”“六保”任务，坚持服务为民、公正司法，全面深化司法体制改革和开展智慧法院建设，加快推进法院队伍革命化、正规化、专业化、职业化建设，充分发挥审判职能作用，履行好维护柳城政治安全、确保社会大局稳定、促进社会公平正义、保障人民安居乐业的职责使命，为新时代改革开放提供有力的司法服务和保障起到了</w:t>
      </w:r>
      <w:r>
        <w:rPr>
          <w:rFonts w:hint="eastAsia" w:ascii="仿宋_GB2312" w:hAnsi="黑体" w:eastAsia="仿宋_GB2312" w:cs="Times New Roman"/>
          <w:b w:val="0"/>
          <w:bCs w:val="0"/>
          <w:color w:val="000000"/>
          <w:sz w:val="32"/>
          <w:szCs w:val="32"/>
          <w:lang w:val="en-US" w:eastAsia="zh-CN"/>
        </w:rPr>
        <w:t>应有的积极作用</w:t>
      </w:r>
      <w:r>
        <w:rPr>
          <w:rFonts w:hint="eastAsia" w:ascii="仿宋_GB2312" w:hAnsi="黑体" w:eastAsia="仿宋_GB2312" w:cs="Times New Roman"/>
          <w:b w:val="0"/>
          <w:bCs w:val="0"/>
          <w:color w:val="000000"/>
          <w:sz w:val="32"/>
          <w:szCs w:val="32"/>
          <w:lang w:eastAsia="zh-CN"/>
        </w:rPr>
        <w:t>。</w:t>
      </w:r>
      <w:r>
        <w:rPr>
          <w:rFonts w:hint="eastAsia" w:ascii="仿宋_GB2312" w:hAnsi="黑体" w:eastAsia="仿宋_GB2312" w:cs="Times New Roman"/>
          <w:b w:val="0"/>
          <w:bCs w:val="0"/>
          <w:color w:val="000000"/>
          <w:sz w:val="32"/>
          <w:szCs w:val="32"/>
          <w:lang w:val="en-US" w:eastAsia="zh-CN"/>
        </w:rPr>
        <w:t>绩效目标完成情况较好。</w:t>
      </w:r>
      <w:r>
        <w:rPr>
          <w:rFonts w:hint="eastAsia" w:ascii="仿宋_GB2312" w:hAnsi="黑体" w:eastAsia="仿宋_GB2312" w:cs="Times New Roman"/>
          <w:b w:val="0"/>
          <w:bCs w:val="0"/>
          <w:color w:val="000000"/>
          <w:sz w:val="32"/>
          <w:szCs w:val="32"/>
          <w:lang w:eastAsia="zh-CN"/>
        </w:rPr>
        <w:t>全面推进预算绩效管理工作，健全绩效评价结果反馈制度和绩效问题整改责任制，大力推进绩效评估结果有效应用。</w:t>
      </w:r>
    </w:p>
    <w:p>
      <w:pPr>
        <w:autoSpaceDE w:val="0"/>
        <w:autoSpaceDN w:val="0"/>
        <w:adjustRightInd w:val="0"/>
        <w:spacing w:line="580" w:lineRule="exact"/>
        <w:ind w:firstLine="627" w:firstLineChars="196"/>
        <w:jc w:val="left"/>
        <w:rPr>
          <w:rFonts w:hint="eastAsia" w:ascii="仿宋_GB2312" w:hAnsi="黑体" w:eastAsia="仿宋_GB2312" w:cs="Times New Roman"/>
          <w:b w:val="0"/>
          <w:bCs w:val="0"/>
          <w:color w:val="000000"/>
          <w:sz w:val="32"/>
          <w:szCs w:val="32"/>
          <w:lang w:eastAsia="zh-CN"/>
        </w:rPr>
      </w:pPr>
      <w:r>
        <w:rPr>
          <w:rFonts w:hint="eastAsia" w:ascii="仿宋_GB2312" w:hAnsi="黑体" w:eastAsia="仿宋_GB2312" w:cs="Times New Roman"/>
          <w:b w:val="0"/>
          <w:bCs w:val="0"/>
          <w:color w:val="000000"/>
          <w:sz w:val="32"/>
          <w:szCs w:val="32"/>
          <w:lang w:eastAsia="zh-CN"/>
        </w:rPr>
        <w:t>2.单位决算中项目绩效自评结果。</w:t>
      </w:r>
    </w:p>
    <w:p>
      <w:pPr>
        <w:autoSpaceDE w:val="0"/>
        <w:autoSpaceDN w:val="0"/>
        <w:adjustRightInd w:val="0"/>
        <w:spacing w:line="580" w:lineRule="exact"/>
        <w:ind w:firstLine="627" w:firstLineChars="196"/>
        <w:jc w:val="left"/>
        <w:rPr>
          <w:rFonts w:ascii="仿宋_GB2312" w:eastAsia="仿宋_GB2312" w:cs="仿宋_GB2312"/>
          <w:color w:val="0000FF"/>
          <w:kern w:val="0"/>
          <w:sz w:val="32"/>
          <w:szCs w:val="32"/>
          <w:highlight w:val="none"/>
        </w:rPr>
      </w:pPr>
      <w:r>
        <w:rPr>
          <w:rFonts w:hint="eastAsia" w:ascii="仿宋_GB2312" w:hAnsi="黑体" w:eastAsia="仿宋_GB2312" w:cs="Times New Roman"/>
          <w:b w:val="0"/>
          <w:bCs w:val="0"/>
          <w:color w:val="000000"/>
          <w:sz w:val="32"/>
          <w:szCs w:val="32"/>
          <w:lang w:eastAsia="zh-CN"/>
        </w:rPr>
        <w:t>我单位根据年初设定的绩效目标，聘用人员费用项目自评得分为</w:t>
      </w:r>
      <w:r>
        <w:rPr>
          <w:rFonts w:hint="eastAsia" w:ascii="仿宋_GB2312" w:hAnsi="黑体" w:eastAsia="仿宋_GB2312" w:cs="Times New Roman"/>
          <w:b w:val="0"/>
          <w:bCs w:val="0"/>
          <w:color w:val="000000"/>
          <w:sz w:val="32"/>
          <w:szCs w:val="32"/>
          <w:lang w:val="en-US" w:eastAsia="zh-CN"/>
        </w:rPr>
        <w:t>98</w:t>
      </w:r>
      <w:r>
        <w:rPr>
          <w:rFonts w:hint="eastAsia" w:ascii="仿宋_GB2312" w:hAnsi="黑体" w:eastAsia="仿宋_GB2312" w:cs="Times New Roman"/>
          <w:b w:val="0"/>
          <w:bCs w:val="0"/>
          <w:color w:val="000000"/>
          <w:sz w:val="32"/>
          <w:szCs w:val="32"/>
          <w:lang w:eastAsia="zh-CN"/>
        </w:rPr>
        <w:t xml:space="preserve"> 分。发现的主要问题及原因：一是多头管理，人员变动原因交接脱节，工资调整落后其他单位；二是干警的诉求及时完成率有待提高。下一步改进措施：一是及时沟通对接工作，把工作提前交接完成工作；二是让干警参与项目的监督全过程，让干警懂得此项工作的严谨性。</w:t>
      </w:r>
    </w:p>
    <w:p>
      <w:pPr>
        <w:spacing w:line="580" w:lineRule="exact"/>
        <w:ind w:firstLine="645"/>
        <w:rPr>
          <w:rFonts w:ascii="仿宋_GB2312" w:eastAsia="仿宋_GB2312"/>
          <w:b/>
          <w:sz w:val="32"/>
          <w:szCs w:val="32"/>
          <w:highlight w:val="none"/>
        </w:rPr>
      </w:pPr>
      <w:r>
        <w:rPr>
          <w:rFonts w:hint="eastAsia" w:ascii="仿宋_GB2312" w:eastAsia="仿宋_GB2312"/>
          <w:b/>
          <w:sz w:val="32"/>
          <w:szCs w:val="32"/>
          <w:highlight w:val="none"/>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s="仿宋_GB2312"/>
          <w:kern w:val="0"/>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13406BA"/>
    <w:rsid w:val="01DA37FA"/>
    <w:rsid w:val="027246FB"/>
    <w:rsid w:val="02EE095D"/>
    <w:rsid w:val="031C788C"/>
    <w:rsid w:val="032A3B57"/>
    <w:rsid w:val="036761AE"/>
    <w:rsid w:val="04417C62"/>
    <w:rsid w:val="04D82550"/>
    <w:rsid w:val="05352423"/>
    <w:rsid w:val="05AD61DF"/>
    <w:rsid w:val="08F763C0"/>
    <w:rsid w:val="094B45FA"/>
    <w:rsid w:val="09F922A5"/>
    <w:rsid w:val="0A0C33E4"/>
    <w:rsid w:val="0A9B478D"/>
    <w:rsid w:val="0B20159C"/>
    <w:rsid w:val="0B424B1D"/>
    <w:rsid w:val="0B5445BD"/>
    <w:rsid w:val="0C3D4C66"/>
    <w:rsid w:val="0C5F123D"/>
    <w:rsid w:val="0D8B7F16"/>
    <w:rsid w:val="0DA86951"/>
    <w:rsid w:val="0E074DDF"/>
    <w:rsid w:val="0EC51867"/>
    <w:rsid w:val="0F0F5ED6"/>
    <w:rsid w:val="10A11E71"/>
    <w:rsid w:val="11D24969"/>
    <w:rsid w:val="124204B5"/>
    <w:rsid w:val="14A04029"/>
    <w:rsid w:val="14F016D4"/>
    <w:rsid w:val="150D669E"/>
    <w:rsid w:val="15823E15"/>
    <w:rsid w:val="1612602D"/>
    <w:rsid w:val="166A51C0"/>
    <w:rsid w:val="169D6CD0"/>
    <w:rsid w:val="16B90A0F"/>
    <w:rsid w:val="172A2087"/>
    <w:rsid w:val="181525AF"/>
    <w:rsid w:val="182962AB"/>
    <w:rsid w:val="18495F6B"/>
    <w:rsid w:val="186C6EE4"/>
    <w:rsid w:val="18E53040"/>
    <w:rsid w:val="19D073EB"/>
    <w:rsid w:val="1A650904"/>
    <w:rsid w:val="1BCB7F97"/>
    <w:rsid w:val="1CC31F67"/>
    <w:rsid w:val="1EC7183D"/>
    <w:rsid w:val="1F3B66C2"/>
    <w:rsid w:val="1F973A02"/>
    <w:rsid w:val="1F9912D9"/>
    <w:rsid w:val="211B0F07"/>
    <w:rsid w:val="212536E6"/>
    <w:rsid w:val="219B1E3C"/>
    <w:rsid w:val="2249565E"/>
    <w:rsid w:val="228E5ADC"/>
    <w:rsid w:val="23CD0CB1"/>
    <w:rsid w:val="23E23A96"/>
    <w:rsid w:val="24D337DC"/>
    <w:rsid w:val="256C76D8"/>
    <w:rsid w:val="26460DBA"/>
    <w:rsid w:val="26953F7C"/>
    <w:rsid w:val="27D81568"/>
    <w:rsid w:val="28097A45"/>
    <w:rsid w:val="28481D41"/>
    <w:rsid w:val="29FC1094"/>
    <w:rsid w:val="2A83365B"/>
    <w:rsid w:val="2B6F74EB"/>
    <w:rsid w:val="2B946616"/>
    <w:rsid w:val="2C0D3EAC"/>
    <w:rsid w:val="2C1F0B15"/>
    <w:rsid w:val="2C4219FE"/>
    <w:rsid w:val="2D83597F"/>
    <w:rsid w:val="2E8F61ED"/>
    <w:rsid w:val="2EC16F60"/>
    <w:rsid w:val="2F865C99"/>
    <w:rsid w:val="2FC86A96"/>
    <w:rsid w:val="33015A83"/>
    <w:rsid w:val="33290678"/>
    <w:rsid w:val="335718FE"/>
    <w:rsid w:val="33FC6B0E"/>
    <w:rsid w:val="34020F86"/>
    <w:rsid w:val="341361ED"/>
    <w:rsid w:val="34801813"/>
    <w:rsid w:val="35F441AA"/>
    <w:rsid w:val="38F7018F"/>
    <w:rsid w:val="392835DD"/>
    <w:rsid w:val="39A63F06"/>
    <w:rsid w:val="3C017E2C"/>
    <w:rsid w:val="3CE0099A"/>
    <w:rsid w:val="3E6F4772"/>
    <w:rsid w:val="3E96162C"/>
    <w:rsid w:val="3EA872B2"/>
    <w:rsid w:val="3ED1439F"/>
    <w:rsid w:val="3FE76128"/>
    <w:rsid w:val="40BE78E5"/>
    <w:rsid w:val="40C025D4"/>
    <w:rsid w:val="40D85DE2"/>
    <w:rsid w:val="411B008B"/>
    <w:rsid w:val="41750827"/>
    <w:rsid w:val="420C3A14"/>
    <w:rsid w:val="42235D58"/>
    <w:rsid w:val="43B92446"/>
    <w:rsid w:val="43C36E36"/>
    <w:rsid w:val="43D84B4C"/>
    <w:rsid w:val="44500BF5"/>
    <w:rsid w:val="44560C84"/>
    <w:rsid w:val="445B602D"/>
    <w:rsid w:val="45C24C4A"/>
    <w:rsid w:val="462A5ED8"/>
    <w:rsid w:val="46821DF4"/>
    <w:rsid w:val="46AF5A05"/>
    <w:rsid w:val="47F43786"/>
    <w:rsid w:val="48172CB5"/>
    <w:rsid w:val="48374EDC"/>
    <w:rsid w:val="489104D3"/>
    <w:rsid w:val="489E647C"/>
    <w:rsid w:val="48D015DB"/>
    <w:rsid w:val="48E124A6"/>
    <w:rsid w:val="49B3793D"/>
    <w:rsid w:val="4BD77E9D"/>
    <w:rsid w:val="4C256E3D"/>
    <w:rsid w:val="4CB52F0F"/>
    <w:rsid w:val="4E141F19"/>
    <w:rsid w:val="4E2875DF"/>
    <w:rsid w:val="506A222A"/>
    <w:rsid w:val="507939CB"/>
    <w:rsid w:val="50987300"/>
    <w:rsid w:val="50A50895"/>
    <w:rsid w:val="50C04C3A"/>
    <w:rsid w:val="50C10533"/>
    <w:rsid w:val="517613B6"/>
    <w:rsid w:val="51EE0F25"/>
    <w:rsid w:val="522337A9"/>
    <w:rsid w:val="532F1F9A"/>
    <w:rsid w:val="53D95A39"/>
    <w:rsid w:val="559117FB"/>
    <w:rsid w:val="57931D57"/>
    <w:rsid w:val="57B60E53"/>
    <w:rsid w:val="58162692"/>
    <w:rsid w:val="58ED3023"/>
    <w:rsid w:val="58FE0200"/>
    <w:rsid w:val="59764D2E"/>
    <w:rsid w:val="5BD436D2"/>
    <w:rsid w:val="5C484137"/>
    <w:rsid w:val="5CCE4E79"/>
    <w:rsid w:val="5CE81F96"/>
    <w:rsid w:val="5D7A26F6"/>
    <w:rsid w:val="5DAD272C"/>
    <w:rsid w:val="5DBB25AC"/>
    <w:rsid w:val="5E995A3E"/>
    <w:rsid w:val="5F933EA7"/>
    <w:rsid w:val="5F95061E"/>
    <w:rsid w:val="5FC1266C"/>
    <w:rsid w:val="601D3172"/>
    <w:rsid w:val="603D01C7"/>
    <w:rsid w:val="60872404"/>
    <w:rsid w:val="60C9762E"/>
    <w:rsid w:val="612C22A2"/>
    <w:rsid w:val="613326CB"/>
    <w:rsid w:val="617E254E"/>
    <w:rsid w:val="61F53D75"/>
    <w:rsid w:val="62163194"/>
    <w:rsid w:val="624D024D"/>
    <w:rsid w:val="62F75E16"/>
    <w:rsid w:val="633553C8"/>
    <w:rsid w:val="650E086A"/>
    <w:rsid w:val="67994F14"/>
    <w:rsid w:val="68EB24CE"/>
    <w:rsid w:val="6AA12BC1"/>
    <w:rsid w:val="6AB52362"/>
    <w:rsid w:val="6B966C68"/>
    <w:rsid w:val="6BAA0708"/>
    <w:rsid w:val="6C1C3C9C"/>
    <w:rsid w:val="6C501937"/>
    <w:rsid w:val="6CCE621C"/>
    <w:rsid w:val="70046E9D"/>
    <w:rsid w:val="70B001DD"/>
    <w:rsid w:val="70BE6AB7"/>
    <w:rsid w:val="70EE1022"/>
    <w:rsid w:val="71670A71"/>
    <w:rsid w:val="716A3A1E"/>
    <w:rsid w:val="72231A60"/>
    <w:rsid w:val="72CB0EB4"/>
    <w:rsid w:val="732E4D5B"/>
    <w:rsid w:val="73A32B6A"/>
    <w:rsid w:val="73DC1B38"/>
    <w:rsid w:val="743631A3"/>
    <w:rsid w:val="75926C72"/>
    <w:rsid w:val="75AF6C8B"/>
    <w:rsid w:val="77474C4B"/>
    <w:rsid w:val="77DA7A55"/>
    <w:rsid w:val="79522CE1"/>
    <w:rsid w:val="7C014D47"/>
    <w:rsid w:val="7D5615E2"/>
    <w:rsid w:val="7DDF4117"/>
    <w:rsid w:val="7E3D3DE4"/>
    <w:rsid w:val="7EC5324A"/>
    <w:rsid w:val="7EDC039B"/>
    <w:rsid w:val="7EFA56B1"/>
    <w:rsid w:val="7F442B4C"/>
    <w:rsid w:val="7F795D12"/>
    <w:rsid w:val="7FB6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 w:type="paragraph" w:customStyle="1" w:styleId="14">
    <w:name w:val="正文1"/>
    <w:basedOn w:val="15"/>
    <w:qFormat/>
    <w:uiPriority w:val="99"/>
    <w:pPr>
      <w:jc w:val="both"/>
    </w:pPr>
    <w:rPr>
      <w:rFonts w:ascii="Times New Roman" w:hAnsi="Times New Roman" w:cs="Times New Roman"/>
      <w:sz w:val="21"/>
      <w:szCs w:val="21"/>
    </w:rPr>
  </w:style>
  <w:style w:type="paragraph" w:customStyle="1" w:styleId="15">
    <w:name w:val="[Normal]"/>
    <w:qFormat/>
    <w:uiPriority w:val="99"/>
    <w:rPr>
      <w:rFonts w:ascii="宋体" w:hAnsi="宋体" w:eastAsia="宋体" w:cs="宋体"/>
      <w:kern w:val="0"/>
      <w:sz w:val="24"/>
      <w:szCs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10180</Words>
  <Characters>11219</Characters>
  <Lines>60</Lines>
  <Paragraphs>17</Paragraphs>
  <TotalTime>228</TotalTime>
  <ScaleCrop>false</ScaleCrop>
  <LinksUpToDate>false</LinksUpToDate>
  <CharactersWithSpaces>11295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2022-08-01T09:12:00Z</cp:lastPrinted>
  <dcterms:modified xsi:type="dcterms:W3CDTF">2022-09-13T09:23:23Z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78C179FD569F401F8F4BE0823CBD50C2</vt:lpwstr>
  </property>
</Properties>
</file>