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eastAsia="黑体" w:cs="ArialUnicodeMS"/>
          <w:kern w:val="0"/>
          <w:sz w:val="52"/>
          <w:szCs w:val="52"/>
          <w:lang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柳北区人民法院</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sz w:val="32"/>
          <w:szCs w:val="32"/>
          <w:lang w:eastAsia="zh-CN"/>
        </w:rPr>
        <w:t>柳州市柳北区人民法院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eastAsia="zh-CN"/>
        </w:rPr>
        <w:t>柳州市柳北区人民法院2021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柳州市柳北区人民法院2021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eastAsia="仿宋_GB2312"/>
          <w:b/>
          <w:sz w:val="32"/>
          <w:szCs w:val="32"/>
          <w:lang w:eastAsia="zh-CN"/>
        </w:rPr>
        <w:t>柳州市柳北区人民法院</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hAnsi="宋体" w:eastAsia="仿宋_GB2312" w:cs="仿宋_GB2312"/>
          <w:i w:val="0"/>
          <w:caps w:val="0"/>
          <w:color w:val="000000"/>
          <w:spacing w:val="0"/>
          <w:sz w:val="31"/>
          <w:szCs w:val="31"/>
        </w:rPr>
      </w:pPr>
      <w:r>
        <w:rPr>
          <w:rFonts w:ascii="仿宋_GB2312" w:hAnsi="宋体" w:eastAsia="仿宋_GB2312" w:cs="仿宋_GB2312"/>
          <w:i w:val="0"/>
          <w:caps w:val="0"/>
          <w:color w:val="000000"/>
          <w:spacing w:val="0"/>
          <w:sz w:val="31"/>
          <w:szCs w:val="31"/>
        </w:rPr>
        <w:t>柳州市</w:t>
      </w:r>
      <w:r>
        <w:rPr>
          <w:rFonts w:hint="eastAsia" w:ascii="仿宋_GB2312" w:hAnsi="宋体" w:eastAsia="仿宋_GB2312" w:cs="仿宋_GB2312"/>
          <w:i w:val="0"/>
          <w:caps w:val="0"/>
          <w:color w:val="000000"/>
          <w:spacing w:val="0"/>
          <w:sz w:val="31"/>
          <w:szCs w:val="31"/>
        </w:rPr>
        <w:t>柳北区人民法院是国家审判机关，依照法律独立行使审判权，对柳北区人民代表大会及其常委会负责并报告工作。</w:t>
      </w:r>
    </w:p>
    <w:p>
      <w:pPr>
        <w:numPr>
          <w:ilvl w:val="0"/>
          <w:numId w:val="0"/>
        </w:numPr>
        <w:ind w:firstLine="620" w:firstLineChars="200"/>
        <w:rPr>
          <w:rFonts w:hint="eastAsia" w:ascii="仿宋_GB2312" w:hAnsi="宋体" w:eastAsia="仿宋_GB2312" w:cs="仿宋_GB2312"/>
          <w:i w:val="0"/>
          <w:caps w:val="0"/>
          <w:color w:val="000000"/>
          <w:spacing w:val="0"/>
          <w:sz w:val="31"/>
          <w:szCs w:val="31"/>
        </w:rPr>
      </w:pPr>
      <w:r>
        <w:rPr>
          <w:rFonts w:hint="eastAsia" w:ascii="仿宋_GB2312" w:hAnsi="宋体" w:eastAsia="仿宋_GB2312" w:cs="仿宋_GB2312"/>
          <w:i w:val="0"/>
          <w:caps w:val="0"/>
          <w:color w:val="000000"/>
          <w:spacing w:val="0"/>
          <w:sz w:val="31"/>
          <w:szCs w:val="31"/>
          <w:lang w:eastAsia="zh-CN"/>
        </w:rPr>
        <w:t>（一）</w:t>
      </w:r>
      <w:r>
        <w:rPr>
          <w:rFonts w:hint="eastAsia" w:ascii="仿宋_GB2312" w:hAnsi="宋体" w:eastAsia="仿宋_GB2312" w:cs="仿宋_GB2312"/>
          <w:i w:val="0"/>
          <w:caps w:val="0"/>
          <w:color w:val="000000"/>
          <w:spacing w:val="0"/>
          <w:sz w:val="31"/>
          <w:szCs w:val="31"/>
        </w:rPr>
        <w:t>部门主要职能</w:t>
      </w:r>
    </w:p>
    <w:p>
      <w:pPr>
        <w:numPr>
          <w:ilvl w:val="0"/>
          <w:numId w:val="0"/>
        </w:numPr>
        <w:ind w:firstLine="620" w:firstLineChars="200"/>
        <w:rPr>
          <w:rFonts w:hint="eastAsia" w:ascii="仿宋_GB2312" w:hAnsi="宋体" w:eastAsia="仿宋_GB2312" w:cs="仿宋_GB2312"/>
          <w:i w:val="0"/>
          <w:caps w:val="0"/>
          <w:color w:val="000000"/>
          <w:spacing w:val="0"/>
          <w:sz w:val="31"/>
          <w:szCs w:val="31"/>
        </w:rPr>
      </w:pPr>
      <w:r>
        <w:rPr>
          <w:rFonts w:hint="eastAsia" w:ascii="仿宋_GB2312" w:hAnsi="宋体" w:eastAsia="仿宋_GB2312" w:cs="仿宋_GB2312"/>
          <w:i w:val="0"/>
          <w:caps w:val="0"/>
          <w:color w:val="000000"/>
          <w:spacing w:val="0"/>
          <w:sz w:val="31"/>
          <w:szCs w:val="31"/>
        </w:rPr>
        <w:t>依法审判第一审刑事、民事、行政案件和市中级人民法院交办审判的案件；依法按照审判监督程序审理当事人提出的申请、申请再审和人民检察院提出抗诉的刑事、民事、行政案件；依法执行已发生法律效力的判决、裁定和委托执行的案件以及国家行政机关依法申请执行的案件；调查研究审判工作中适用法律、执行政策的疑难问题，提出解决问题的办法、意见和司法建议，开展司法统计工作，参与综合治理工作；依法审判柳州市四城区家事及涉未成年人案件。做好本院的思想政治、教育培训、队伍建设、人事编制和法律宣传以及其他行政综合工作；做好本院的司法行政及司法鉴定工作和有关经费、物资装备等管理工作；做好本院的纪检监察工作；承办其他应由柳州市柳北区人民法院负责的工作。</w:t>
      </w:r>
    </w:p>
    <w:p>
      <w:pPr>
        <w:numPr>
          <w:ilvl w:val="0"/>
          <w:numId w:val="0"/>
        </w:numPr>
        <w:ind w:firstLine="620" w:firstLineChars="200"/>
        <w:rPr>
          <w:rFonts w:hint="eastAsia" w:ascii="仿宋_GB2312" w:hAnsi="宋体" w:eastAsia="仿宋_GB2312" w:cs="仿宋_GB2312"/>
          <w:i w:val="0"/>
          <w:caps w:val="0"/>
          <w:color w:val="000000"/>
          <w:spacing w:val="0"/>
          <w:sz w:val="31"/>
          <w:szCs w:val="31"/>
        </w:rPr>
      </w:pPr>
      <w:r>
        <w:rPr>
          <w:rFonts w:hint="eastAsia" w:ascii="仿宋_GB2312" w:hAnsi="宋体" w:eastAsia="仿宋_GB2312" w:cs="仿宋_GB2312"/>
          <w:i w:val="0"/>
          <w:caps w:val="0"/>
          <w:color w:val="000000"/>
          <w:spacing w:val="0"/>
          <w:sz w:val="31"/>
          <w:szCs w:val="31"/>
          <w:lang w:eastAsia="zh-CN"/>
        </w:rPr>
        <w:t>（二）</w:t>
      </w:r>
      <w:r>
        <w:rPr>
          <w:rFonts w:hint="eastAsia" w:ascii="仿宋_GB2312" w:hAnsi="宋体" w:eastAsia="仿宋_GB2312" w:cs="仿宋_GB2312"/>
          <w:i w:val="0"/>
          <w:caps w:val="0"/>
          <w:color w:val="000000"/>
          <w:spacing w:val="0"/>
          <w:sz w:val="31"/>
          <w:szCs w:val="31"/>
        </w:rPr>
        <w:t>2021年本部门的主要工作任务</w:t>
      </w:r>
    </w:p>
    <w:p>
      <w:pPr>
        <w:numPr>
          <w:ilvl w:val="0"/>
          <w:numId w:val="0"/>
        </w:numPr>
        <w:ind w:firstLine="620" w:firstLineChars="200"/>
        <w:rPr>
          <w:rFonts w:hint="eastAsia" w:ascii="仿宋_GB2312" w:hAnsi="宋体" w:eastAsia="仿宋_GB2312" w:cs="仿宋_GB2312"/>
          <w:i w:val="0"/>
          <w:caps w:val="0"/>
          <w:color w:val="000000"/>
          <w:spacing w:val="0"/>
          <w:sz w:val="31"/>
          <w:szCs w:val="31"/>
        </w:rPr>
      </w:pPr>
      <w:r>
        <w:rPr>
          <w:rFonts w:hint="eastAsia" w:ascii="仿宋_GB2312" w:hAnsi="宋体" w:eastAsia="仿宋_GB2312" w:cs="仿宋_GB2312"/>
          <w:i w:val="0"/>
          <w:caps w:val="0"/>
          <w:color w:val="000000"/>
          <w:spacing w:val="0"/>
          <w:sz w:val="31"/>
          <w:szCs w:val="31"/>
        </w:rPr>
        <w:t>继续坚持以习近平新时代中国特色社会主义思想为指导，深入贯彻落实习近平法治思想和习近平总书记对广西工作系列重要指示精神，紧扣推动高质量发展主题，贯彻新发展理念，坚持服务大局、司法为民、公正司法的工作主线，狠抓审判执行、司法改革、队伍建设等各项工作，助力“实业柳北，实力强区”发展战略，为柳北区高质量发展提供更加有力的司法服务和保障。</w:t>
      </w:r>
    </w:p>
    <w:p>
      <w:pPr>
        <w:numPr>
          <w:ilvl w:val="0"/>
          <w:numId w:val="0"/>
        </w:numPr>
        <w:ind w:firstLine="620" w:firstLineChars="200"/>
        <w:rPr>
          <w:rFonts w:hint="eastAsia" w:ascii="仿宋_GB2312" w:hAnsi="宋体" w:eastAsia="仿宋_GB2312" w:cs="仿宋_GB2312"/>
          <w:i w:val="0"/>
          <w:caps w:val="0"/>
          <w:color w:val="000000"/>
          <w:spacing w:val="0"/>
          <w:sz w:val="31"/>
          <w:szCs w:val="31"/>
          <w:lang w:eastAsia="zh-CN"/>
        </w:rPr>
      </w:pPr>
      <w:r>
        <w:rPr>
          <w:rFonts w:hint="eastAsia" w:ascii="仿宋_GB2312" w:hAnsi="宋体" w:eastAsia="仿宋_GB2312" w:cs="仿宋_GB2312"/>
          <w:i w:val="0"/>
          <w:caps w:val="0"/>
          <w:color w:val="000000"/>
          <w:spacing w:val="0"/>
          <w:sz w:val="31"/>
          <w:szCs w:val="31"/>
          <w:lang w:val="en-US" w:eastAsia="zh-CN"/>
        </w:rPr>
        <w:t>1.</w:t>
      </w:r>
      <w:r>
        <w:rPr>
          <w:rFonts w:hint="eastAsia" w:ascii="仿宋_GB2312" w:hAnsi="宋体" w:eastAsia="仿宋_GB2312" w:cs="仿宋_GB2312"/>
          <w:i w:val="0"/>
          <w:caps w:val="0"/>
          <w:color w:val="000000"/>
          <w:spacing w:val="0"/>
          <w:sz w:val="31"/>
          <w:szCs w:val="31"/>
        </w:rPr>
        <w:t>始终坚持党的领导，强化使命新担当</w:t>
      </w:r>
      <w:r>
        <w:rPr>
          <w:rFonts w:hint="eastAsia" w:ascii="仿宋_GB2312" w:hAnsi="宋体" w:eastAsia="仿宋_GB2312" w:cs="仿宋_GB2312"/>
          <w:i w:val="0"/>
          <w:caps w:val="0"/>
          <w:color w:val="000000"/>
          <w:spacing w:val="0"/>
          <w:sz w:val="31"/>
          <w:szCs w:val="31"/>
          <w:lang w:eastAsia="zh-CN"/>
        </w:rPr>
        <w:t>。</w:t>
      </w:r>
    </w:p>
    <w:p>
      <w:pPr>
        <w:numPr>
          <w:ilvl w:val="0"/>
          <w:numId w:val="0"/>
        </w:numPr>
        <w:ind w:firstLine="620" w:firstLineChars="200"/>
        <w:rPr>
          <w:rFonts w:hint="eastAsia" w:ascii="仿宋_GB2312" w:hAnsi="宋体" w:eastAsia="仿宋_GB2312" w:cs="仿宋_GB2312"/>
          <w:i w:val="0"/>
          <w:caps w:val="0"/>
          <w:color w:val="000000"/>
          <w:spacing w:val="0"/>
          <w:sz w:val="31"/>
          <w:szCs w:val="31"/>
          <w:lang w:eastAsia="zh-CN"/>
        </w:rPr>
      </w:pPr>
      <w:r>
        <w:rPr>
          <w:rFonts w:hint="eastAsia" w:ascii="仿宋_GB2312" w:hAnsi="宋体" w:eastAsia="仿宋_GB2312" w:cs="仿宋_GB2312"/>
          <w:i w:val="0"/>
          <w:caps w:val="0"/>
          <w:color w:val="000000"/>
          <w:spacing w:val="0"/>
          <w:sz w:val="31"/>
          <w:szCs w:val="31"/>
          <w:lang w:val="en-US" w:eastAsia="zh-CN"/>
        </w:rPr>
        <w:t>2</w:t>
      </w:r>
      <w:r>
        <w:rPr>
          <w:rFonts w:hint="eastAsia" w:ascii="仿宋_GB2312" w:hAnsi="宋体" w:eastAsia="仿宋_GB2312" w:cs="仿宋_GB2312"/>
          <w:i w:val="0"/>
          <w:caps w:val="0"/>
          <w:color w:val="000000"/>
          <w:spacing w:val="0"/>
          <w:sz w:val="31"/>
          <w:szCs w:val="31"/>
          <w:lang w:eastAsia="zh-CN"/>
        </w:rPr>
        <w:t>.</w:t>
      </w:r>
      <w:r>
        <w:rPr>
          <w:rFonts w:hint="eastAsia" w:ascii="仿宋_GB2312" w:hAnsi="宋体" w:eastAsia="仿宋_GB2312" w:cs="仿宋_GB2312"/>
          <w:i w:val="0"/>
          <w:caps w:val="0"/>
          <w:color w:val="000000"/>
          <w:spacing w:val="0"/>
          <w:sz w:val="31"/>
          <w:szCs w:val="31"/>
        </w:rPr>
        <w:t>始终坚持聚焦主责主业，展现司法保障新作为</w:t>
      </w:r>
      <w:r>
        <w:rPr>
          <w:rFonts w:hint="eastAsia" w:ascii="仿宋_GB2312" w:hAnsi="宋体" w:eastAsia="仿宋_GB2312" w:cs="仿宋_GB2312"/>
          <w:i w:val="0"/>
          <w:caps w:val="0"/>
          <w:color w:val="000000"/>
          <w:spacing w:val="0"/>
          <w:sz w:val="31"/>
          <w:szCs w:val="31"/>
          <w:lang w:eastAsia="zh-CN"/>
        </w:rPr>
        <w:t>。</w:t>
      </w:r>
    </w:p>
    <w:p>
      <w:pPr>
        <w:numPr>
          <w:ilvl w:val="0"/>
          <w:numId w:val="0"/>
        </w:numPr>
        <w:ind w:firstLine="620" w:firstLineChars="200"/>
        <w:rPr>
          <w:rFonts w:hint="eastAsia" w:ascii="仿宋_GB2312" w:hAnsi="宋体" w:eastAsia="仿宋_GB2312" w:cs="仿宋_GB2312"/>
          <w:i w:val="0"/>
          <w:caps w:val="0"/>
          <w:color w:val="000000"/>
          <w:spacing w:val="0"/>
          <w:sz w:val="31"/>
          <w:szCs w:val="31"/>
          <w:lang w:eastAsia="zh-CN"/>
        </w:rPr>
      </w:pPr>
      <w:r>
        <w:rPr>
          <w:rFonts w:hint="eastAsia" w:ascii="仿宋_GB2312" w:hAnsi="宋体" w:eastAsia="仿宋_GB2312" w:cs="仿宋_GB2312"/>
          <w:i w:val="0"/>
          <w:caps w:val="0"/>
          <w:color w:val="000000"/>
          <w:spacing w:val="0"/>
          <w:sz w:val="31"/>
          <w:szCs w:val="31"/>
          <w:lang w:val="en-US" w:eastAsia="zh-CN"/>
        </w:rPr>
        <w:t>3</w:t>
      </w:r>
      <w:r>
        <w:rPr>
          <w:rFonts w:hint="eastAsia" w:ascii="仿宋_GB2312" w:hAnsi="宋体" w:eastAsia="仿宋_GB2312" w:cs="仿宋_GB2312"/>
          <w:i w:val="0"/>
          <w:caps w:val="0"/>
          <w:color w:val="000000"/>
          <w:spacing w:val="0"/>
          <w:sz w:val="31"/>
          <w:szCs w:val="31"/>
          <w:lang w:eastAsia="zh-CN"/>
        </w:rPr>
        <w:t>.</w:t>
      </w:r>
      <w:r>
        <w:rPr>
          <w:rFonts w:hint="eastAsia" w:ascii="仿宋_GB2312" w:hAnsi="宋体" w:eastAsia="仿宋_GB2312" w:cs="仿宋_GB2312"/>
          <w:i w:val="0"/>
          <w:caps w:val="0"/>
          <w:color w:val="000000"/>
          <w:spacing w:val="0"/>
          <w:sz w:val="31"/>
          <w:szCs w:val="31"/>
        </w:rPr>
        <w:t>始终坚持以人民为中心，满足人民群众司法新期待</w:t>
      </w:r>
      <w:r>
        <w:rPr>
          <w:rFonts w:hint="eastAsia" w:ascii="仿宋_GB2312" w:hAnsi="宋体" w:eastAsia="仿宋_GB2312" w:cs="仿宋_GB2312"/>
          <w:i w:val="0"/>
          <w:caps w:val="0"/>
          <w:color w:val="000000"/>
          <w:spacing w:val="0"/>
          <w:sz w:val="31"/>
          <w:szCs w:val="31"/>
          <w:lang w:eastAsia="zh-CN"/>
        </w:rPr>
        <w:t>。</w:t>
      </w:r>
    </w:p>
    <w:p>
      <w:pPr>
        <w:numPr>
          <w:ilvl w:val="0"/>
          <w:numId w:val="0"/>
        </w:numPr>
        <w:ind w:firstLine="620" w:firstLineChars="200"/>
        <w:rPr>
          <w:rFonts w:hint="eastAsia" w:ascii="仿宋_GB2312" w:hAnsi="宋体" w:eastAsia="仿宋_GB2312" w:cs="仿宋_GB2312"/>
          <w:i w:val="0"/>
          <w:caps w:val="0"/>
          <w:color w:val="000000"/>
          <w:spacing w:val="0"/>
          <w:sz w:val="31"/>
          <w:szCs w:val="31"/>
          <w:lang w:eastAsia="zh-CN"/>
        </w:rPr>
      </w:pPr>
      <w:r>
        <w:rPr>
          <w:rFonts w:hint="eastAsia" w:ascii="仿宋_GB2312" w:hAnsi="宋体" w:eastAsia="仿宋_GB2312" w:cs="仿宋_GB2312"/>
          <w:i w:val="0"/>
          <w:caps w:val="0"/>
          <w:color w:val="000000"/>
          <w:spacing w:val="0"/>
          <w:sz w:val="31"/>
          <w:szCs w:val="31"/>
          <w:lang w:val="en-US" w:eastAsia="zh-CN"/>
        </w:rPr>
        <w:t>4.</w:t>
      </w:r>
      <w:r>
        <w:rPr>
          <w:rFonts w:hint="eastAsia" w:ascii="仿宋_GB2312" w:hAnsi="宋体" w:eastAsia="仿宋_GB2312" w:cs="仿宋_GB2312"/>
          <w:i w:val="0"/>
          <w:caps w:val="0"/>
          <w:color w:val="000000"/>
          <w:spacing w:val="0"/>
          <w:sz w:val="31"/>
          <w:szCs w:val="31"/>
        </w:rPr>
        <w:t>始终坚持强化队伍建设，树立法院良好新形象</w:t>
      </w:r>
      <w:r>
        <w:rPr>
          <w:rFonts w:hint="eastAsia" w:ascii="仿宋_GB2312" w:hAnsi="宋体" w:eastAsia="仿宋_GB2312" w:cs="仿宋_GB2312"/>
          <w:i w:val="0"/>
          <w:caps w:val="0"/>
          <w:color w:val="000000"/>
          <w:spacing w:val="0"/>
          <w:sz w:val="31"/>
          <w:szCs w:val="31"/>
          <w:lang w:eastAsia="zh-CN"/>
        </w:rPr>
        <w:t>。</w:t>
      </w:r>
    </w:p>
    <w:p>
      <w:pPr>
        <w:numPr>
          <w:ilvl w:val="0"/>
          <w:numId w:val="0"/>
        </w:numPr>
        <w:ind w:firstLine="620" w:firstLineChars="200"/>
        <w:rPr>
          <w:rFonts w:hint="eastAsia" w:ascii="仿宋_GB2312" w:hAnsi="宋体" w:eastAsia="仿宋_GB2312" w:cs="仿宋_GB2312"/>
          <w:i w:val="0"/>
          <w:caps w:val="0"/>
          <w:color w:val="000000"/>
          <w:spacing w:val="0"/>
          <w:sz w:val="31"/>
          <w:szCs w:val="31"/>
          <w:lang w:eastAsia="zh-CN"/>
        </w:rPr>
      </w:pPr>
      <w:r>
        <w:rPr>
          <w:rFonts w:hint="eastAsia" w:ascii="仿宋_GB2312" w:hAnsi="宋体" w:eastAsia="仿宋_GB2312" w:cs="仿宋_GB2312"/>
          <w:i w:val="0"/>
          <w:caps w:val="0"/>
          <w:color w:val="000000"/>
          <w:spacing w:val="0"/>
          <w:sz w:val="31"/>
          <w:szCs w:val="31"/>
          <w:lang w:val="en-US" w:eastAsia="zh-CN"/>
        </w:rPr>
        <w:t>5</w:t>
      </w:r>
      <w:r>
        <w:rPr>
          <w:rFonts w:hint="eastAsia" w:ascii="仿宋_GB2312" w:hAnsi="宋体" w:eastAsia="仿宋_GB2312" w:cs="仿宋_GB2312"/>
          <w:i w:val="0"/>
          <w:caps w:val="0"/>
          <w:color w:val="000000"/>
          <w:spacing w:val="0"/>
          <w:sz w:val="31"/>
          <w:szCs w:val="31"/>
          <w:lang w:eastAsia="zh-CN"/>
        </w:rPr>
        <w:t>.</w:t>
      </w:r>
      <w:r>
        <w:rPr>
          <w:rFonts w:hint="eastAsia" w:ascii="仿宋_GB2312" w:hAnsi="宋体" w:eastAsia="仿宋_GB2312" w:cs="仿宋_GB2312"/>
          <w:i w:val="0"/>
          <w:caps w:val="0"/>
          <w:color w:val="000000"/>
          <w:spacing w:val="0"/>
          <w:sz w:val="31"/>
          <w:szCs w:val="31"/>
        </w:rPr>
        <w:t>始终坚持落实司法公开，实现司法公正新进展</w:t>
      </w:r>
      <w:r>
        <w:rPr>
          <w:rFonts w:hint="eastAsia" w:ascii="仿宋_GB2312" w:hAnsi="宋体" w:eastAsia="仿宋_GB2312" w:cs="仿宋_GB2312"/>
          <w:i w:val="0"/>
          <w:caps w:val="0"/>
          <w:color w:val="000000"/>
          <w:spacing w:val="0"/>
          <w:sz w:val="31"/>
          <w:szCs w:val="31"/>
          <w:lang w:eastAsia="zh-CN"/>
        </w:rPr>
        <w:t>。</w:t>
      </w:r>
    </w:p>
    <w:p>
      <w:pPr>
        <w:numPr>
          <w:ilvl w:val="0"/>
          <w:numId w:val="0"/>
        </w:numPr>
        <w:ind w:firstLine="620" w:firstLineChars="200"/>
        <w:rPr>
          <w:rFonts w:hint="eastAsia" w:ascii="仿宋_GB2312" w:hAnsi="宋体" w:eastAsia="仿宋_GB2312" w:cs="仿宋_GB2312"/>
          <w:i w:val="0"/>
          <w:caps w:val="0"/>
          <w:color w:val="000000"/>
          <w:spacing w:val="0"/>
          <w:sz w:val="31"/>
          <w:szCs w:val="31"/>
          <w:lang w:eastAsia="zh-CN"/>
        </w:rPr>
      </w:pPr>
      <w:r>
        <w:rPr>
          <w:rFonts w:hint="eastAsia" w:ascii="仿宋_GB2312" w:hAnsi="宋体" w:eastAsia="仿宋_GB2312" w:cs="仿宋_GB2312"/>
          <w:i w:val="0"/>
          <w:caps w:val="0"/>
          <w:color w:val="000000"/>
          <w:spacing w:val="0"/>
          <w:sz w:val="31"/>
          <w:szCs w:val="31"/>
          <w:lang w:val="en-US" w:eastAsia="zh-CN"/>
        </w:rPr>
        <w:t>6</w:t>
      </w:r>
      <w:r>
        <w:rPr>
          <w:rFonts w:hint="eastAsia" w:ascii="仿宋_GB2312" w:hAnsi="宋体" w:eastAsia="仿宋_GB2312" w:cs="仿宋_GB2312"/>
          <w:i w:val="0"/>
          <w:caps w:val="0"/>
          <w:color w:val="000000"/>
          <w:spacing w:val="0"/>
          <w:sz w:val="31"/>
          <w:szCs w:val="31"/>
          <w:lang w:eastAsia="zh-CN"/>
        </w:rPr>
        <w:t>.</w:t>
      </w:r>
      <w:r>
        <w:rPr>
          <w:rFonts w:hint="eastAsia" w:ascii="仿宋_GB2312" w:hAnsi="宋体" w:eastAsia="仿宋_GB2312" w:cs="仿宋_GB2312"/>
          <w:i w:val="0"/>
          <w:caps w:val="0"/>
          <w:color w:val="000000"/>
          <w:spacing w:val="0"/>
          <w:sz w:val="31"/>
          <w:szCs w:val="31"/>
        </w:rPr>
        <w:t>始终坚持主动接受监督，适应社会发展新要求</w:t>
      </w:r>
      <w:r>
        <w:rPr>
          <w:rFonts w:hint="eastAsia" w:ascii="仿宋_GB2312" w:hAnsi="宋体" w:eastAsia="仿宋_GB2312" w:cs="仿宋_GB2312"/>
          <w:i w:val="0"/>
          <w:caps w:val="0"/>
          <w:color w:val="000000"/>
          <w:spacing w:val="0"/>
          <w:sz w:val="31"/>
          <w:szCs w:val="31"/>
          <w:lang w:eastAsia="zh-CN"/>
        </w:rPr>
        <w:t>。</w:t>
      </w:r>
    </w:p>
    <w:p>
      <w:pPr>
        <w:ind w:firstLine="645"/>
        <w:rPr>
          <w:rFonts w:hint="eastAsia" w:ascii="宋体" w:hAnsi="宋体" w:eastAsia="宋体" w:cs="宋体"/>
          <w:i w:val="0"/>
          <w:caps w:val="0"/>
          <w:color w:val="000000"/>
          <w:spacing w:val="0"/>
          <w:sz w:val="31"/>
          <w:szCs w:val="31"/>
          <w:shd w:val="clear" w:fill="FFFFFF"/>
          <w:lang w:eastAsia="zh-CN"/>
        </w:rPr>
      </w:pP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pPr>
      <w:r>
        <w:rPr>
          <w:rFonts w:ascii="仿宋_GB2312" w:hAnsi="宋体" w:eastAsia="仿宋_GB2312" w:cs="仿宋_GB2312"/>
          <w:i w:val="0"/>
          <w:caps w:val="0"/>
          <w:color w:val="000000"/>
          <w:spacing w:val="0"/>
          <w:sz w:val="31"/>
          <w:szCs w:val="31"/>
          <w:shd w:val="clear" w:fill="FFFFFF"/>
        </w:rPr>
        <w:t>我院为广西法院检察院财物统一管理改革试点单位，从</w:t>
      </w:r>
      <w:r>
        <w:rPr>
          <w:rFonts w:hint="eastAsia" w:ascii="仿宋_GB2312" w:hAnsi="宋体" w:eastAsia="仿宋_GB2312" w:cs="仿宋_GB2312"/>
          <w:i w:val="0"/>
          <w:caps w:val="0"/>
          <w:color w:val="000000"/>
          <w:spacing w:val="0"/>
          <w:sz w:val="31"/>
          <w:szCs w:val="31"/>
          <w:shd w:val="clear" w:fill="FFFFFF"/>
        </w:rPr>
        <w:t>2020年起我院作为市中级</w:t>
      </w:r>
      <w:r>
        <w:rPr>
          <w:rFonts w:hint="eastAsia" w:ascii="仿宋_GB2312" w:hAnsi="宋体" w:eastAsia="仿宋_GB2312" w:cs="仿宋_GB2312"/>
          <w:i w:val="0"/>
          <w:caps w:val="0"/>
          <w:color w:val="000000"/>
          <w:spacing w:val="0"/>
          <w:sz w:val="31"/>
          <w:szCs w:val="31"/>
          <w:shd w:val="clear" w:fill="FFFFFF"/>
          <w:lang w:val="en-US" w:eastAsia="zh-CN"/>
        </w:rPr>
        <w:t>人民</w:t>
      </w:r>
      <w:r>
        <w:rPr>
          <w:rFonts w:hint="eastAsia" w:ascii="仿宋_GB2312" w:hAnsi="宋体" w:eastAsia="仿宋_GB2312" w:cs="仿宋_GB2312"/>
          <w:i w:val="0"/>
          <w:caps w:val="0"/>
          <w:color w:val="000000"/>
          <w:spacing w:val="0"/>
          <w:sz w:val="31"/>
          <w:szCs w:val="31"/>
          <w:shd w:val="clear" w:fill="FFFFFF"/>
        </w:rPr>
        <w:t>法院二级预算单位进行管理</w:t>
      </w:r>
      <w:r>
        <w:rPr>
          <w:rFonts w:hint="eastAsia" w:ascii="仿宋_GB2312" w:hAnsi="宋体" w:eastAsia="仿宋_GB2312" w:cs="仿宋_GB2312"/>
          <w:i w:val="0"/>
          <w:caps w:val="0"/>
          <w:color w:val="000000"/>
          <w:spacing w:val="0"/>
          <w:sz w:val="31"/>
          <w:szCs w:val="31"/>
          <w:shd w:val="clear" w:fill="FFFFFF"/>
          <w:lang w:eastAsia="zh-CN"/>
        </w:rPr>
        <w:t>。</w:t>
      </w:r>
      <w:r>
        <w:rPr>
          <w:rFonts w:hint="eastAsia" w:ascii="仿宋_GB2312" w:hAnsi="宋体" w:eastAsia="仿宋_GB2312" w:cs="仿宋_GB2312"/>
          <w:i w:val="0"/>
          <w:caps w:val="0"/>
          <w:color w:val="000000"/>
          <w:spacing w:val="0"/>
          <w:sz w:val="31"/>
          <w:szCs w:val="31"/>
          <w:shd w:val="clear" w:fill="FFFFFF"/>
        </w:rPr>
        <w:t>本部门202</w:t>
      </w:r>
      <w:r>
        <w:rPr>
          <w:rFonts w:hint="eastAsia" w:ascii="仿宋_GB2312" w:hAnsi="宋体" w:eastAsia="仿宋_GB2312" w:cs="仿宋_GB2312"/>
          <w:i w:val="0"/>
          <w:caps w:val="0"/>
          <w:color w:val="000000"/>
          <w:spacing w:val="0"/>
          <w:sz w:val="31"/>
          <w:szCs w:val="31"/>
          <w:shd w:val="clear" w:fill="FFFFFF"/>
          <w:lang w:val="en-US" w:eastAsia="zh-CN"/>
        </w:rPr>
        <w:t>1</w:t>
      </w:r>
      <w:r>
        <w:rPr>
          <w:rFonts w:hint="eastAsia" w:ascii="仿宋_GB2312" w:hAnsi="宋体" w:eastAsia="仿宋_GB2312" w:cs="仿宋_GB2312"/>
          <w:i w:val="0"/>
          <w:caps w:val="0"/>
          <w:color w:val="000000"/>
          <w:spacing w:val="0"/>
          <w:sz w:val="31"/>
          <w:szCs w:val="31"/>
          <w:shd w:val="clear" w:fill="FFFFFF"/>
        </w:rPr>
        <w:t>年年末实有人数</w:t>
      </w:r>
      <w:r>
        <w:rPr>
          <w:rFonts w:hint="eastAsia" w:ascii="仿宋_GB2312" w:hAnsi="宋体" w:eastAsia="仿宋_GB2312" w:cs="仿宋_GB2312"/>
          <w:i w:val="0"/>
          <w:caps w:val="0"/>
          <w:color w:val="000000"/>
          <w:spacing w:val="0"/>
          <w:sz w:val="31"/>
          <w:szCs w:val="31"/>
          <w:shd w:val="clear" w:fill="FFFFFF"/>
          <w:lang w:val="en-US" w:eastAsia="zh-CN"/>
        </w:rPr>
        <w:t>117</w:t>
      </w:r>
      <w:r>
        <w:rPr>
          <w:rFonts w:hint="eastAsia" w:ascii="仿宋_GB2312" w:hAnsi="宋体" w:eastAsia="仿宋_GB2312" w:cs="仿宋_GB2312"/>
          <w:i w:val="0"/>
          <w:caps w:val="0"/>
          <w:color w:val="000000"/>
          <w:spacing w:val="0"/>
          <w:sz w:val="31"/>
          <w:szCs w:val="31"/>
          <w:shd w:val="clear" w:fill="FFFFFF"/>
        </w:rPr>
        <w:t>人，其中在职人员1</w:t>
      </w:r>
      <w:r>
        <w:rPr>
          <w:rFonts w:hint="eastAsia" w:ascii="仿宋_GB2312" w:hAnsi="宋体" w:eastAsia="仿宋_GB2312" w:cs="仿宋_GB2312"/>
          <w:i w:val="0"/>
          <w:caps w:val="0"/>
          <w:color w:val="000000"/>
          <w:spacing w:val="0"/>
          <w:sz w:val="31"/>
          <w:szCs w:val="31"/>
          <w:shd w:val="clear" w:fill="FFFFFF"/>
          <w:lang w:val="en-US" w:eastAsia="zh-CN"/>
        </w:rPr>
        <w:t>17</w:t>
      </w:r>
      <w:r>
        <w:rPr>
          <w:rFonts w:hint="eastAsia" w:ascii="仿宋_GB2312" w:hAnsi="宋体" w:eastAsia="仿宋_GB2312" w:cs="仿宋_GB2312"/>
          <w:i w:val="0"/>
          <w:caps w:val="0"/>
          <w:color w:val="000000"/>
          <w:spacing w:val="0"/>
          <w:sz w:val="31"/>
          <w:szCs w:val="31"/>
          <w:shd w:val="clear" w:fill="FFFFFF"/>
        </w:rPr>
        <w:t>人。法院内设10个部门，分别为：立案庭（诉讼服务中心）、刑事审判庭、民事审判一庭、民事审判二庭、家事和少年审判庭、综合审判庭、执行局、政治部、综合办公室、司法警察大队；派出法庭1个即沙塘人民法庭。</w:t>
      </w:r>
    </w:p>
    <w:p>
      <w:pPr>
        <w:jc w:val="center"/>
      </w:pPr>
    </w:p>
    <w:p>
      <w:pPr>
        <w:jc w:val="center"/>
      </w:pPr>
    </w:p>
    <w:p>
      <w:pPr>
        <w:rPr>
          <w:rFonts w:ascii="仿宋_GB2312" w:eastAsia="仿宋_GB2312"/>
          <w:b/>
          <w:sz w:val="32"/>
          <w:szCs w:val="32"/>
        </w:rPr>
      </w:pPr>
      <w:r>
        <w:rPr>
          <w:rFonts w:hint="eastAsia" w:ascii="仿宋_GB2312" w:eastAsia="仿宋_GB2312"/>
          <w:b/>
          <w:sz w:val="32"/>
          <w:szCs w:val="32"/>
        </w:rPr>
        <w:t>第二部分：</w:t>
      </w:r>
      <w:r>
        <w:rPr>
          <w:rStyle w:val="6"/>
          <w:rFonts w:ascii="仿宋_GB2312" w:hAnsi="宋体" w:eastAsia="仿宋_GB2312" w:cs="仿宋_GB2312"/>
          <w:b/>
          <w:i w:val="0"/>
          <w:caps w:val="0"/>
          <w:color w:val="000000"/>
          <w:spacing w:val="0"/>
          <w:sz w:val="31"/>
          <w:szCs w:val="31"/>
          <w:shd w:val="clear" w:fill="FFFFFF"/>
        </w:rPr>
        <w:t>柳州市柳北区</w:t>
      </w:r>
      <w:r>
        <w:rPr>
          <w:rStyle w:val="6"/>
          <w:rFonts w:hint="eastAsia" w:ascii="仿宋_GB2312" w:hAnsi="宋体" w:eastAsia="仿宋_GB2312" w:cs="仿宋_GB2312"/>
          <w:b/>
          <w:i w:val="0"/>
          <w:caps w:val="0"/>
          <w:color w:val="000000"/>
          <w:spacing w:val="0"/>
          <w:sz w:val="31"/>
          <w:szCs w:val="31"/>
          <w:shd w:val="clear" w:fill="FFFFFF"/>
        </w:rPr>
        <w:t>人民法院</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表一：收入支出决算总表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表二：收入决算表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表三：支出决算表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表四：财政拨款收入支出决算总表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表五：一般公共预算财政拨款支出决算表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表六：一般公共预算财政拨款基本支出决算表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表七：一般公共预算财政拨款“三公”经费支出决算表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rPr>
        <w:t>表八：政府性基金预算财政拨款收入支出决算表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left"/>
      </w:pPr>
      <w:r>
        <w:rPr>
          <w:rFonts w:hint="eastAsia" w:ascii="仿宋_GB2312" w:hAnsi="宋体" w:eastAsia="仿宋_GB2312" w:cs="仿宋_GB2312"/>
          <w:i w:val="0"/>
          <w:caps w:val="0"/>
          <w:color w:val="000000"/>
          <w:spacing w:val="0"/>
          <w:sz w:val="31"/>
          <w:szCs w:val="31"/>
          <w:shd w:val="clear" w:fill="FFFFFF"/>
        </w:rPr>
        <w:t>表九：国有资本经营预算财政拨款支出决算表</w:t>
      </w:r>
      <w:r>
        <w:rPr>
          <w:rFonts w:hint="eastAsia"/>
          <w:sz w:val="22"/>
          <w:szCs w:val="22"/>
        </w:rPr>
        <w:t xml:space="preserve">                    </w:t>
      </w:r>
    </w:p>
    <w:p/>
    <w:p>
      <w:pPr>
        <w:ind w:firstLine="640"/>
        <w:rPr>
          <w:rFonts w:hint="eastAsia" w:ascii="仿宋_GB2312" w:hAnsi="宋体" w:eastAsia="仿宋_GB2312" w:cs="仿宋_GB2312"/>
          <w:i w:val="0"/>
          <w:caps w:val="0"/>
          <w:color w:val="000000"/>
          <w:spacing w:val="0"/>
          <w:kern w:val="0"/>
          <w:sz w:val="31"/>
          <w:szCs w:val="31"/>
          <w:shd w:val="clear" w:fill="FFFFFF"/>
          <w:lang w:val="en-US" w:eastAsia="zh-CN" w:bidi="ar"/>
        </w:rPr>
      </w:pPr>
      <w:r>
        <w:rPr>
          <w:rFonts w:hint="eastAsia" w:ascii="仿宋_GB2312" w:hAnsi="宋体" w:eastAsia="仿宋_GB2312" w:cs="仿宋_GB2312"/>
          <w:i w:val="0"/>
          <w:caps w:val="0"/>
          <w:color w:val="000000"/>
          <w:spacing w:val="0"/>
          <w:kern w:val="0"/>
          <w:sz w:val="31"/>
          <w:szCs w:val="31"/>
          <w:shd w:val="clear" w:fill="FFFFFF"/>
          <w:lang w:val="en-US" w:eastAsia="zh-CN" w:bidi="ar"/>
        </w:rPr>
        <w:t>(此部分另附表格，详见附件3：柳州市柳北区人民法院2021年度部门决算公开表)</w:t>
      </w:r>
    </w:p>
    <w:p>
      <w:pPr>
        <w:rPr>
          <w:rFonts w:hint="eastAsia" w:ascii="仿宋_GB2312" w:hAnsi="宋体" w:eastAsia="仿宋_GB2312" w:cs="仿宋_GB2312"/>
          <w:i w:val="0"/>
          <w:caps w:val="0"/>
          <w:color w:val="000000"/>
          <w:spacing w:val="0"/>
          <w:kern w:val="0"/>
          <w:sz w:val="31"/>
          <w:szCs w:val="31"/>
          <w:shd w:val="clear" w:fill="FFFFFF"/>
          <w:lang w:val="en-US" w:eastAsia="zh-CN" w:bidi="ar"/>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jc w:val="both"/>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Style w:val="6"/>
          <w:rFonts w:ascii="仿宋_GB2312" w:hAnsi="宋体" w:eastAsia="仿宋_GB2312" w:cs="仿宋_GB2312"/>
          <w:b/>
          <w:i w:val="0"/>
          <w:caps w:val="0"/>
          <w:color w:val="000000"/>
          <w:spacing w:val="0"/>
          <w:sz w:val="31"/>
          <w:szCs w:val="31"/>
          <w:shd w:val="clear" w:fill="FFFFFF"/>
        </w:rPr>
        <w:t>柳州市柳北区</w:t>
      </w:r>
      <w:r>
        <w:rPr>
          <w:rStyle w:val="6"/>
          <w:rFonts w:hint="eastAsia" w:ascii="仿宋_GB2312" w:hAnsi="宋体" w:eastAsia="仿宋_GB2312" w:cs="仿宋_GB2312"/>
          <w:b/>
          <w:i w:val="0"/>
          <w:caps w:val="0"/>
          <w:color w:val="000000"/>
          <w:spacing w:val="0"/>
          <w:sz w:val="31"/>
          <w:szCs w:val="31"/>
          <w:shd w:val="clear" w:fill="FFFFFF"/>
        </w:rPr>
        <w:t>人民法院</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rPr>
        <w:t>5336.53</w:t>
      </w:r>
      <w:r>
        <w:rPr>
          <w:rFonts w:hint="eastAsia" w:ascii="仿宋_GB2312" w:eastAsia="仿宋_GB2312" w:cs="仿宋_GB2312"/>
          <w:kern w:val="0"/>
          <w:sz w:val="32"/>
          <w:szCs w:val="32"/>
        </w:rPr>
        <w:t xml:space="preserve">万元，其中本年收入5192.54万元,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59.44</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1.13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rPr>
        <w:t>3889.41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417.48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12.02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：财政部门加大对法院资金支持力度。</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w:t>
      </w:r>
      <w:r>
        <w:rPr>
          <w:rFonts w:ascii="仿宋_GB2312" w:hAnsi="宋体" w:eastAsia="仿宋_GB2312" w:cs="仿宋_GB2312"/>
          <w:i w:val="0"/>
          <w:caps w:val="0"/>
          <w:color w:val="000000"/>
          <w:spacing w:val="0"/>
          <w:sz w:val="31"/>
          <w:szCs w:val="31"/>
          <w:shd w:val="clear" w:fill="FFFFFF"/>
        </w:rPr>
        <w:t>柳州市</w:t>
      </w:r>
      <w:r>
        <w:rPr>
          <w:rFonts w:hint="eastAsia" w:ascii="仿宋_GB2312" w:hAnsi="宋体" w:eastAsia="仿宋_GB2312" w:cs="仿宋_GB2312"/>
          <w:i w:val="0"/>
          <w:caps w:val="0"/>
          <w:color w:val="000000"/>
          <w:spacing w:val="0"/>
          <w:sz w:val="31"/>
          <w:szCs w:val="31"/>
          <w:shd w:val="clear" w:fill="FFFFFF"/>
          <w:lang w:eastAsia="zh-CN"/>
        </w:rPr>
        <w:t>柳北</w:t>
      </w:r>
      <w:r>
        <w:rPr>
          <w:rFonts w:ascii="仿宋_GB2312" w:hAnsi="宋体" w:eastAsia="仿宋_GB2312" w:cs="仿宋_GB2312"/>
          <w:i w:val="0"/>
          <w:caps w:val="0"/>
          <w:color w:val="000000"/>
          <w:spacing w:val="0"/>
          <w:sz w:val="31"/>
          <w:szCs w:val="31"/>
          <w:shd w:val="clear" w:fill="FFFFFF"/>
        </w:rPr>
        <w:t>区人民法院没有政府性基金预算财政拨款收入，也没有政府性基金预算财政拨款安排的支出，</w:t>
      </w:r>
      <w:r>
        <w:rPr>
          <w:rFonts w:hint="eastAsia" w:ascii="仿宋_GB2312" w:hAnsi="宋体" w:eastAsia="仿宋_GB2312" w:cs="仿宋_GB2312"/>
          <w:i w:val="0"/>
          <w:caps w:val="0"/>
          <w:color w:val="000000"/>
          <w:spacing w:val="0"/>
          <w:sz w:val="31"/>
          <w:szCs w:val="31"/>
          <w:shd w:val="clear" w:fill="FFFFFF"/>
          <w:lang w:eastAsia="zh-CN"/>
        </w:rPr>
        <w:t>故</w:t>
      </w:r>
      <w:r>
        <w:rPr>
          <w:rFonts w:ascii="仿宋_GB2312" w:hAnsi="宋体" w:eastAsia="仿宋_GB2312" w:cs="仿宋_GB2312"/>
          <w:i w:val="0"/>
          <w:caps w:val="0"/>
          <w:color w:val="000000"/>
          <w:spacing w:val="0"/>
          <w:sz w:val="31"/>
          <w:szCs w:val="31"/>
          <w:shd w:val="clear" w:fill="FFFFFF"/>
        </w:rPr>
        <w:t>无数据。</w:t>
      </w:r>
    </w:p>
    <w:p>
      <w:pPr>
        <w:ind w:firstLine="640" w:firstLineChars="200"/>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w:t>
      </w:r>
      <w:r>
        <w:rPr>
          <w:rFonts w:ascii="仿宋_GB2312" w:hAnsi="宋体" w:eastAsia="仿宋_GB2312" w:cs="仿宋_GB2312"/>
          <w:i w:val="0"/>
          <w:caps w:val="0"/>
          <w:color w:val="000000"/>
          <w:spacing w:val="0"/>
          <w:sz w:val="31"/>
          <w:szCs w:val="31"/>
          <w:shd w:val="clear" w:fill="FFFFFF"/>
        </w:rPr>
        <w:t>柳州市</w:t>
      </w:r>
      <w:r>
        <w:rPr>
          <w:rFonts w:hint="eastAsia" w:ascii="仿宋_GB2312" w:hAnsi="宋体" w:eastAsia="仿宋_GB2312" w:cs="仿宋_GB2312"/>
          <w:i w:val="0"/>
          <w:caps w:val="0"/>
          <w:color w:val="000000"/>
          <w:spacing w:val="0"/>
          <w:sz w:val="31"/>
          <w:szCs w:val="31"/>
          <w:shd w:val="clear" w:fill="FFFFFF"/>
          <w:lang w:eastAsia="zh-CN"/>
        </w:rPr>
        <w:t>柳北</w:t>
      </w:r>
      <w:r>
        <w:rPr>
          <w:rFonts w:ascii="仿宋_GB2312" w:hAnsi="宋体" w:eastAsia="仿宋_GB2312" w:cs="仿宋_GB2312"/>
          <w:i w:val="0"/>
          <w:caps w:val="0"/>
          <w:color w:val="000000"/>
          <w:spacing w:val="0"/>
          <w:sz w:val="31"/>
          <w:szCs w:val="31"/>
          <w:shd w:val="clear" w:fill="FFFFFF"/>
        </w:rPr>
        <w:t>区</w:t>
      </w:r>
      <w:r>
        <w:rPr>
          <w:rFonts w:hint="eastAsia" w:ascii="仿宋_GB2312" w:hAnsi="宋体" w:eastAsia="仿宋_GB2312" w:cs="仿宋_GB2312"/>
          <w:i w:val="0"/>
          <w:caps w:val="0"/>
          <w:color w:val="000000"/>
          <w:spacing w:val="0"/>
          <w:sz w:val="31"/>
          <w:szCs w:val="31"/>
          <w:shd w:val="clear" w:fill="FFFFFF"/>
          <w:lang w:eastAsia="zh-CN"/>
        </w:rPr>
        <w:t>人民</w:t>
      </w:r>
      <w:r>
        <w:rPr>
          <w:rFonts w:ascii="仿宋_GB2312" w:hAnsi="宋体" w:eastAsia="仿宋_GB2312" w:cs="仿宋_GB2312"/>
          <w:i w:val="0"/>
          <w:caps w:val="0"/>
          <w:color w:val="000000"/>
          <w:spacing w:val="0"/>
          <w:sz w:val="31"/>
          <w:szCs w:val="31"/>
          <w:shd w:val="clear" w:fill="FFFFFF"/>
        </w:rPr>
        <w:t>法院没有国有资本经营预算财政拨款收入，也没有国有资本经营预算财政拨款安排的支出，故无数据。</w:t>
      </w:r>
    </w:p>
    <w:p>
      <w:pPr>
        <w:ind w:firstLine="640" w:firstLineChars="200"/>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w:t>
      </w:r>
      <w:r>
        <w:rPr>
          <w:rFonts w:hint="eastAsia" w:ascii="仿宋_GB2312" w:eastAsia="仿宋_GB2312" w:cs="仿宋_GB2312"/>
          <w:kern w:val="0"/>
          <w:sz w:val="32"/>
          <w:szCs w:val="32"/>
        </w:rPr>
        <w:t>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2021年度无此项收入。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w:t>
      </w:r>
      <w:r>
        <w:rPr>
          <w:rFonts w:hint="eastAsia" w:ascii="仿宋_GB2312" w:eastAsia="仿宋_GB2312" w:cs="仿宋_GB2312"/>
          <w:kern w:val="0"/>
          <w:sz w:val="32"/>
          <w:szCs w:val="32"/>
        </w:rPr>
        <w:t>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2021年度无此项收入。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rPr>
        <w:t>1303.13</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476.92</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26.79</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：新建审判综合楼项目工程进度款，去年主体工程项目完工，工程量较上年少所以拨款数减少</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w:t>
      </w:r>
      <w:r>
        <w:rPr>
          <w:rFonts w:hint="eastAsia" w:ascii="仿宋_GB2312" w:eastAsia="仿宋_GB2312" w:cs="仿宋_GB2312"/>
          <w:kern w:val="0"/>
          <w:sz w:val="32"/>
          <w:szCs w:val="32"/>
        </w:rPr>
        <w:t>要原因是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2021年度无此项收入。</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208.29</w:t>
      </w:r>
      <w:r>
        <w:rPr>
          <w:rFonts w:hint="eastAsia" w:ascii="仿宋_GB2312" w:eastAsia="仿宋_GB2312" w:cs="仿宋_GB2312"/>
          <w:kern w:val="0"/>
          <w:sz w:val="32"/>
          <w:szCs w:val="32"/>
        </w:rPr>
        <w:t>万元，为以前年度支出预算因客观条件变化未执行完毕、结转到本年度按有关规定继续使用的资金。较</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年度决算数增加</w:t>
      </w:r>
      <w:r>
        <w:rPr>
          <w:rFonts w:hint="eastAsia" w:ascii="仿宋_GB2312" w:eastAsia="仿宋_GB2312" w:cs="仿宋_GB2312"/>
          <w:kern w:val="0"/>
          <w:sz w:val="32"/>
          <w:szCs w:val="32"/>
          <w:lang w:val="en-US" w:eastAsia="zh-CN"/>
        </w:rPr>
        <w:t>64.29</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44.65</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财政国库指标限额影响，</w:t>
      </w:r>
      <w:r>
        <w:rPr>
          <w:rFonts w:hint="eastAsia" w:ascii="仿宋_GB2312" w:eastAsia="仿宋_GB2312" w:cs="仿宋_GB2312"/>
          <w:kern w:val="0"/>
          <w:sz w:val="32"/>
          <w:szCs w:val="32"/>
          <w:lang w:eastAsia="zh-CN"/>
        </w:rPr>
        <w:t>本</w:t>
      </w:r>
      <w:r>
        <w:rPr>
          <w:rFonts w:hint="eastAsia" w:ascii="仿宋_GB2312" w:eastAsia="仿宋_GB2312" w:cs="仿宋_GB2312"/>
          <w:kern w:val="0"/>
          <w:sz w:val="32"/>
          <w:szCs w:val="32"/>
        </w:rPr>
        <w:t>院部分经费未能支付。</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年度总支出5336.53万元，其中本年支出5128.24万元, 较</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年度决算数减少</w:t>
      </w:r>
      <w:r>
        <w:rPr>
          <w:rFonts w:hint="eastAsia" w:ascii="仿宋_GB2312" w:eastAsia="仿宋_GB2312" w:cs="仿宋_GB2312"/>
          <w:kern w:val="0"/>
          <w:sz w:val="32"/>
          <w:szCs w:val="32"/>
          <w:lang w:val="en-US" w:eastAsia="zh-CN"/>
        </w:rPr>
        <w:t>225.8</w:t>
      </w:r>
      <w:r>
        <w:rPr>
          <w:rFonts w:hint="eastAsia" w:ascii="仿宋_GB2312" w:eastAsia="仿宋_GB2312" w:cs="仿宋_GB2312"/>
          <w:kern w:val="0"/>
          <w:sz w:val="32"/>
          <w:szCs w:val="32"/>
        </w:rPr>
        <w:t>万元，下降</w:t>
      </w:r>
      <w:r>
        <w:rPr>
          <w:rFonts w:hint="eastAsia" w:ascii="仿宋_GB2312" w:eastAsia="仿宋_GB2312" w:cs="仿宋_GB2312"/>
          <w:kern w:val="0"/>
          <w:sz w:val="32"/>
          <w:szCs w:val="32"/>
          <w:lang w:val="en-US" w:eastAsia="zh-CN"/>
        </w:rPr>
        <w:t>4.22</w:t>
      </w:r>
      <w:r>
        <w:rPr>
          <w:rFonts w:hint="eastAsia" w:ascii="仿宋_GB2312" w:eastAsia="仿宋_GB2312" w:cs="仿宋_GB2312"/>
          <w:kern w:val="0"/>
          <w:sz w:val="32"/>
          <w:szCs w:val="32"/>
        </w:rPr>
        <w:t>%。支出具体情况如下：</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.公共安全支出（类）3334万元：主要用于其他公安支出、行政运行支出、一般行政事务管理支出等。较2020年度决算数</w:t>
      </w:r>
      <w:r>
        <w:rPr>
          <w:rFonts w:hint="eastAsia" w:ascii="仿宋_GB2312" w:eastAsia="仿宋_GB2312" w:cs="仿宋_GB2312"/>
          <w:kern w:val="0"/>
          <w:sz w:val="32"/>
          <w:szCs w:val="32"/>
          <w:lang w:eastAsia="zh-CN"/>
        </w:rPr>
        <w:t>增加</w:t>
      </w:r>
      <w:r>
        <w:rPr>
          <w:rFonts w:hint="eastAsia" w:ascii="仿宋_GB2312" w:eastAsia="仿宋_GB2312" w:cs="仿宋_GB2312"/>
          <w:kern w:val="0"/>
          <w:sz w:val="32"/>
          <w:szCs w:val="32"/>
          <w:lang w:val="en-US" w:eastAsia="zh-CN"/>
        </w:rPr>
        <w:t>401.91</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增加</w:t>
      </w:r>
      <w:r>
        <w:rPr>
          <w:rFonts w:hint="eastAsia" w:ascii="仿宋_GB2312" w:eastAsia="仿宋_GB2312" w:cs="仿宋_GB2312"/>
          <w:kern w:val="0"/>
          <w:sz w:val="32"/>
          <w:szCs w:val="32"/>
          <w:lang w:val="en-US" w:eastAsia="zh-CN"/>
        </w:rPr>
        <w:t>13.70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增加</w:t>
      </w:r>
      <w:r>
        <w:rPr>
          <w:rFonts w:hint="eastAsia" w:ascii="仿宋_GB2312" w:eastAsia="仿宋_GB2312" w:cs="仿宋_GB2312"/>
          <w:kern w:val="0"/>
          <w:sz w:val="32"/>
          <w:szCs w:val="32"/>
        </w:rPr>
        <w:t>的主要原因是：</w:t>
      </w:r>
      <w:r>
        <w:rPr>
          <w:rFonts w:hint="eastAsia" w:ascii="仿宋_GB2312" w:hAnsi="黑体" w:eastAsia="仿宋_GB2312" w:cs="仿宋_GB2312"/>
          <w:kern w:val="0"/>
          <w:sz w:val="32"/>
          <w:szCs w:val="32"/>
          <w:lang w:eastAsia="zh-CN"/>
        </w:rPr>
        <w:t>财政部门加大对法院资金支持力度。</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.社会保障和就业支出（类）302.5万元，主要用于行政事业单位人员养老支出、残疾人事业支出和其他社会保障和就业支出。较2020年度决算数增加</w:t>
      </w:r>
      <w:r>
        <w:rPr>
          <w:rFonts w:hint="eastAsia" w:ascii="仿宋_GB2312" w:eastAsia="仿宋_GB2312" w:cs="仿宋_GB2312"/>
          <w:kern w:val="0"/>
          <w:sz w:val="32"/>
          <w:szCs w:val="32"/>
          <w:lang w:val="en-US" w:eastAsia="zh-CN"/>
        </w:rPr>
        <w:t>44.44</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17.22</w:t>
      </w:r>
      <w:r>
        <w:rPr>
          <w:rFonts w:hint="eastAsia" w:ascii="仿宋_GB2312" w:eastAsia="仿宋_GB2312" w:cs="仿宋_GB2312"/>
          <w:kern w:val="0"/>
          <w:sz w:val="32"/>
          <w:szCs w:val="32"/>
        </w:rPr>
        <w:t>%。增加的主要原因是：2021年</w:t>
      </w:r>
      <w:r>
        <w:rPr>
          <w:rFonts w:hint="eastAsia" w:ascii="仿宋_GB2312" w:eastAsia="仿宋_GB2312" w:cs="仿宋_GB2312"/>
          <w:kern w:val="0"/>
          <w:sz w:val="32"/>
          <w:szCs w:val="32"/>
          <w:lang w:eastAsia="zh-CN"/>
        </w:rPr>
        <w:t>柳北区人民</w:t>
      </w:r>
      <w:r>
        <w:rPr>
          <w:rFonts w:hint="eastAsia" w:ascii="仿宋_GB2312" w:eastAsia="仿宋_GB2312" w:cs="仿宋_GB2312"/>
          <w:kern w:val="0"/>
          <w:sz w:val="32"/>
          <w:szCs w:val="32"/>
        </w:rPr>
        <w:t>法院在职人数较上年有所增加，导致基本养老保险经费增加。</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.卫生健康支出（类）132.51万元，主要用于行政事业单位医疗支出。较2020年度决算数减少</w:t>
      </w:r>
      <w:r>
        <w:rPr>
          <w:rFonts w:hint="eastAsia" w:ascii="仿宋_GB2312" w:eastAsia="仿宋_GB2312" w:cs="仿宋_GB2312"/>
          <w:kern w:val="0"/>
          <w:sz w:val="32"/>
          <w:szCs w:val="32"/>
          <w:lang w:val="en-US" w:eastAsia="zh-CN"/>
        </w:rPr>
        <w:t>27.97</w:t>
      </w:r>
      <w:r>
        <w:rPr>
          <w:rFonts w:hint="eastAsia" w:ascii="仿宋_GB2312" w:eastAsia="仿宋_GB2312" w:cs="仿宋_GB2312"/>
          <w:kern w:val="0"/>
          <w:sz w:val="32"/>
          <w:szCs w:val="32"/>
        </w:rPr>
        <w:t>万元，下降</w:t>
      </w:r>
      <w:r>
        <w:rPr>
          <w:rFonts w:hint="eastAsia" w:ascii="仿宋_GB2312" w:eastAsia="仿宋_GB2312" w:cs="仿宋_GB2312"/>
          <w:kern w:val="0"/>
          <w:sz w:val="32"/>
          <w:szCs w:val="32"/>
          <w:lang w:val="en-US" w:eastAsia="zh-CN"/>
        </w:rPr>
        <w:t>17.43</w:t>
      </w:r>
      <w:r>
        <w:rPr>
          <w:rFonts w:hint="eastAsia" w:ascii="仿宋_GB2312" w:eastAsia="仿宋_GB2312" w:cs="仿宋_GB2312"/>
          <w:kern w:val="0"/>
          <w:sz w:val="32"/>
          <w:szCs w:val="32"/>
        </w:rPr>
        <w:t>%。减少的主要原因是：2021年度公务员医疗补助减少。</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.住房保障支出（类）120.39万元，主要用于住房保障支出（类）住房改革支出（款）住房公积金（项）。较2020年度决算数</w:t>
      </w:r>
      <w:r>
        <w:rPr>
          <w:rFonts w:hint="eastAsia" w:ascii="仿宋_GB2312" w:eastAsia="仿宋_GB2312" w:cs="仿宋_GB2312"/>
          <w:kern w:val="0"/>
          <w:sz w:val="32"/>
          <w:szCs w:val="32"/>
          <w:lang w:eastAsia="zh-CN"/>
        </w:rPr>
        <w:t>减少</w:t>
      </w:r>
      <w:r>
        <w:rPr>
          <w:rFonts w:hint="eastAsia" w:ascii="仿宋_GB2312" w:eastAsia="仿宋_GB2312" w:cs="仿宋_GB2312"/>
          <w:kern w:val="0"/>
          <w:sz w:val="32"/>
          <w:szCs w:val="32"/>
          <w:lang w:val="en-US" w:eastAsia="zh-CN"/>
        </w:rPr>
        <w:t>0.9</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下降</w:t>
      </w:r>
      <w:r>
        <w:rPr>
          <w:rFonts w:hint="eastAsia" w:ascii="仿宋_GB2312" w:eastAsia="仿宋_GB2312" w:cs="仿宋_GB2312"/>
          <w:kern w:val="0"/>
          <w:sz w:val="32"/>
          <w:szCs w:val="32"/>
          <w:lang w:val="en-US" w:eastAsia="zh-CN"/>
        </w:rPr>
        <w:t>0.74</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减少</w:t>
      </w:r>
      <w:r>
        <w:rPr>
          <w:rFonts w:hint="eastAsia" w:ascii="仿宋_GB2312" w:eastAsia="仿宋_GB2312" w:cs="仿宋_GB2312"/>
          <w:kern w:val="0"/>
          <w:sz w:val="32"/>
          <w:szCs w:val="32"/>
        </w:rPr>
        <w:t>主要原因是：</w:t>
      </w:r>
      <w:r>
        <w:rPr>
          <w:rFonts w:hint="eastAsia" w:ascii="仿宋_GB2312" w:eastAsia="仿宋_GB2312"/>
          <w:kern w:val="0"/>
          <w:sz w:val="32"/>
          <w:szCs w:val="32"/>
        </w:rPr>
        <w:t>财政国库指标限额影响，柳北法院在职人员12月份住房公积金未能支付。  </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万元，为事业单位按规定提取的职工福利基金、事业基金和缴纳的所得税等。主要原因是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2021年度无此项支出。</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.年末结转和结余208.29万元，为本年度或以前年度</w:t>
      </w:r>
    </w:p>
    <w:p>
      <w:pPr>
        <w:numPr>
          <w:ilvl w:val="0"/>
          <w:numId w:val="0"/>
        </w:num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预算安排、因客观条件发生变化无法按原计划实施，需要延迟到以后年度按有关规定继续使用的资金。较</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年度决算数增加</w:t>
      </w:r>
      <w:r>
        <w:rPr>
          <w:rFonts w:hint="eastAsia" w:ascii="仿宋_GB2312" w:eastAsia="仿宋_GB2312" w:cs="仿宋_GB2312"/>
          <w:kern w:val="0"/>
          <w:sz w:val="32"/>
          <w:szCs w:val="32"/>
          <w:lang w:val="en-US" w:eastAsia="zh-CN"/>
        </w:rPr>
        <w:t>64.29</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44.65</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财政国库指标限额影响，</w:t>
      </w:r>
      <w:r>
        <w:rPr>
          <w:rFonts w:hint="eastAsia" w:ascii="仿宋_GB2312" w:eastAsia="仿宋_GB2312" w:cs="仿宋_GB2312"/>
          <w:kern w:val="0"/>
          <w:sz w:val="32"/>
          <w:szCs w:val="32"/>
          <w:lang w:eastAsia="zh-CN"/>
        </w:rPr>
        <w:t>本</w:t>
      </w:r>
      <w:r>
        <w:rPr>
          <w:rFonts w:hint="eastAsia" w:ascii="仿宋_GB2312" w:eastAsia="仿宋_GB2312" w:cs="仿宋_GB2312"/>
          <w:kern w:val="0"/>
          <w:sz w:val="32"/>
          <w:szCs w:val="32"/>
        </w:rPr>
        <w:t>院部分经费未能支付。</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rPr>
        <w:t>3889.41</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417.48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12.02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rPr>
        <w:t>1913.97</w:t>
      </w:r>
      <w:r>
        <w:rPr>
          <w:rFonts w:hint="eastAsia" w:ascii="仿宋_GB2312" w:eastAsia="仿宋_GB2312" w:cs="仿宋_GB2312"/>
          <w:kern w:val="0"/>
          <w:sz w:val="32"/>
          <w:szCs w:val="32"/>
        </w:rPr>
        <w:t>万元，项目支出</w:t>
      </w:r>
      <w:r>
        <w:rPr>
          <w:rFonts w:hint="eastAsia" w:ascii="仿宋_GB2312" w:eastAsia="仿宋_GB2312"/>
          <w:kern w:val="0"/>
          <w:sz w:val="32"/>
          <w:szCs w:val="32"/>
        </w:rPr>
        <w:t>1975.44</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3238.09</w:t>
      </w:r>
      <w:r>
        <w:rPr>
          <w:rFonts w:hint="eastAsia" w:ascii="仿宋_GB2312" w:hAnsi="黑体" w:eastAsia="仿宋_GB2312" w:cs="仿宋_GB2312"/>
          <w:kern w:val="0"/>
          <w:sz w:val="32"/>
          <w:szCs w:val="32"/>
        </w:rPr>
        <w:t>万元，支出决算为3889.41万元，完成年初预算的</w:t>
      </w:r>
      <w:r>
        <w:rPr>
          <w:rFonts w:hint="eastAsia" w:ascii="仿宋_GB2312" w:hAnsi="黑体" w:eastAsia="仿宋_GB2312" w:cs="仿宋_GB2312"/>
          <w:kern w:val="0"/>
          <w:sz w:val="32"/>
          <w:szCs w:val="32"/>
          <w:lang w:val="en-US" w:eastAsia="zh-CN"/>
        </w:rPr>
        <w:t>120.11</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numPr>
          <w:ilvl w:val="0"/>
          <w:numId w:val="2"/>
        </w:num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公共安全支出（类）法院（款）行政运行（项）。年初预算为</w:t>
      </w:r>
      <w:r>
        <w:rPr>
          <w:rFonts w:hint="eastAsia" w:ascii="仿宋_GB2312" w:eastAsia="仿宋_GB2312"/>
          <w:kern w:val="0"/>
          <w:sz w:val="32"/>
          <w:szCs w:val="32"/>
          <w:lang w:val="en-US" w:eastAsia="zh-CN"/>
        </w:rPr>
        <w:t>1445.97</w:t>
      </w:r>
      <w:r>
        <w:rPr>
          <w:rFonts w:hint="eastAsia" w:ascii="仿宋_GB2312" w:eastAsia="仿宋_GB2312"/>
          <w:kern w:val="0"/>
          <w:sz w:val="32"/>
          <w:szCs w:val="32"/>
        </w:rPr>
        <w:t>万元，支出决算为</w:t>
      </w:r>
      <w:r>
        <w:rPr>
          <w:rFonts w:hint="eastAsia" w:ascii="仿宋_GB2312" w:eastAsia="仿宋_GB2312"/>
          <w:kern w:val="0"/>
          <w:sz w:val="32"/>
          <w:szCs w:val="32"/>
          <w:lang w:val="en-US" w:eastAsia="zh-CN"/>
        </w:rPr>
        <w:t>1358.56</w:t>
      </w:r>
      <w:r>
        <w:rPr>
          <w:rFonts w:hint="eastAsia" w:ascii="仿宋_GB2312" w:eastAsia="仿宋_GB2312"/>
          <w:kern w:val="0"/>
          <w:sz w:val="32"/>
          <w:szCs w:val="32"/>
        </w:rPr>
        <w:t>万元，完成年初预算的</w:t>
      </w:r>
      <w:r>
        <w:rPr>
          <w:rFonts w:hint="eastAsia" w:ascii="仿宋_GB2312" w:eastAsia="仿宋_GB2312"/>
          <w:kern w:val="0"/>
          <w:sz w:val="32"/>
          <w:szCs w:val="32"/>
          <w:lang w:val="en-US" w:eastAsia="zh-CN"/>
        </w:rPr>
        <w:t>93.95</w:t>
      </w:r>
      <w:r>
        <w:rPr>
          <w:rFonts w:hint="eastAsia" w:ascii="仿宋_GB2312" w:eastAsia="仿宋_GB2312"/>
          <w:kern w:val="0"/>
          <w:sz w:val="32"/>
          <w:szCs w:val="32"/>
        </w:rPr>
        <w:t>%。主要用于为保证法院日常运转而发生的人员经费支出和日常公用经费支出等。预决算差异原因是：财政国库指标限额影响，我院部分经费未能支付。</w:t>
      </w:r>
    </w:p>
    <w:p>
      <w:pPr>
        <w:numPr>
          <w:ilvl w:val="0"/>
          <w:numId w:val="2"/>
        </w:num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公共安全支出（类）法院（款）一般管理事务（项）。年初预算为</w:t>
      </w:r>
      <w:r>
        <w:rPr>
          <w:rFonts w:hint="eastAsia" w:ascii="仿宋_GB2312" w:eastAsia="仿宋_GB2312"/>
          <w:kern w:val="0"/>
          <w:sz w:val="32"/>
          <w:szCs w:val="32"/>
          <w:lang w:val="en-US" w:eastAsia="zh-CN"/>
        </w:rPr>
        <w:t>39.04</w:t>
      </w:r>
      <w:r>
        <w:rPr>
          <w:rFonts w:hint="eastAsia" w:ascii="仿宋_GB2312" w:eastAsia="仿宋_GB2312"/>
          <w:kern w:val="0"/>
          <w:sz w:val="32"/>
          <w:szCs w:val="32"/>
        </w:rPr>
        <w:t>万元，支出决算为30.66万元，完成年初预算的</w:t>
      </w:r>
      <w:r>
        <w:rPr>
          <w:rFonts w:hint="eastAsia" w:ascii="仿宋_GB2312" w:eastAsia="仿宋_GB2312"/>
          <w:kern w:val="0"/>
          <w:sz w:val="32"/>
          <w:szCs w:val="32"/>
          <w:lang w:val="en-US" w:eastAsia="zh-CN"/>
        </w:rPr>
        <w:t>78.53</w:t>
      </w:r>
      <w:r>
        <w:rPr>
          <w:rFonts w:hint="eastAsia" w:ascii="仿宋_GB2312" w:eastAsia="仿宋_GB2312"/>
          <w:kern w:val="0"/>
          <w:sz w:val="32"/>
          <w:szCs w:val="32"/>
        </w:rPr>
        <w:t>%。预决算差异原因是：财政国库指标限额影响，我院部分经费未能支付。</w:t>
      </w:r>
    </w:p>
    <w:p>
      <w:pPr>
        <w:numPr>
          <w:ilvl w:val="0"/>
          <w:numId w:val="3"/>
        </w:num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公共安全支出（类）法院（款）案件审判（项）。年初预算为</w:t>
      </w:r>
      <w:r>
        <w:rPr>
          <w:rFonts w:hint="eastAsia" w:ascii="仿宋_GB2312" w:eastAsia="仿宋_GB2312"/>
          <w:kern w:val="0"/>
          <w:sz w:val="32"/>
          <w:szCs w:val="32"/>
          <w:lang w:val="en-US" w:eastAsia="zh-CN"/>
        </w:rPr>
        <w:t>87.9</w:t>
      </w:r>
      <w:r>
        <w:rPr>
          <w:rFonts w:hint="eastAsia" w:ascii="仿宋_GB2312" w:eastAsia="仿宋_GB2312"/>
          <w:kern w:val="0"/>
          <w:sz w:val="32"/>
          <w:szCs w:val="32"/>
        </w:rPr>
        <w:t>万元，支出决算为368.18万元，完成年初预算的</w:t>
      </w:r>
      <w:r>
        <w:rPr>
          <w:rFonts w:hint="eastAsia" w:ascii="仿宋_GB2312" w:eastAsia="仿宋_GB2312"/>
          <w:kern w:val="0"/>
          <w:sz w:val="32"/>
          <w:szCs w:val="32"/>
          <w:lang w:val="en-US" w:eastAsia="zh-CN"/>
        </w:rPr>
        <w:t>418.86</w:t>
      </w:r>
      <w:r>
        <w:rPr>
          <w:rFonts w:hint="eastAsia" w:ascii="仿宋_GB2312" w:eastAsia="仿宋_GB2312"/>
          <w:kern w:val="0"/>
          <w:sz w:val="32"/>
          <w:szCs w:val="32"/>
        </w:rPr>
        <w:t>%。预决算差异原因是：年中拨付政法纪检监察转移资金、统筹诉讼费补助资金和大要案资金等上级补助资金，未纳入年初预算。</w:t>
      </w:r>
    </w:p>
    <w:p>
      <w:pPr>
        <w:numPr>
          <w:ilvl w:val="0"/>
          <w:numId w:val="0"/>
        </w:num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lang w:eastAsia="zh-CN"/>
        </w:rPr>
        <w:t>（四）</w:t>
      </w:r>
      <w:r>
        <w:rPr>
          <w:rFonts w:hint="eastAsia" w:ascii="仿宋_GB2312" w:eastAsia="仿宋_GB2312"/>
          <w:kern w:val="0"/>
          <w:sz w:val="32"/>
          <w:szCs w:val="32"/>
        </w:rPr>
        <w:t>公共安全支出（类）法院（款）案件执行（项）。年初预算为</w:t>
      </w:r>
      <w:r>
        <w:rPr>
          <w:rFonts w:hint="eastAsia" w:ascii="仿宋_GB2312" w:eastAsia="仿宋_GB2312"/>
          <w:kern w:val="0"/>
          <w:sz w:val="32"/>
          <w:szCs w:val="32"/>
          <w:lang w:val="en-US" w:eastAsia="zh-CN"/>
        </w:rPr>
        <w:t>11.08</w:t>
      </w:r>
      <w:r>
        <w:rPr>
          <w:rFonts w:hint="eastAsia" w:ascii="仿宋_GB2312" w:eastAsia="仿宋_GB2312"/>
          <w:kern w:val="0"/>
          <w:sz w:val="32"/>
          <w:szCs w:val="32"/>
        </w:rPr>
        <w:t>万元，支出决算为8.98万元，完成年初预算的</w:t>
      </w:r>
      <w:r>
        <w:rPr>
          <w:rFonts w:hint="eastAsia" w:ascii="仿宋_GB2312" w:eastAsia="仿宋_GB2312"/>
          <w:kern w:val="0"/>
          <w:sz w:val="32"/>
          <w:szCs w:val="32"/>
          <w:lang w:val="en-US" w:eastAsia="zh-CN"/>
        </w:rPr>
        <w:t>81.04</w:t>
      </w:r>
      <w:r>
        <w:rPr>
          <w:rFonts w:hint="eastAsia" w:ascii="仿宋_GB2312" w:eastAsia="仿宋_GB2312"/>
          <w:kern w:val="0"/>
          <w:sz w:val="32"/>
          <w:szCs w:val="32"/>
        </w:rPr>
        <w:t>%。预决算差异原因是：财政国库指标限额影响，我院部分经费未能支付。</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 （</w:t>
      </w:r>
      <w:r>
        <w:rPr>
          <w:rFonts w:hint="eastAsia" w:ascii="仿宋_GB2312" w:eastAsia="仿宋_GB2312"/>
          <w:kern w:val="0"/>
          <w:sz w:val="32"/>
          <w:szCs w:val="32"/>
          <w:lang w:eastAsia="zh-CN"/>
        </w:rPr>
        <w:t>五</w:t>
      </w:r>
      <w:r>
        <w:rPr>
          <w:rFonts w:hint="eastAsia" w:ascii="仿宋_GB2312" w:eastAsia="仿宋_GB2312"/>
          <w:kern w:val="0"/>
          <w:sz w:val="32"/>
          <w:szCs w:val="32"/>
        </w:rPr>
        <w:t>）公共安全支出（类）法院（款）其他法院支出（项）。年初预算为</w:t>
      </w:r>
      <w:r>
        <w:rPr>
          <w:rFonts w:hint="eastAsia" w:ascii="仿宋_GB2312" w:eastAsia="仿宋_GB2312"/>
          <w:kern w:val="0"/>
          <w:sz w:val="32"/>
          <w:szCs w:val="32"/>
          <w:lang w:val="en-US" w:eastAsia="zh-CN"/>
        </w:rPr>
        <w:t>1120.68</w:t>
      </w:r>
      <w:r>
        <w:rPr>
          <w:rFonts w:hint="eastAsia" w:ascii="仿宋_GB2312" w:eastAsia="仿宋_GB2312"/>
          <w:kern w:val="0"/>
          <w:sz w:val="32"/>
          <w:szCs w:val="32"/>
        </w:rPr>
        <w:t>万元，支出决算为1567.62万元，完成年初预算的</w:t>
      </w:r>
      <w:r>
        <w:rPr>
          <w:rFonts w:hint="eastAsia" w:ascii="仿宋_GB2312" w:eastAsia="仿宋_GB2312"/>
          <w:kern w:val="0"/>
          <w:sz w:val="32"/>
          <w:szCs w:val="32"/>
          <w:lang w:val="en-US" w:eastAsia="zh-CN"/>
        </w:rPr>
        <w:t>139.88</w:t>
      </w:r>
      <w:r>
        <w:rPr>
          <w:rFonts w:hint="eastAsia" w:ascii="仿宋_GB2312" w:eastAsia="仿宋_GB2312"/>
          <w:kern w:val="0"/>
          <w:sz w:val="32"/>
          <w:szCs w:val="32"/>
        </w:rPr>
        <w:t>%。预决算差异原因是：新增2020年下半年统筹诉讼费补助资金。</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六</w:t>
      </w:r>
      <w:r>
        <w:rPr>
          <w:rFonts w:hint="eastAsia" w:ascii="仿宋_GB2312" w:eastAsia="仿宋_GB2312"/>
          <w:kern w:val="0"/>
          <w:sz w:val="32"/>
          <w:szCs w:val="32"/>
        </w:rPr>
        <w:t>）社会保障和就业支出（类）行政事业单位养老支出（款）行政单位离退休（项）。年初预算为</w:t>
      </w:r>
      <w:r>
        <w:rPr>
          <w:rFonts w:hint="eastAsia" w:ascii="仿宋_GB2312" w:eastAsia="仿宋_GB2312"/>
          <w:kern w:val="0"/>
          <w:sz w:val="32"/>
          <w:szCs w:val="32"/>
          <w:lang w:val="en-US" w:eastAsia="zh-CN"/>
        </w:rPr>
        <w:t>15.92</w:t>
      </w:r>
      <w:r>
        <w:rPr>
          <w:rFonts w:hint="eastAsia" w:ascii="仿宋_GB2312" w:eastAsia="仿宋_GB2312"/>
          <w:kern w:val="0"/>
          <w:sz w:val="32"/>
          <w:szCs w:val="32"/>
        </w:rPr>
        <w:t>万元，支出决算为42.14万元，完成年初预算的</w:t>
      </w:r>
      <w:r>
        <w:rPr>
          <w:rFonts w:hint="eastAsia" w:ascii="仿宋_GB2312" w:eastAsia="仿宋_GB2312"/>
          <w:kern w:val="0"/>
          <w:sz w:val="32"/>
          <w:szCs w:val="32"/>
          <w:lang w:val="en-US" w:eastAsia="zh-CN"/>
        </w:rPr>
        <w:t>264.7</w:t>
      </w:r>
      <w:r>
        <w:rPr>
          <w:rFonts w:hint="eastAsia" w:ascii="仿宋_GB2312" w:eastAsia="仿宋_GB2312"/>
          <w:kern w:val="0"/>
          <w:sz w:val="32"/>
          <w:szCs w:val="32"/>
        </w:rPr>
        <w:t>%。预决算差异原因是：一是离退休人员变动导致退休人员公用经费、退休费、离退休生活补助拨款数增加;二是部分人员死亡拨付丧葬抚恤金。</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七</w:t>
      </w:r>
      <w:r>
        <w:rPr>
          <w:rFonts w:hint="eastAsia" w:ascii="仿宋_GB2312" w:eastAsia="仿宋_GB2312"/>
          <w:kern w:val="0"/>
          <w:sz w:val="32"/>
          <w:szCs w:val="32"/>
        </w:rPr>
        <w:t>）社会保障和就业支出（类）行政事业单位养老支出（款）机关事业单位基本养老保险缴费支出（项）。年初预算为</w:t>
      </w:r>
      <w:r>
        <w:rPr>
          <w:rFonts w:hint="eastAsia" w:ascii="仿宋_GB2312" w:eastAsia="仿宋_GB2312"/>
          <w:kern w:val="0"/>
          <w:sz w:val="32"/>
          <w:szCs w:val="32"/>
          <w:lang w:val="en-US" w:eastAsia="zh-CN"/>
        </w:rPr>
        <w:t>173.57</w:t>
      </w:r>
      <w:r>
        <w:rPr>
          <w:rFonts w:hint="eastAsia" w:ascii="仿宋_GB2312" w:eastAsia="仿宋_GB2312"/>
          <w:kern w:val="0"/>
          <w:sz w:val="32"/>
          <w:szCs w:val="32"/>
        </w:rPr>
        <w:t>万元，支出决算为173.57万元，完成年初预算的</w:t>
      </w:r>
      <w:r>
        <w:rPr>
          <w:rFonts w:hint="eastAsia" w:ascii="仿宋_GB2312" w:eastAsia="仿宋_GB2312"/>
          <w:kern w:val="0"/>
          <w:sz w:val="32"/>
          <w:szCs w:val="32"/>
          <w:lang w:val="en-US" w:eastAsia="zh-CN"/>
        </w:rPr>
        <w:t>100</w:t>
      </w:r>
      <w:r>
        <w:rPr>
          <w:rFonts w:hint="eastAsia" w:ascii="仿宋_GB2312" w:eastAsia="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八</w:t>
      </w:r>
      <w:r>
        <w:rPr>
          <w:rFonts w:hint="eastAsia" w:ascii="仿宋_GB2312" w:eastAsia="仿宋_GB2312"/>
          <w:kern w:val="0"/>
          <w:sz w:val="32"/>
          <w:szCs w:val="32"/>
        </w:rPr>
        <w:t>）社会保障和就业支出（类）行政事业单位养老支出（款）机关事业单位职业年金缴费支出（项）。年初预算为</w:t>
      </w:r>
      <w:r>
        <w:rPr>
          <w:rFonts w:hint="eastAsia" w:ascii="仿宋_GB2312" w:eastAsia="仿宋_GB2312"/>
          <w:kern w:val="0"/>
          <w:sz w:val="32"/>
          <w:szCs w:val="32"/>
          <w:lang w:val="en-US" w:eastAsia="zh-CN"/>
        </w:rPr>
        <w:t>86.79</w:t>
      </w:r>
      <w:r>
        <w:rPr>
          <w:rFonts w:hint="eastAsia" w:ascii="仿宋_GB2312" w:eastAsia="仿宋_GB2312"/>
          <w:kern w:val="0"/>
          <w:sz w:val="32"/>
          <w:szCs w:val="32"/>
        </w:rPr>
        <w:t>万元，支出决算为86.79万元，完成年初预算的</w:t>
      </w:r>
      <w:r>
        <w:rPr>
          <w:rFonts w:hint="eastAsia" w:ascii="仿宋_GB2312" w:eastAsia="仿宋_GB2312"/>
          <w:kern w:val="0"/>
          <w:sz w:val="32"/>
          <w:szCs w:val="32"/>
          <w:lang w:val="en-US" w:eastAsia="zh-CN"/>
        </w:rPr>
        <w:t>100</w:t>
      </w:r>
      <w:r>
        <w:rPr>
          <w:rFonts w:hint="eastAsia" w:ascii="仿宋_GB2312" w:eastAsia="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九</w:t>
      </w:r>
      <w:r>
        <w:rPr>
          <w:rFonts w:hint="eastAsia" w:ascii="仿宋_GB2312" w:eastAsia="仿宋_GB2312"/>
          <w:kern w:val="0"/>
          <w:sz w:val="32"/>
          <w:szCs w:val="32"/>
        </w:rPr>
        <w:t>）卫生健康支出（类）行政事业单位医疗（款）行政单位医疗（项）。年初预算为</w:t>
      </w:r>
      <w:r>
        <w:rPr>
          <w:rFonts w:hint="eastAsia" w:ascii="仿宋_GB2312" w:eastAsia="仿宋_GB2312"/>
          <w:kern w:val="0"/>
          <w:sz w:val="32"/>
          <w:szCs w:val="32"/>
          <w:lang w:val="en-US" w:eastAsia="zh-CN"/>
        </w:rPr>
        <w:t>84.62</w:t>
      </w:r>
      <w:r>
        <w:rPr>
          <w:rFonts w:hint="eastAsia" w:ascii="仿宋_GB2312" w:eastAsia="仿宋_GB2312"/>
          <w:kern w:val="0"/>
          <w:sz w:val="32"/>
          <w:szCs w:val="32"/>
        </w:rPr>
        <w:t>万元，支出决算为84.62万元，完成年初预算的</w:t>
      </w:r>
      <w:r>
        <w:rPr>
          <w:rFonts w:hint="eastAsia" w:ascii="仿宋_GB2312" w:eastAsia="仿宋_GB2312"/>
          <w:kern w:val="0"/>
          <w:sz w:val="32"/>
          <w:szCs w:val="32"/>
          <w:lang w:val="en-US" w:eastAsia="zh-CN"/>
        </w:rPr>
        <w:t>100</w:t>
      </w:r>
      <w:r>
        <w:rPr>
          <w:rFonts w:hint="eastAsia" w:ascii="仿宋_GB2312" w:eastAsia="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（十）卫生健康支出（类）行政事业单位医疗（款）公务员医疗补助（项）。年初预算为</w:t>
      </w:r>
      <w:r>
        <w:rPr>
          <w:rFonts w:hint="eastAsia" w:ascii="仿宋_GB2312" w:eastAsia="仿宋_GB2312"/>
          <w:kern w:val="0"/>
          <w:sz w:val="32"/>
          <w:szCs w:val="32"/>
          <w:lang w:val="en-US" w:eastAsia="zh-CN"/>
        </w:rPr>
        <w:t>42.34</w:t>
      </w:r>
      <w:r>
        <w:rPr>
          <w:rFonts w:hint="eastAsia" w:ascii="仿宋_GB2312" w:eastAsia="仿宋_GB2312"/>
          <w:kern w:val="0"/>
          <w:sz w:val="32"/>
          <w:szCs w:val="32"/>
        </w:rPr>
        <w:t>万元，支出决算为47.9万元，完成年初预算的</w:t>
      </w:r>
      <w:r>
        <w:rPr>
          <w:rFonts w:hint="eastAsia" w:ascii="仿宋_GB2312" w:eastAsia="仿宋_GB2312"/>
          <w:kern w:val="0"/>
          <w:sz w:val="32"/>
          <w:szCs w:val="32"/>
          <w:lang w:val="en-US" w:eastAsia="zh-CN"/>
        </w:rPr>
        <w:t>113.13</w:t>
      </w:r>
      <w:r>
        <w:rPr>
          <w:rFonts w:hint="eastAsia" w:ascii="仿宋_GB2312" w:eastAsia="仿宋_GB2312"/>
          <w:kern w:val="0"/>
          <w:sz w:val="32"/>
          <w:szCs w:val="32"/>
        </w:rPr>
        <w:t>%。预决算差异原因是：年中增补公务员医疗补助和医疗保险差额。</w:t>
      </w:r>
    </w:p>
    <w:p>
      <w:pPr>
        <w:autoSpaceDE w:val="0"/>
        <w:autoSpaceDN w:val="0"/>
        <w:adjustRightInd w:val="0"/>
        <w:spacing w:line="56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（十</w:t>
      </w:r>
      <w:r>
        <w:rPr>
          <w:rFonts w:hint="eastAsia" w:ascii="仿宋_GB2312" w:eastAsia="仿宋_GB2312"/>
          <w:kern w:val="0"/>
          <w:sz w:val="32"/>
          <w:szCs w:val="32"/>
          <w:lang w:eastAsia="zh-CN"/>
        </w:rPr>
        <w:t>一</w:t>
      </w:r>
      <w:r>
        <w:rPr>
          <w:rFonts w:hint="eastAsia" w:ascii="仿宋_GB2312" w:eastAsia="仿宋_GB2312"/>
          <w:kern w:val="0"/>
          <w:sz w:val="32"/>
          <w:szCs w:val="32"/>
        </w:rPr>
        <w:t>）住房保障支出（类）住房改革支出（款）住房公积金（项）。年初预算为</w:t>
      </w:r>
      <w:r>
        <w:rPr>
          <w:rFonts w:hint="eastAsia" w:ascii="仿宋_GB2312" w:eastAsia="仿宋_GB2312"/>
          <w:kern w:val="0"/>
          <w:sz w:val="32"/>
          <w:szCs w:val="32"/>
          <w:lang w:val="en-US" w:eastAsia="zh-CN"/>
        </w:rPr>
        <w:t>130.18</w:t>
      </w:r>
      <w:r>
        <w:rPr>
          <w:rFonts w:hint="eastAsia" w:ascii="仿宋_GB2312" w:eastAsia="仿宋_GB2312"/>
          <w:kern w:val="0"/>
          <w:sz w:val="32"/>
          <w:szCs w:val="32"/>
        </w:rPr>
        <w:t>万元，支出决算为120.39万元，完成年初预算的</w:t>
      </w:r>
      <w:r>
        <w:rPr>
          <w:rFonts w:hint="eastAsia" w:ascii="仿宋_GB2312" w:eastAsia="仿宋_GB2312"/>
          <w:kern w:val="0"/>
          <w:sz w:val="32"/>
          <w:szCs w:val="32"/>
          <w:lang w:val="en-US" w:eastAsia="zh-CN"/>
        </w:rPr>
        <w:t>92.48</w:t>
      </w:r>
      <w:r>
        <w:rPr>
          <w:rFonts w:hint="eastAsia" w:ascii="仿宋_GB2312" w:eastAsia="仿宋_GB2312"/>
          <w:kern w:val="0"/>
          <w:sz w:val="32"/>
          <w:szCs w:val="32"/>
        </w:rPr>
        <w:t>%。未完成差异原因是：财政国库指标限额影响，柳北法院在职人员12月份住房公积金未能支付。  </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公共预算财政拨款基本支出3889</w:t>
      </w:r>
      <w:r>
        <w:rPr>
          <w:rFonts w:hint="eastAsia" w:ascii="仿宋_GB2312" w:eastAsia="仿宋_GB2312"/>
          <w:bCs/>
          <w:kern w:val="0"/>
          <w:sz w:val="32"/>
          <w:szCs w:val="32"/>
        </w:rPr>
        <w:t>.41万元，支出具体情况如下：</w:t>
      </w:r>
    </w:p>
    <w:p>
      <w:pPr>
        <w:numPr>
          <w:ilvl w:val="0"/>
          <w:numId w:val="4"/>
        </w:numPr>
        <w:autoSpaceDE w:val="0"/>
        <w:autoSpaceDN w:val="0"/>
        <w:adjustRightInd w:val="0"/>
        <w:spacing w:line="560" w:lineRule="exact"/>
        <w:ind w:firstLine="620" w:firstLineChars="200"/>
        <w:jc w:val="left"/>
        <w:rPr>
          <w:rFonts w:hint="eastAsia" w:ascii="仿宋_GB2312" w:eastAsia="仿宋_GB2312"/>
          <w:kern w:val="0"/>
          <w:sz w:val="32"/>
          <w:szCs w:val="32"/>
        </w:rPr>
      </w:pPr>
      <w:r>
        <w:rPr>
          <w:rFonts w:ascii="仿宋_GB2312" w:hAnsi="宋体" w:eastAsia="仿宋_GB2312" w:cs="仿宋_GB2312"/>
          <w:i w:val="0"/>
          <w:caps w:val="0"/>
          <w:color w:val="000000"/>
          <w:spacing w:val="0"/>
          <w:sz w:val="31"/>
          <w:szCs w:val="31"/>
          <w:shd w:val="clear" w:fill="FFFFFF"/>
        </w:rPr>
        <w:t>工资福利</w:t>
      </w:r>
      <w:r>
        <w:rPr>
          <w:rFonts w:hint="eastAsia" w:ascii="仿宋_GB2312" w:eastAsia="仿宋_GB2312"/>
          <w:bCs/>
          <w:kern w:val="0"/>
          <w:sz w:val="32"/>
          <w:szCs w:val="32"/>
        </w:rPr>
        <w:t>支出1562.88万元，完成年初预算的</w:t>
      </w:r>
      <w:r>
        <w:rPr>
          <w:rFonts w:hint="eastAsia" w:ascii="仿宋_GB2312" w:eastAsia="仿宋_GB2312"/>
          <w:kern w:val="0"/>
          <w:sz w:val="32"/>
          <w:szCs w:val="32"/>
          <w:lang w:val="en-US" w:eastAsia="zh-CN"/>
        </w:rPr>
        <w:t>96.16</w:t>
      </w:r>
      <w:r>
        <w:rPr>
          <w:rFonts w:hint="eastAsia" w:ascii="仿宋_GB2312" w:eastAsia="仿宋_GB2312"/>
          <w:bCs/>
          <w:kern w:val="0"/>
          <w:sz w:val="32"/>
          <w:szCs w:val="32"/>
        </w:rPr>
        <w:t>%。预决算差异原因：</w:t>
      </w:r>
      <w:r>
        <w:rPr>
          <w:rFonts w:hint="eastAsia" w:ascii="仿宋_GB2312" w:eastAsia="仿宋_GB2312"/>
          <w:kern w:val="0"/>
          <w:sz w:val="32"/>
          <w:szCs w:val="32"/>
        </w:rPr>
        <w:t>财政国库指标限额影响，我院部分经费未能支付。</w:t>
      </w:r>
    </w:p>
    <w:p>
      <w:pPr>
        <w:numPr>
          <w:ilvl w:val="0"/>
          <w:numId w:val="0"/>
        </w:numPr>
        <w:autoSpaceDE w:val="0"/>
        <w:autoSpaceDN w:val="0"/>
        <w:adjustRightInd w:val="0"/>
        <w:spacing w:line="560" w:lineRule="exact"/>
        <w:ind w:firstLine="620" w:firstLineChars="200"/>
        <w:jc w:val="left"/>
        <w:rPr>
          <w:rFonts w:hint="eastAsia" w:ascii="仿宋_GB2312" w:eastAsia="仿宋_GB2312"/>
          <w:kern w:val="0"/>
          <w:sz w:val="32"/>
          <w:szCs w:val="32"/>
          <w:lang w:eastAsia="zh-CN"/>
        </w:rPr>
      </w:pPr>
      <w:r>
        <w:rPr>
          <w:rFonts w:ascii="仿宋_GB2312" w:hAnsi="宋体" w:eastAsia="仿宋_GB2312" w:cs="仿宋_GB2312"/>
          <w:i w:val="0"/>
          <w:caps w:val="0"/>
          <w:color w:val="000000"/>
          <w:spacing w:val="0"/>
          <w:sz w:val="31"/>
          <w:szCs w:val="31"/>
          <w:shd w:val="clear" w:fill="FFFFFF"/>
        </w:rPr>
        <w:t>支出内容主要包括：基本工资</w:t>
      </w:r>
      <w:r>
        <w:rPr>
          <w:rFonts w:hint="eastAsia" w:ascii="仿宋_GB2312" w:hAnsi="宋体" w:eastAsia="仿宋_GB2312" w:cs="仿宋_GB2312"/>
          <w:i w:val="0"/>
          <w:caps w:val="0"/>
          <w:color w:val="000000"/>
          <w:spacing w:val="0"/>
          <w:sz w:val="31"/>
          <w:szCs w:val="31"/>
          <w:shd w:val="clear" w:fill="FFFFFF"/>
        </w:rPr>
        <w:t>453.92</w:t>
      </w:r>
      <w:r>
        <w:rPr>
          <w:rFonts w:ascii="仿宋_GB2312" w:hAnsi="宋体" w:eastAsia="仿宋_GB2312" w:cs="仿宋_GB2312"/>
          <w:i w:val="0"/>
          <w:caps w:val="0"/>
          <w:color w:val="000000"/>
          <w:spacing w:val="0"/>
          <w:sz w:val="31"/>
          <w:szCs w:val="31"/>
          <w:shd w:val="clear" w:fill="FFFFFF"/>
        </w:rPr>
        <w:t>万元、津贴补贴</w:t>
      </w:r>
      <w:r>
        <w:rPr>
          <w:rFonts w:hint="eastAsia" w:ascii="仿宋_GB2312" w:hAnsi="宋体" w:eastAsia="仿宋_GB2312" w:cs="仿宋_GB2312"/>
          <w:i w:val="0"/>
          <w:caps w:val="0"/>
          <w:color w:val="000000"/>
          <w:spacing w:val="0"/>
          <w:sz w:val="31"/>
          <w:szCs w:val="31"/>
          <w:shd w:val="clear" w:fill="FFFFFF"/>
        </w:rPr>
        <w:t>416.62</w:t>
      </w:r>
      <w:r>
        <w:rPr>
          <w:rFonts w:ascii="仿宋_GB2312" w:hAnsi="宋体" w:eastAsia="仿宋_GB2312" w:cs="仿宋_GB2312"/>
          <w:i w:val="0"/>
          <w:caps w:val="0"/>
          <w:color w:val="000000"/>
          <w:spacing w:val="0"/>
          <w:sz w:val="31"/>
          <w:szCs w:val="31"/>
          <w:shd w:val="clear" w:fill="FFFFFF"/>
        </w:rPr>
        <w:t>万元、奖金</w:t>
      </w:r>
      <w:r>
        <w:rPr>
          <w:rFonts w:hint="eastAsia" w:ascii="仿宋_GB2312" w:hAnsi="宋体" w:eastAsia="仿宋_GB2312" w:cs="仿宋_GB2312"/>
          <w:i w:val="0"/>
          <w:caps w:val="0"/>
          <w:color w:val="000000"/>
          <w:spacing w:val="0"/>
          <w:sz w:val="31"/>
          <w:szCs w:val="31"/>
          <w:shd w:val="clear" w:fill="FFFFFF"/>
        </w:rPr>
        <w:t>134.69</w:t>
      </w:r>
      <w:r>
        <w:rPr>
          <w:rFonts w:ascii="仿宋_GB2312" w:hAnsi="宋体" w:eastAsia="仿宋_GB2312" w:cs="仿宋_GB2312"/>
          <w:i w:val="0"/>
          <w:caps w:val="0"/>
          <w:color w:val="000000"/>
          <w:spacing w:val="0"/>
          <w:sz w:val="31"/>
          <w:szCs w:val="31"/>
          <w:shd w:val="clear" w:fill="FFFFFF"/>
        </w:rPr>
        <w:t>万元、伙食补助费</w:t>
      </w:r>
      <w:r>
        <w:rPr>
          <w:rFonts w:hint="eastAsia" w:ascii="仿宋_GB2312" w:hAnsi="宋体" w:eastAsia="仿宋_GB2312" w:cs="仿宋_GB2312"/>
          <w:i w:val="0"/>
          <w:caps w:val="0"/>
          <w:color w:val="000000"/>
          <w:spacing w:val="0"/>
          <w:sz w:val="31"/>
          <w:szCs w:val="31"/>
          <w:shd w:val="clear" w:fill="FFFFFF"/>
        </w:rPr>
        <w:t>42.57</w:t>
      </w:r>
      <w:r>
        <w:rPr>
          <w:rFonts w:ascii="仿宋_GB2312" w:hAnsi="宋体" w:eastAsia="仿宋_GB2312" w:cs="仿宋_GB2312"/>
          <w:i w:val="0"/>
          <w:caps w:val="0"/>
          <w:color w:val="000000"/>
          <w:spacing w:val="0"/>
          <w:sz w:val="31"/>
          <w:szCs w:val="31"/>
          <w:shd w:val="clear" w:fill="FFFFFF"/>
        </w:rPr>
        <w:t>万元、机关事业单位基本养老保险缴费</w:t>
      </w:r>
      <w:r>
        <w:rPr>
          <w:rFonts w:hint="eastAsia" w:ascii="仿宋_GB2312" w:hAnsi="宋体" w:eastAsia="仿宋_GB2312" w:cs="仿宋_GB2312"/>
          <w:i w:val="0"/>
          <w:caps w:val="0"/>
          <w:color w:val="000000"/>
          <w:spacing w:val="0"/>
          <w:sz w:val="31"/>
          <w:szCs w:val="31"/>
          <w:shd w:val="clear" w:fill="FFFFFF"/>
        </w:rPr>
        <w:t>173.57</w:t>
      </w:r>
      <w:r>
        <w:rPr>
          <w:rFonts w:ascii="仿宋_GB2312" w:hAnsi="宋体" w:eastAsia="仿宋_GB2312" w:cs="仿宋_GB2312"/>
          <w:i w:val="0"/>
          <w:caps w:val="0"/>
          <w:color w:val="000000"/>
          <w:spacing w:val="0"/>
          <w:sz w:val="31"/>
          <w:szCs w:val="31"/>
          <w:shd w:val="clear" w:fill="FFFFFF"/>
        </w:rPr>
        <w:t>万元、职业年金缴</w:t>
      </w:r>
      <w:r>
        <w:rPr>
          <w:rFonts w:hint="eastAsia" w:ascii="仿宋_GB2312" w:hAnsi="宋体" w:eastAsia="仿宋_GB2312" w:cs="仿宋_GB2312"/>
          <w:i w:val="0"/>
          <w:caps w:val="0"/>
          <w:color w:val="000000"/>
          <w:spacing w:val="0"/>
          <w:sz w:val="31"/>
          <w:szCs w:val="31"/>
          <w:shd w:val="clear" w:fill="FFFFFF"/>
          <w:lang w:eastAsia="zh-CN"/>
        </w:rPr>
        <w:t>费</w:t>
      </w:r>
      <w:r>
        <w:rPr>
          <w:rFonts w:hint="eastAsia" w:ascii="仿宋_GB2312" w:hAnsi="宋体" w:eastAsia="仿宋_GB2312" w:cs="仿宋_GB2312"/>
          <w:i w:val="0"/>
          <w:caps w:val="0"/>
          <w:color w:val="000000"/>
          <w:spacing w:val="0"/>
          <w:sz w:val="31"/>
          <w:szCs w:val="31"/>
          <w:shd w:val="clear" w:fill="FFFFFF"/>
        </w:rPr>
        <w:t>86.79</w:t>
      </w:r>
      <w:r>
        <w:rPr>
          <w:rFonts w:ascii="仿宋_GB2312" w:hAnsi="宋体" w:eastAsia="仿宋_GB2312" w:cs="仿宋_GB2312"/>
          <w:i w:val="0"/>
          <w:caps w:val="0"/>
          <w:color w:val="000000"/>
          <w:spacing w:val="0"/>
          <w:sz w:val="31"/>
          <w:szCs w:val="31"/>
          <w:shd w:val="clear" w:fill="FFFFFF"/>
        </w:rPr>
        <w:t>万元、职工基本医疗保险缴费</w:t>
      </w:r>
      <w:r>
        <w:rPr>
          <w:rFonts w:hint="eastAsia" w:ascii="仿宋_GB2312" w:hAnsi="宋体" w:eastAsia="仿宋_GB2312" w:cs="仿宋_GB2312"/>
          <w:i w:val="0"/>
          <w:caps w:val="0"/>
          <w:color w:val="000000"/>
          <w:spacing w:val="0"/>
          <w:sz w:val="31"/>
          <w:szCs w:val="31"/>
          <w:shd w:val="clear" w:fill="FFFFFF"/>
        </w:rPr>
        <w:t>84.62</w:t>
      </w:r>
      <w:r>
        <w:rPr>
          <w:rFonts w:ascii="仿宋_GB2312" w:hAnsi="宋体" w:eastAsia="仿宋_GB2312" w:cs="仿宋_GB2312"/>
          <w:i w:val="0"/>
          <w:caps w:val="0"/>
          <w:color w:val="000000"/>
          <w:spacing w:val="0"/>
          <w:sz w:val="31"/>
          <w:szCs w:val="31"/>
          <w:shd w:val="clear" w:fill="FFFFFF"/>
        </w:rPr>
        <w:t>万元、公务员医疗补助缴费</w:t>
      </w:r>
      <w:r>
        <w:rPr>
          <w:rFonts w:hint="eastAsia" w:ascii="仿宋_GB2312" w:hAnsi="宋体" w:eastAsia="仿宋_GB2312" w:cs="仿宋_GB2312"/>
          <w:i w:val="0"/>
          <w:caps w:val="0"/>
          <w:color w:val="000000"/>
          <w:spacing w:val="0"/>
          <w:sz w:val="31"/>
          <w:szCs w:val="31"/>
          <w:shd w:val="clear" w:fill="FFFFFF"/>
        </w:rPr>
        <w:t>47.9</w:t>
      </w:r>
      <w:r>
        <w:rPr>
          <w:rFonts w:ascii="仿宋_GB2312" w:hAnsi="宋体" w:eastAsia="仿宋_GB2312" w:cs="仿宋_GB2312"/>
          <w:i w:val="0"/>
          <w:caps w:val="0"/>
          <w:color w:val="000000"/>
          <w:spacing w:val="0"/>
          <w:sz w:val="31"/>
          <w:szCs w:val="31"/>
          <w:shd w:val="clear" w:fill="FFFFFF"/>
        </w:rPr>
        <w:t>万元、其他社会保障缴费</w:t>
      </w:r>
      <w:r>
        <w:rPr>
          <w:rFonts w:hint="eastAsia" w:ascii="仿宋_GB2312" w:hAnsi="宋体" w:eastAsia="仿宋_GB2312" w:cs="仿宋_GB2312"/>
          <w:i w:val="0"/>
          <w:caps w:val="0"/>
          <w:color w:val="000000"/>
          <w:spacing w:val="0"/>
          <w:sz w:val="31"/>
          <w:szCs w:val="31"/>
          <w:shd w:val="clear" w:fill="FFFFFF"/>
        </w:rPr>
        <w:t>1.81</w:t>
      </w:r>
      <w:r>
        <w:rPr>
          <w:rFonts w:ascii="仿宋_GB2312" w:hAnsi="宋体" w:eastAsia="仿宋_GB2312" w:cs="仿宋_GB2312"/>
          <w:i w:val="0"/>
          <w:caps w:val="0"/>
          <w:color w:val="000000"/>
          <w:spacing w:val="0"/>
          <w:sz w:val="31"/>
          <w:szCs w:val="31"/>
          <w:shd w:val="clear" w:fill="FFFFFF"/>
        </w:rPr>
        <w:t>万元、住房公积金</w:t>
      </w:r>
      <w:r>
        <w:rPr>
          <w:rFonts w:hint="eastAsia" w:ascii="仿宋_GB2312" w:hAnsi="宋体" w:eastAsia="仿宋_GB2312" w:cs="仿宋_GB2312"/>
          <w:i w:val="0"/>
          <w:caps w:val="0"/>
          <w:color w:val="000000"/>
          <w:spacing w:val="0"/>
          <w:sz w:val="31"/>
          <w:szCs w:val="31"/>
          <w:shd w:val="clear" w:fill="FFFFFF"/>
        </w:rPr>
        <w:t>120.39</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w:t>
      </w:r>
    </w:p>
    <w:p>
      <w:pPr>
        <w:numPr>
          <w:ilvl w:val="0"/>
          <w:numId w:val="4"/>
        </w:numPr>
        <w:autoSpaceDE w:val="0"/>
        <w:autoSpaceDN w:val="0"/>
        <w:adjustRightInd w:val="0"/>
        <w:spacing w:line="560" w:lineRule="exact"/>
        <w:ind w:left="0" w:leftChars="0"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商品和服务支出支出308.03万元，完成年初预算</w:t>
      </w:r>
      <w:r>
        <w:rPr>
          <w:rFonts w:hint="eastAsia" w:ascii="仿宋_GB2312" w:eastAsia="仿宋_GB2312"/>
          <w:kern w:val="0"/>
          <w:sz w:val="32"/>
          <w:szCs w:val="32"/>
          <w:lang w:val="en-US" w:eastAsia="zh-CN"/>
        </w:rPr>
        <w:t>89.91</w:t>
      </w:r>
      <w:r>
        <w:rPr>
          <w:rFonts w:hint="eastAsia" w:ascii="仿宋_GB2312" w:eastAsia="仿宋_GB2312"/>
          <w:bCs/>
          <w:kern w:val="0"/>
          <w:sz w:val="32"/>
          <w:szCs w:val="32"/>
        </w:rPr>
        <w:t>%。预决算差异原因：财政国库指标限额影响，部分公用经费未能支付。</w:t>
      </w:r>
    </w:p>
    <w:p>
      <w:pPr>
        <w:numPr>
          <w:ilvl w:val="0"/>
          <w:numId w:val="0"/>
        </w:numPr>
        <w:autoSpaceDE w:val="0"/>
        <w:autoSpaceDN w:val="0"/>
        <w:adjustRightInd w:val="0"/>
        <w:spacing w:line="560" w:lineRule="exact"/>
        <w:ind w:firstLine="620" w:firstLineChars="200"/>
        <w:jc w:val="left"/>
        <w:rPr>
          <w:rFonts w:ascii="仿宋_GB2312" w:hAnsi="宋体" w:eastAsia="仿宋_GB2312" w:cs="仿宋_GB2312"/>
          <w:i w:val="0"/>
          <w:caps w:val="0"/>
          <w:color w:val="000000"/>
          <w:spacing w:val="0"/>
          <w:sz w:val="31"/>
          <w:szCs w:val="31"/>
          <w:shd w:val="clear" w:fill="FFFFFF"/>
        </w:rPr>
      </w:pPr>
      <w:r>
        <w:rPr>
          <w:rFonts w:ascii="仿宋_GB2312" w:hAnsi="宋体" w:eastAsia="仿宋_GB2312" w:cs="仿宋_GB2312"/>
          <w:i w:val="0"/>
          <w:caps w:val="0"/>
          <w:color w:val="000000"/>
          <w:spacing w:val="0"/>
          <w:sz w:val="31"/>
          <w:szCs w:val="31"/>
          <w:shd w:val="clear" w:fill="FFFFFF"/>
        </w:rPr>
        <w:t>支出内容主要包括：办公费</w:t>
      </w:r>
      <w:r>
        <w:rPr>
          <w:rFonts w:hint="eastAsia" w:ascii="仿宋_GB2312" w:hAnsi="宋体" w:eastAsia="仿宋_GB2312" w:cs="仿宋_GB2312"/>
          <w:i w:val="0"/>
          <w:caps w:val="0"/>
          <w:color w:val="000000"/>
          <w:spacing w:val="0"/>
          <w:sz w:val="31"/>
          <w:szCs w:val="31"/>
          <w:shd w:val="clear" w:fill="FFFFFF"/>
        </w:rPr>
        <w:t>20.2</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印刷费</w:t>
      </w:r>
      <w:r>
        <w:rPr>
          <w:rFonts w:hint="eastAsia" w:ascii="仿宋_GB2312" w:hAnsi="宋体" w:eastAsia="仿宋_GB2312" w:cs="仿宋_GB2312"/>
          <w:i w:val="0"/>
          <w:caps w:val="0"/>
          <w:color w:val="000000"/>
          <w:spacing w:val="0"/>
          <w:sz w:val="31"/>
          <w:szCs w:val="31"/>
          <w:shd w:val="clear" w:fill="FFFFFF"/>
        </w:rPr>
        <w:t>3.85</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咨询费2.53万元、水费3.29万元、</w:t>
      </w:r>
      <w:r>
        <w:rPr>
          <w:rFonts w:ascii="仿宋_GB2312" w:hAnsi="宋体" w:eastAsia="仿宋_GB2312" w:cs="仿宋_GB2312"/>
          <w:i w:val="0"/>
          <w:caps w:val="0"/>
          <w:color w:val="000000"/>
          <w:spacing w:val="0"/>
          <w:sz w:val="31"/>
          <w:szCs w:val="31"/>
          <w:shd w:val="clear" w:fill="FFFFFF"/>
        </w:rPr>
        <w:t>电费</w:t>
      </w:r>
      <w:r>
        <w:rPr>
          <w:rFonts w:hint="eastAsia" w:ascii="仿宋_GB2312" w:hAnsi="宋体" w:eastAsia="仿宋_GB2312" w:cs="仿宋_GB2312"/>
          <w:i w:val="0"/>
          <w:caps w:val="0"/>
          <w:color w:val="000000"/>
          <w:spacing w:val="0"/>
          <w:sz w:val="31"/>
          <w:szCs w:val="31"/>
          <w:shd w:val="clear" w:fill="FFFFFF"/>
        </w:rPr>
        <w:t>19.01</w:t>
      </w:r>
      <w:r>
        <w:rPr>
          <w:rFonts w:ascii="仿宋_GB2312" w:hAnsi="宋体" w:eastAsia="仿宋_GB2312" w:cs="仿宋_GB2312"/>
          <w:i w:val="0"/>
          <w:caps w:val="0"/>
          <w:color w:val="000000"/>
          <w:spacing w:val="0"/>
          <w:sz w:val="31"/>
          <w:szCs w:val="31"/>
          <w:shd w:val="clear" w:fill="FFFFFF"/>
        </w:rPr>
        <w:t>万元、邮电费</w:t>
      </w:r>
      <w:r>
        <w:rPr>
          <w:rFonts w:hint="eastAsia" w:ascii="仿宋_GB2312" w:hAnsi="宋体" w:eastAsia="仿宋_GB2312" w:cs="仿宋_GB2312"/>
          <w:i w:val="0"/>
          <w:caps w:val="0"/>
          <w:color w:val="000000"/>
          <w:spacing w:val="0"/>
          <w:sz w:val="31"/>
          <w:szCs w:val="31"/>
          <w:shd w:val="clear" w:fill="FFFFFF"/>
        </w:rPr>
        <w:t>21.99</w:t>
      </w:r>
      <w:r>
        <w:rPr>
          <w:rFonts w:ascii="仿宋_GB2312" w:hAnsi="宋体" w:eastAsia="仿宋_GB2312" w:cs="仿宋_GB2312"/>
          <w:i w:val="0"/>
          <w:caps w:val="0"/>
          <w:color w:val="000000"/>
          <w:spacing w:val="0"/>
          <w:sz w:val="31"/>
          <w:szCs w:val="31"/>
          <w:shd w:val="clear" w:fill="FFFFFF"/>
        </w:rPr>
        <w:t>万元、物业管理费</w:t>
      </w:r>
      <w:r>
        <w:rPr>
          <w:rFonts w:hint="eastAsia" w:ascii="仿宋_GB2312" w:hAnsi="宋体" w:eastAsia="仿宋_GB2312" w:cs="仿宋_GB2312"/>
          <w:i w:val="0"/>
          <w:caps w:val="0"/>
          <w:color w:val="000000"/>
          <w:spacing w:val="0"/>
          <w:sz w:val="31"/>
          <w:szCs w:val="31"/>
          <w:shd w:val="clear" w:fill="FFFFFF"/>
        </w:rPr>
        <w:t>2.2</w:t>
      </w:r>
      <w:r>
        <w:rPr>
          <w:rFonts w:ascii="仿宋_GB2312" w:hAnsi="宋体" w:eastAsia="仿宋_GB2312" w:cs="仿宋_GB2312"/>
          <w:i w:val="0"/>
          <w:caps w:val="0"/>
          <w:color w:val="000000"/>
          <w:spacing w:val="0"/>
          <w:sz w:val="31"/>
          <w:szCs w:val="31"/>
          <w:shd w:val="clear" w:fill="FFFFFF"/>
        </w:rPr>
        <w:t>万元、差旅费</w:t>
      </w:r>
      <w:r>
        <w:rPr>
          <w:rFonts w:hint="eastAsia" w:ascii="仿宋_GB2312" w:hAnsi="宋体" w:eastAsia="仿宋_GB2312" w:cs="仿宋_GB2312"/>
          <w:i w:val="0"/>
          <w:caps w:val="0"/>
          <w:color w:val="000000"/>
          <w:spacing w:val="0"/>
          <w:sz w:val="31"/>
          <w:szCs w:val="31"/>
          <w:shd w:val="clear" w:fill="FFFFFF"/>
        </w:rPr>
        <w:t>43.44</w:t>
      </w:r>
      <w:r>
        <w:rPr>
          <w:rFonts w:ascii="仿宋_GB2312" w:hAnsi="宋体" w:eastAsia="仿宋_GB2312" w:cs="仿宋_GB2312"/>
          <w:i w:val="0"/>
          <w:caps w:val="0"/>
          <w:color w:val="000000"/>
          <w:spacing w:val="0"/>
          <w:sz w:val="31"/>
          <w:szCs w:val="31"/>
          <w:shd w:val="clear" w:fill="FFFFFF"/>
        </w:rPr>
        <w:t>万元、维修（护）费</w:t>
      </w:r>
      <w:r>
        <w:rPr>
          <w:rFonts w:hint="eastAsia" w:ascii="仿宋_GB2312" w:hAnsi="宋体" w:eastAsia="仿宋_GB2312" w:cs="仿宋_GB2312"/>
          <w:i w:val="0"/>
          <w:caps w:val="0"/>
          <w:color w:val="000000"/>
          <w:spacing w:val="0"/>
          <w:sz w:val="31"/>
          <w:szCs w:val="31"/>
          <w:shd w:val="clear" w:fill="FFFFFF"/>
        </w:rPr>
        <w:t>23.1</w:t>
      </w:r>
      <w:r>
        <w:rPr>
          <w:rFonts w:ascii="仿宋_GB2312" w:hAnsi="宋体" w:eastAsia="仿宋_GB2312" w:cs="仿宋_GB2312"/>
          <w:i w:val="0"/>
          <w:caps w:val="0"/>
          <w:color w:val="000000"/>
          <w:spacing w:val="0"/>
          <w:sz w:val="31"/>
          <w:szCs w:val="31"/>
          <w:shd w:val="clear" w:fill="FFFFFF"/>
        </w:rPr>
        <w:t>万元、培训费</w:t>
      </w:r>
      <w:r>
        <w:rPr>
          <w:rFonts w:hint="eastAsia" w:ascii="仿宋_GB2312" w:hAnsi="宋体" w:eastAsia="仿宋_GB2312" w:cs="仿宋_GB2312"/>
          <w:i w:val="0"/>
          <w:caps w:val="0"/>
          <w:color w:val="000000"/>
          <w:spacing w:val="0"/>
          <w:sz w:val="31"/>
          <w:szCs w:val="31"/>
          <w:shd w:val="clear" w:fill="FFFFFF"/>
        </w:rPr>
        <w:t>2.65</w:t>
      </w:r>
      <w:r>
        <w:rPr>
          <w:rFonts w:ascii="仿宋_GB2312" w:hAnsi="宋体" w:eastAsia="仿宋_GB2312" w:cs="仿宋_GB2312"/>
          <w:i w:val="0"/>
          <w:caps w:val="0"/>
          <w:color w:val="000000"/>
          <w:spacing w:val="0"/>
          <w:sz w:val="31"/>
          <w:szCs w:val="31"/>
          <w:shd w:val="clear" w:fill="FFFFFF"/>
        </w:rPr>
        <w:t>万元、公务接待费</w:t>
      </w:r>
      <w:r>
        <w:rPr>
          <w:rFonts w:hint="eastAsia" w:ascii="仿宋_GB2312" w:hAnsi="宋体" w:eastAsia="仿宋_GB2312" w:cs="仿宋_GB2312"/>
          <w:i w:val="0"/>
          <w:caps w:val="0"/>
          <w:color w:val="000000"/>
          <w:spacing w:val="0"/>
          <w:sz w:val="31"/>
          <w:szCs w:val="31"/>
          <w:shd w:val="clear" w:fill="FFFFFF"/>
        </w:rPr>
        <w:t>1.05</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专用</w:t>
      </w:r>
      <w:r>
        <w:rPr>
          <w:rFonts w:ascii="仿宋_GB2312" w:hAnsi="宋体" w:eastAsia="仿宋_GB2312" w:cs="仿宋_GB2312"/>
          <w:i w:val="0"/>
          <w:caps w:val="0"/>
          <w:color w:val="000000"/>
          <w:spacing w:val="0"/>
          <w:sz w:val="31"/>
          <w:szCs w:val="31"/>
          <w:shd w:val="clear" w:fill="FFFFFF"/>
        </w:rPr>
        <w:t>材料费</w:t>
      </w:r>
      <w:r>
        <w:rPr>
          <w:rFonts w:hint="eastAsia" w:ascii="仿宋_GB2312" w:hAnsi="宋体" w:eastAsia="仿宋_GB2312" w:cs="仿宋_GB2312"/>
          <w:i w:val="0"/>
          <w:caps w:val="0"/>
          <w:color w:val="000000"/>
          <w:spacing w:val="0"/>
          <w:sz w:val="31"/>
          <w:szCs w:val="31"/>
          <w:shd w:val="clear" w:fill="FFFFFF"/>
        </w:rPr>
        <w:t>0.1</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劳务费15.54万元、</w:t>
      </w:r>
      <w:r>
        <w:rPr>
          <w:rFonts w:ascii="仿宋_GB2312" w:hAnsi="宋体" w:eastAsia="仿宋_GB2312" w:cs="仿宋_GB2312"/>
          <w:i w:val="0"/>
          <w:caps w:val="0"/>
          <w:color w:val="000000"/>
          <w:spacing w:val="0"/>
          <w:sz w:val="31"/>
          <w:szCs w:val="31"/>
          <w:shd w:val="clear" w:fill="FFFFFF"/>
        </w:rPr>
        <w:t>工会经费</w:t>
      </w:r>
      <w:r>
        <w:rPr>
          <w:rFonts w:hint="eastAsia" w:ascii="仿宋_GB2312" w:hAnsi="宋体" w:eastAsia="仿宋_GB2312" w:cs="仿宋_GB2312"/>
          <w:i w:val="0"/>
          <w:caps w:val="0"/>
          <w:color w:val="000000"/>
          <w:spacing w:val="0"/>
          <w:sz w:val="31"/>
          <w:szCs w:val="31"/>
          <w:shd w:val="clear" w:fill="FFFFFF"/>
        </w:rPr>
        <w:t>26.1</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福利费7.7万元、</w:t>
      </w:r>
      <w:r>
        <w:rPr>
          <w:rFonts w:ascii="仿宋_GB2312" w:hAnsi="宋体" w:eastAsia="仿宋_GB2312" w:cs="仿宋_GB2312"/>
          <w:i w:val="0"/>
          <w:caps w:val="0"/>
          <w:color w:val="000000"/>
          <w:spacing w:val="0"/>
          <w:sz w:val="31"/>
          <w:szCs w:val="31"/>
          <w:shd w:val="clear" w:fill="FFFFFF"/>
        </w:rPr>
        <w:t>其他交通费用</w:t>
      </w:r>
      <w:r>
        <w:rPr>
          <w:rFonts w:hint="eastAsia" w:ascii="仿宋_GB2312" w:hAnsi="宋体" w:eastAsia="仿宋_GB2312" w:cs="仿宋_GB2312"/>
          <w:i w:val="0"/>
          <w:caps w:val="0"/>
          <w:color w:val="000000"/>
          <w:spacing w:val="0"/>
          <w:sz w:val="31"/>
          <w:szCs w:val="31"/>
          <w:shd w:val="clear" w:fill="FFFFFF"/>
        </w:rPr>
        <w:t>107.37</w:t>
      </w:r>
      <w:r>
        <w:rPr>
          <w:rFonts w:ascii="仿宋_GB2312" w:hAnsi="宋体" w:eastAsia="仿宋_GB2312" w:cs="仿宋_GB2312"/>
          <w:i w:val="0"/>
          <w:caps w:val="0"/>
          <w:color w:val="000000"/>
          <w:spacing w:val="0"/>
          <w:sz w:val="31"/>
          <w:szCs w:val="31"/>
          <w:shd w:val="clear" w:fill="FFFFFF"/>
        </w:rPr>
        <w:t>万元、</w:t>
      </w:r>
      <w:r>
        <w:rPr>
          <w:rFonts w:hint="eastAsia" w:ascii="仿宋_GB2312" w:hAnsi="宋体" w:eastAsia="仿宋_GB2312" w:cs="仿宋_GB2312"/>
          <w:i w:val="0"/>
          <w:caps w:val="0"/>
          <w:color w:val="000000"/>
          <w:spacing w:val="0"/>
          <w:sz w:val="31"/>
          <w:szCs w:val="31"/>
          <w:shd w:val="clear" w:fill="FFFFFF"/>
          <w:lang w:eastAsia="zh-CN"/>
        </w:rPr>
        <w:t>其他商品和服务支出7.91</w:t>
      </w:r>
      <w:r>
        <w:rPr>
          <w:rFonts w:ascii="仿宋_GB2312" w:hAnsi="宋体" w:eastAsia="仿宋_GB2312" w:cs="仿宋_GB2312"/>
          <w:i w:val="0"/>
          <w:caps w:val="0"/>
          <w:color w:val="000000"/>
          <w:spacing w:val="0"/>
          <w:sz w:val="31"/>
          <w:szCs w:val="31"/>
          <w:shd w:val="clear" w:fill="FFFFFF"/>
        </w:rPr>
        <w:t>万元。</w:t>
      </w:r>
    </w:p>
    <w:p>
      <w:pPr>
        <w:numPr>
          <w:ilvl w:val="0"/>
          <w:numId w:val="4"/>
        </w:numPr>
        <w:autoSpaceDE w:val="0"/>
        <w:autoSpaceDN w:val="0"/>
        <w:adjustRightInd w:val="0"/>
        <w:spacing w:line="560" w:lineRule="exact"/>
        <w:ind w:left="0" w:leftChars="0" w:firstLine="620" w:firstLineChars="200"/>
        <w:jc w:val="left"/>
        <w:rPr>
          <w:rFonts w:hint="eastAsia" w:ascii="仿宋_GB2312" w:hAnsi="宋体" w:eastAsia="仿宋_GB2312" w:cs="仿宋_GB2312"/>
          <w:i w:val="0"/>
          <w:caps w:val="0"/>
          <w:color w:val="000000"/>
          <w:spacing w:val="0"/>
          <w:sz w:val="31"/>
          <w:szCs w:val="31"/>
          <w:shd w:val="clear" w:fill="FFFFFF"/>
          <w:lang w:eastAsia="zh-CN"/>
        </w:rPr>
      </w:pPr>
      <w:r>
        <w:rPr>
          <w:rFonts w:ascii="仿宋_GB2312" w:hAnsi="宋体" w:eastAsia="仿宋_GB2312" w:cs="仿宋_GB2312"/>
          <w:i w:val="0"/>
          <w:caps w:val="0"/>
          <w:color w:val="000000"/>
          <w:spacing w:val="0"/>
          <w:sz w:val="31"/>
          <w:szCs w:val="31"/>
          <w:shd w:val="clear" w:fill="FFFFFF"/>
        </w:rPr>
        <w:t>对</w:t>
      </w:r>
      <w:r>
        <w:rPr>
          <w:rFonts w:hint="eastAsia" w:ascii="仿宋_GB2312" w:hAnsi="宋体" w:eastAsia="仿宋_GB2312" w:cs="仿宋_GB2312"/>
          <w:i w:val="0"/>
          <w:caps w:val="0"/>
          <w:color w:val="000000"/>
          <w:spacing w:val="0"/>
          <w:sz w:val="31"/>
          <w:szCs w:val="31"/>
          <w:shd w:val="clear" w:fill="FFFFFF"/>
          <w:lang w:eastAsia="zh-CN"/>
        </w:rPr>
        <w:t>个人和家庭的补助43.05万元，完成年初预算</w:t>
      </w:r>
      <w:r>
        <w:rPr>
          <w:rFonts w:hint="eastAsia" w:ascii="仿宋_GB2312" w:hAnsi="宋体" w:eastAsia="仿宋_GB2312" w:cs="仿宋_GB2312"/>
          <w:i w:val="0"/>
          <w:caps w:val="0"/>
          <w:color w:val="000000"/>
          <w:spacing w:val="0"/>
          <w:sz w:val="31"/>
          <w:szCs w:val="31"/>
          <w:shd w:val="clear" w:fill="FFFFFF"/>
          <w:lang w:val="en-US" w:eastAsia="zh-CN"/>
        </w:rPr>
        <w:t>374.35</w:t>
      </w:r>
      <w:r>
        <w:rPr>
          <w:rFonts w:hint="eastAsia" w:ascii="仿宋_GB2312" w:hAnsi="宋体" w:eastAsia="仿宋_GB2312" w:cs="仿宋_GB2312"/>
          <w:i w:val="0"/>
          <w:caps w:val="0"/>
          <w:color w:val="000000"/>
          <w:spacing w:val="0"/>
          <w:sz w:val="31"/>
          <w:szCs w:val="31"/>
          <w:shd w:val="clear" w:fill="FFFFFF"/>
          <w:lang w:eastAsia="zh-CN"/>
        </w:rPr>
        <w:t>%。预决算差异原因：一是离退休人员变动导致退休人员公用经费、退休费、离退休生活补助拨款数增加;二是部分人员死亡拨付丧葬抚恤金。</w:t>
      </w:r>
    </w:p>
    <w:p>
      <w:pPr>
        <w:numPr>
          <w:ilvl w:val="0"/>
          <w:numId w:val="0"/>
        </w:numPr>
        <w:autoSpaceDE w:val="0"/>
        <w:autoSpaceDN w:val="0"/>
        <w:adjustRightInd w:val="0"/>
        <w:spacing w:line="560" w:lineRule="exact"/>
        <w:ind w:firstLine="620" w:firstLineChars="200"/>
        <w:jc w:val="left"/>
        <w:rPr>
          <w:rFonts w:hint="eastAsia" w:ascii="仿宋_GB2312" w:hAnsi="宋体" w:eastAsia="仿宋_GB2312" w:cs="仿宋_GB2312"/>
          <w:i w:val="0"/>
          <w:caps w:val="0"/>
          <w:color w:val="000000"/>
          <w:spacing w:val="0"/>
          <w:sz w:val="31"/>
          <w:szCs w:val="31"/>
          <w:shd w:val="clear" w:fill="FFFFFF"/>
        </w:rPr>
      </w:pPr>
      <w:r>
        <w:rPr>
          <w:rFonts w:ascii="仿宋_GB2312" w:hAnsi="宋体" w:eastAsia="仿宋_GB2312" w:cs="仿宋_GB2312"/>
          <w:i w:val="0"/>
          <w:caps w:val="0"/>
          <w:color w:val="000000"/>
          <w:spacing w:val="0"/>
          <w:sz w:val="31"/>
          <w:szCs w:val="31"/>
          <w:shd w:val="clear" w:fill="FFFFFF"/>
        </w:rPr>
        <w:t>支出内容主要包括：</w:t>
      </w:r>
      <w:r>
        <w:rPr>
          <w:rFonts w:hint="eastAsia" w:ascii="仿宋_GB2312" w:eastAsia="仿宋_GB2312"/>
          <w:kern w:val="0"/>
          <w:sz w:val="32"/>
          <w:szCs w:val="32"/>
          <w:lang w:eastAsia="zh-CN"/>
        </w:rPr>
        <w:t>退休费42.14万元、救济费0.92万元。</w:t>
      </w:r>
    </w:p>
    <w:p>
      <w:pPr>
        <w:autoSpaceDE w:val="0"/>
        <w:autoSpaceDN w:val="0"/>
        <w:adjustRightInd w:val="0"/>
        <w:spacing w:line="560" w:lineRule="exact"/>
        <w:ind w:firstLine="620" w:firstLineChars="200"/>
        <w:jc w:val="left"/>
        <w:rPr>
          <w:rFonts w:hint="eastAsia" w:ascii="仿宋_GB2312" w:hAnsi="宋体"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1"/>
          <w:szCs w:val="31"/>
          <w:shd w:val="clear" w:fill="FFFFFF"/>
          <w:lang w:eastAsia="zh-CN"/>
        </w:rPr>
        <w:t>（四）</w:t>
      </w:r>
      <w:r>
        <w:rPr>
          <w:rFonts w:hint="eastAsia" w:ascii="仿宋_GB2312" w:hAnsi="宋体" w:eastAsia="仿宋_GB2312" w:cs="仿宋_GB2312"/>
          <w:i w:val="0"/>
          <w:caps w:val="0"/>
          <w:color w:val="000000"/>
          <w:spacing w:val="0"/>
          <w:sz w:val="31"/>
          <w:szCs w:val="31"/>
          <w:shd w:val="clear" w:fill="FFFFFF"/>
        </w:rPr>
        <w:t>资本性支出</w:t>
      </w:r>
      <w:r>
        <w:rPr>
          <w:rFonts w:hint="eastAsia" w:ascii="仿宋_GB2312" w:hAnsi="宋体" w:eastAsia="仿宋_GB2312" w:cs="仿宋_GB2312"/>
          <w:i w:val="0"/>
          <w:caps w:val="0"/>
          <w:color w:val="000000"/>
          <w:spacing w:val="0"/>
          <w:sz w:val="31"/>
          <w:szCs w:val="31"/>
          <w:shd w:val="clear" w:fill="FFFFFF"/>
          <w:lang w:val="en-US" w:eastAsia="zh-CN"/>
        </w:rPr>
        <w:t>0</w:t>
      </w:r>
      <w:r>
        <w:rPr>
          <w:rFonts w:hint="eastAsia" w:ascii="仿宋_GB2312" w:hAnsi="宋体" w:eastAsia="仿宋_GB2312" w:cs="仿宋_GB2312"/>
          <w:i w:val="0"/>
          <w:caps w:val="0"/>
          <w:color w:val="000000"/>
          <w:spacing w:val="0"/>
          <w:sz w:val="31"/>
          <w:szCs w:val="31"/>
          <w:shd w:val="clear" w:fill="FFFFFF"/>
        </w:rPr>
        <w:t>万元，无年初预算。</w:t>
      </w:r>
    </w:p>
    <w:p>
      <w:pPr>
        <w:autoSpaceDE w:val="0"/>
        <w:autoSpaceDN w:val="0"/>
        <w:adjustRightInd w:val="0"/>
        <w:spacing w:line="560" w:lineRule="exact"/>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柳州市柳北区人民法院</w:t>
      </w:r>
      <w:r>
        <w:rPr>
          <w:rFonts w:hint="eastAsia" w:ascii="仿宋_GB2312" w:eastAsia="仿宋_GB2312" w:cs="仿宋_GB2312"/>
          <w:kern w:val="0"/>
          <w:sz w:val="32"/>
          <w:szCs w:val="32"/>
        </w:rPr>
        <w:t>202</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柳州市柳北区人民法院</w:t>
      </w:r>
      <w:r>
        <w:rPr>
          <w:rFonts w:hint="eastAsia" w:ascii="仿宋_GB2312" w:eastAsia="仿宋_GB2312" w:cs="仿宋_GB2312"/>
          <w:kern w:val="0"/>
          <w:sz w:val="32"/>
          <w:szCs w:val="32"/>
        </w:rPr>
        <w:t>202</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年度没有国有资本经营预算财政拨款收入，也没有国有资本经营预算财政拨款安排的支出，故无数据情况说明。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1.05</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21.21</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0.2</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eastAsia="zh-CN"/>
        </w:rPr>
        <w:t>公务接待增加</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1.05</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cs="仿宋_GB2312"/>
          <w:kern w:val="0"/>
          <w:sz w:val="32"/>
          <w:szCs w:val="32"/>
          <w:lang w:eastAsia="zh-CN"/>
        </w:rPr>
        <w:t>无</w:t>
      </w:r>
      <w:r>
        <w:rPr>
          <w:rFonts w:hint="eastAsia" w:ascii="仿宋_GB2312" w:eastAsia="仿宋_GB2312" w:cs="仿宋_GB2312"/>
          <w:kern w:val="0"/>
          <w:sz w:val="32"/>
          <w:szCs w:val="32"/>
        </w:rPr>
        <w:t>因公出国（境）费支出</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cs="仿宋_GB2312"/>
          <w:kern w:val="0"/>
          <w:sz w:val="32"/>
          <w:szCs w:val="32"/>
          <w:lang w:eastAsia="zh-CN"/>
        </w:rPr>
        <w:t>无</w:t>
      </w:r>
      <w:r>
        <w:rPr>
          <w:rFonts w:hint="eastAsia" w:ascii="仿宋_GB2312" w:eastAsia="仿宋_GB2312" w:cs="仿宋_GB2312"/>
          <w:kern w:val="0"/>
          <w:sz w:val="32"/>
          <w:szCs w:val="32"/>
        </w:rPr>
        <w:t>公务用车购置及运行费支出</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1.05</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21.21</w:t>
      </w:r>
      <w:r>
        <w:rPr>
          <w:rFonts w:hint="eastAsia" w:ascii="仿宋_GB2312" w:eastAsia="仿宋_GB2312" w:cs="仿宋_GB2312"/>
          <w:kern w:val="0"/>
          <w:sz w:val="32"/>
          <w:szCs w:val="32"/>
        </w:rPr>
        <w:t>%，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0.2</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公务接待增加</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7</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64</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次。主要用于安排接待上级部门及兄弟法院有关领导来我市法院调研、考察等公务活动的接待费用以及开展业务活动需要开支的公务接待费用</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其中：</w:t>
      </w:r>
      <w:r>
        <w:rPr>
          <w:rFonts w:hint="eastAsia" w:ascii="仿宋_GB2312" w:eastAsia="仿宋_GB2312" w:cs="仿宋_GB2312"/>
          <w:kern w:val="0"/>
          <w:sz w:val="32"/>
          <w:szCs w:val="32"/>
          <w:lang w:eastAsia="zh-CN"/>
        </w:rPr>
        <w:t>接待</w:t>
      </w:r>
      <w:r>
        <w:rPr>
          <w:rFonts w:hint="eastAsia" w:ascii="仿宋_GB2312" w:eastAsia="仿宋_GB2312" w:cs="仿宋_GB2312"/>
          <w:kern w:val="0"/>
          <w:sz w:val="32"/>
          <w:szCs w:val="32"/>
        </w:rPr>
        <w:t>高院专委8人</w:t>
      </w:r>
      <w:r>
        <w:rPr>
          <w:rFonts w:hint="eastAsia" w:ascii="仿宋_GB2312" w:eastAsia="仿宋_GB2312" w:cs="仿宋_GB2312"/>
          <w:kern w:val="0"/>
          <w:sz w:val="32"/>
          <w:szCs w:val="32"/>
          <w:lang w:eastAsia="zh-CN"/>
        </w:rPr>
        <w:t>次，忻城法院</w:t>
      </w:r>
      <w:r>
        <w:rPr>
          <w:rFonts w:hint="eastAsia" w:ascii="仿宋_GB2312" w:eastAsia="仿宋_GB2312" w:cs="仿宋_GB2312"/>
          <w:kern w:val="0"/>
          <w:sz w:val="32"/>
          <w:szCs w:val="32"/>
          <w:lang w:val="en-US" w:eastAsia="zh-CN"/>
        </w:rPr>
        <w:t>9人次，桂林市中级人民</w:t>
      </w:r>
      <w:bookmarkStart w:id="0" w:name="_GoBack"/>
      <w:bookmarkEnd w:id="0"/>
      <w:r>
        <w:rPr>
          <w:rFonts w:hint="eastAsia" w:ascii="仿宋_GB2312" w:eastAsia="仿宋_GB2312" w:cs="仿宋_GB2312"/>
          <w:kern w:val="0"/>
          <w:sz w:val="32"/>
          <w:szCs w:val="32"/>
          <w:lang w:val="en-US" w:eastAsia="zh-CN"/>
        </w:rPr>
        <w:t>法院27人次，《中国审判》杂志社、高院宣传处、鹿寨法院9人次，北海检察院、法院11人次。</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308.03</w:t>
      </w:r>
      <w:r>
        <w:rPr>
          <w:rFonts w:hint="eastAsia" w:ascii="仿宋_GB2312" w:eastAsia="仿宋_GB2312" w:cs="仿宋_GB2312"/>
          <w:kern w:val="0"/>
          <w:sz w:val="32"/>
          <w:szCs w:val="32"/>
        </w:rPr>
        <w:t>万元（与部门决算中行政单位和参照公务员法管理事业单位一般公共预算财政拨款基本支出中公用经费之和保持一致），比年初预算数减少</w:t>
      </w:r>
      <w:r>
        <w:rPr>
          <w:rFonts w:hint="eastAsia" w:ascii="仿宋_GB2312" w:eastAsia="仿宋_GB2312" w:cs="仿宋_GB2312"/>
          <w:kern w:val="0"/>
          <w:sz w:val="32"/>
          <w:szCs w:val="32"/>
          <w:lang w:val="en-US" w:eastAsia="zh-CN"/>
        </w:rPr>
        <w:t>34.57</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10.09</w:t>
      </w:r>
      <w:r>
        <w:rPr>
          <w:rFonts w:hint="eastAsia" w:ascii="仿宋_GB2312" w:eastAsia="仿宋_GB2312" w:cs="仿宋_GB2312"/>
          <w:kern w:val="0"/>
          <w:sz w:val="32"/>
          <w:szCs w:val="32"/>
        </w:rPr>
        <w:t xml:space="preserve"> %。主要原因是：</w:t>
      </w:r>
      <w:r>
        <w:rPr>
          <w:rFonts w:hint="eastAsia" w:ascii="仿宋_GB2312" w:eastAsia="仿宋_GB2312"/>
          <w:kern w:val="0"/>
          <w:sz w:val="32"/>
          <w:szCs w:val="32"/>
        </w:rPr>
        <w:t>财政国库指标限额影响，我院部分经费未能支付。</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10.21</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3.21</w:t>
      </w:r>
      <w:r>
        <w:rPr>
          <w:rFonts w:hint="eastAsia" w:ascii="仿宋_GB2312" w:eastAsia="仿宋_GB2312" w:cs="仿宋_GB2312"/>
          <w:kern w:val="0"/>
          <w:sz w:val="32"/>
          <w:szCs w:val="32"/>
        </w:rPr>
        <w:t>%。主要原因是：落实过紧日子要求压减接待费、培训费、会议费支出。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879.71</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457.24</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422.46</w:t>
      </w:r>
      <w:r>
        <w:rPr>
          <w:rFonts w:hint="eastAsia" w:ascii="仿宋_GB2312" w:eastAsia="仿宋_GB2312" w:cs="仿宋_GB2312"/>
          <w:kern w:val="0"/>
          <w:sz w:val="32"/>
          <w:szCs w:val="32"/>
        </w:rPr>
        <w:t>万元，（口径参见部门决算F03表《机构运行信息表》中政府采购相关数据，并做好与</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 xml:space="preserve"> 年度政府采购信息统计报表中“政府采购资金情况表”有关数据的衔接）。授予中小企业合同金额</w:t>
      </w:r>
      <w:r>
        <w:rPr>
          <w:rFonts w:hint="eastAsia" w:ascii="仿宋_GB2312" w:eastAsia="仿宋_GB2312" w:cs="仿宋_GB2312"/>
          <w:kern w:val="0"/>
          <w:sz w:val="32"/>
          <w:szCs w:val="32"/>
          <w:lang w:val="en-US" w:eastAsia="zh-CN"/>
        </w:rPr>
        <w:t>304.76</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34.64</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304.76</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34.64</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13</w:t>
      </w:r>
      <w:r>
        <w:rPr>
          <w:rFonts w:hint="eastAsia" w:ascii="仿宋_GB2312" w:eastAsia="仿宋_GB2312" w:cs="仿宋_GB2312"/>
          <w:kern w:val="0"/>
          <w:sz w:val="32"/>
          <w:szCs w:val="32"/>
        </w:rPr>
        <w:t>辆，其中：执法执勤用车</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辆；</w:t>
      </w:r>
      <w:r>
        <w:rPr>
          <w:rFonts w:hint="eastAsia" w:ascii="仿宋_GB2312" w:eastAsia="仿宋_GB2312" w:cs="仿宋_GB2312"/>
          <w:kern w:val="0"/>
          <w:sz w:val="32"/>
          <w:szCs w:val="32"/>
          <w:lang w:eastAsia="zh-CN"/>
        </w:rPr>
        <w:t>机要通信用车</w:t>
      </w:r>
      <w:r>
        <w:rPr>
          <w:rFonts w:hint="eastAsia" w:ascii="仿宋_GB2312" w:eastAsia="仿宋_GB2312" w:cs="仿宋_GB2312"/>
          <w:kern w:val="0"/>
          <w:sz w:val="32"/>
          <w:szCs w:val="32"/>
          <w:lang w:val="en-US" w:eastAsia="zh-CN"/>
        </w:rPr>
        <w:t>2辆。</w:t>
      </w:r>
      <w:r>
        <w:rPr>
          <w:rFonts w:hint="eastAsia" w:ascii="仿宋_GB2312" w:eastAsia="仿宋_GB2312" w:cs="仿宋_GB2312"/>
          <w:kern w:val="0"/>
          <w:sz w:val="32"/>
          <w:szCs w:val="32"/>
        </w:rPr>
        <w:t>单价50万元以上通用设备</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台（套）</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r>
        <w:rPr>
          <w:rFonts w:hint="eastAsia" w:ascii="仿宋_GB2312" w:eastAsia="仿宋_GB2312" w:cs="仿宋_GB2312"/>
          <w:kern w:val="0"/>
          <w:sz w:val="32"/>
          <w:szCs w:val="32"/>
          <w:lang w:val="en-US" w:eastAsia="zh-CN"/>
        </w:rPr>
        <w:t>1258.7</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hAnsi="Times New Roman" w:eastAsia="仿宋_GB2312" w:cs="仿宋_GB2312"/>
          <w:kern w:val="0"/>
          <w:sz w:val="32"/>
          <w:szCs w:val="32"/>
          <w:lang w:val="en-US" w:eastAsia="zh-CN" w:bidi="ar-SA"/>
        </w:rPr>
        <w:t>安保、保洁、绿化外包服务费项目</w:t>
      </w:r>
      <w:r>
        <w:rPr>
          <w:rFonts w:hint="eastAsia" w:ascii="仿宋_GB2312" w:eastAsia="仿宋_GB2312" w:cs="仿宋_GB2312"/>
          <w:kern w:val="0"/>
          <w:sz w:val="32"/>
          <w:szCs w:val="32"/>
        </w:rPr>
        <w:t>、</w:t>
      </w:r>
      <w:r>
        <w:rPr>
          <w:rFonts w:hint="eastAsia" w:ascii="仿宋_GB2312" w:hAnsi="Times New Roman" w:eastAsia="仿宋_GB2312" w:cs="仿宋_GB2312"/>
          <w:kern w:val="0"/>
          <w:sz w:val="32"/>
          <w:szCs w:val="32"/>
          <w:lang w:val="en-US" w:eastAsia="zh-CN" w:bidi="ar-SA"/>
        </w:rPr>
        <w:t>聘用人员费用项目</w:t>
      </w:r>
      <w:r>
        <w:rPr>
          <w:rFonts w:hint="eastAsia" w:ascii="仿宋_GB2312" w:eastAsia="仿宋_GB2312" w:cs="仿宋_GB2312"/>
          <w:kern w:val="0"/>
          <w:sz w:val="32"/>
          <w:szCs w:val="32"/>
        </w:rPr>
        <w:t>等</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个预算项目支出开展绩效自评，共涉及资金</w:t>
      </w:r>
      <w:r>
        <w:rPr>
          <w:rFonts w:hint="eastAsia" w:ascii="仿宋_GB2312" w:eastAsia="仿宋_GB2312" w:cs="仿宋_GB2312"/>
          <w:kern w:val="0"/>
          <w:sz w:val="32"/>
          <w:szCs w:val="32"/>
          <w:lang w:val="en-US" w:eastAsia="zh-CN"/>
        </w:rPr>
        <w:t>989.29</w:t>
      </w:r>
      <w:r>
        <w:rPr>
          <w:rFonts w:hint="eastAsia" w:ascii="仿宋_GB2312" w:eastAsia="仿宋_GB2312" w:cs="仿宋_GB2312"/>
          <w:kern w:val="0"/>
          <w:sz w:val="32"/>
          <w:szCs w:val="32"/>
        </w:rPr>
        <w:t>万元，占政府性基金预算项目支出总额的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 xml:space="preserve"> %。</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lang w:val="en-US" w:eastAsia="zh-CN" w:bidi="ar-SA"/>
        </w:rPr>
      </w:pPr>
      <w:r>
        <w:rPr>
          <w:rFonts w:hint="eastAsia" w:ascii="仿宋_GB2312" w:eastAsia="仿宋_GB2312" w:cs="仿宋_GB2312"/>
          <w:kern w:val="0"/>
          <w:sz w:val="32"/>
          <w:szCs w:val="32"/>
        </w:rPr>
        <w:t>共组织对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hAnsi="Times New Roman" w:eastAsia="仿宋_GB2312" w:cs="仿宋_GB2312"/>
          <w:kern w:val="0"/>
          <w:sz w:val="32"/>
          <w:szCs w:val="32"/>
          <w:lang w:val="en-US" w:eastAsia="zh-CN" w:bidi="ar-SA"/>
        </w:rPr>
        <w:t>安保、保洁、绿化外包服务费项目</w:t>
      </w:r>
      <w:r>
        <w:rPr>
          <w:rFonts w:hint="eastAsia" w:ascii="仿宋_GB2312" w:eastAsia="仿宋_GB2312" w:cs="仿宋_GB2312"/>
          <w:kern w:val="0"/>
          <w:sz w:val="32"/>
          <w:szCs w:val="32"/>
        </w:rPr>
        <w:t>、</w:t>
      </w:r>
      <w:r>
        <w:rPr>
          <w:rFonts w:hint="eastAsia" w:ascii="仿宋_GB2312" w:hAnsi="Times New Roman" w:eastAsia="仿宋_GB2312" w:cs="仿宋_GB2312"/>
          <w:kern w:val="0"/>
          <w:sz w:val="32"/>
          <w:szCs w:val="32"/>
          <w:lang w:val="en-US" w:eastAsia="zh-CN" w:bidi="ar-SA"/>
        </w:rPr>
        <w:t>聘用人员费用项目</w:t>
      </w:r>
      <w:r>
        <w:rPr>
          <w:rFonts w:hint="eastAsia" w:ascii="仿宋_GB2312" w:eastAsia="仿宋_GB2312" w:cs="仿宋_GB2312"/>
          <w:kern w:val="0"/>
          <w:sz w:val="32"/>
          <w:szCs w:val="32"/>
        </w:rPr>
        <w:t>等</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个项目进行了部门评价，涉及一般公共预算支出</w:t>
      </w:r>
      <w:r>
        <w:rPr>
          <w:rFonts w:hint="eastAsia" w:ascii="仿宋_GB2312" w:eastAsia="仿宋_GB2312" w:cs="仿宋_GB2312"/>
          <w:kern w:val="0"/>
          <w:sz w:val="32"/>
          <w:szCs w:val="32"/>
          <w:lang w:val="en-US" w:eastAsia="zh-CN"/>
        </w:rPr>
        <w:t>989.29</w:t>
      </w:r>
      <w:r>
        <w:rPr>
          <w:rFonts w:hint="eastAsia" w:ascii="仿宋_GB2312" w:eastAsia="仿宋_GB2312" w:cs="仿宋_GB2312"/>
          <w:kern w:val="0"/>
          <w:sz w:val="32"/>
          <w:szCs w:val="32"/>
        </w:rPr>
        <w:t>万元，政府性基金预算支出</w:t>
      </w:r>
      <w:r>
        <w:rPr>
          <w:rFonts w:hint="eastAsia" w:ascii="仿宋_GB2312" w:eastAsia="仿宋_GB2312" w:cs="仿宋_GB2312"/>
          <w:kern w:val="0"/>
          <w:sz w:val="32"/>
          <w:szCs w:val="32"/>
          <w:lang w:val="en-US" w:eastAsia="zh-CN"/>
        </w:rPr>
        <w:t>989.29</w:t>
      </w:r>
      <w:r>
        <w:rPr>
          <w:rFonts w:hint="eastAsia" w:ascii="仿宋_GB2312" w:eastAsia="仿宋_GB2312" w:cs="仿宋_GB2312"/>
          <w:kern w:val="0"/>
          <w:sz w:val="32"/>
          <w:szCs w:val="32"/>
        </w:rPr>
        <w:t>万元。从评价情况来</w:t>
      </w:r>
      <w:r>
        <w:rPr>
          <w:rFonts w:hint="eastAsia" w:ascii="仿宋_GB2312" w:hAnsi="Times New Roman" w:eastAsia="仿宋_GB2312" w:cs="仿宋_GB2312"/>
          <w:kern w:val="0"/>
          <w:sz w:val="32"/>
          <w:szCs w:val="32"/>
          <w:lang w:val="en-US" w:eastAsia="zh-CN" w:bidi="ar-SA"/>
        </w:rPr>
        <w:t>看，自评得分均在90分以上，绩效目标完成情况较好。部门绩效理念进一步增强，通过制定一系列财务内控制度，从预算、执行和支付等环节层层把关，进一步规范经费使用和会计核算，不断提高财政资金使用效益。</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kern w:val="0"/>
          <w:sz w:val="32"/>
          <w:szCs w:val="32"/>
          <w:lang w:val="en-US" w:eastAsia="zh-CN" w:bidi="ar-SA"/>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根据年初设定的绩效目标，决算中项目绩效自评</w:t>
      </w:r>
      <w:r>
        <w:rPr>
          <w:rFonts w:hint="eastAsia" w:ascii="仿宋_GB2312" w:hAnsi="Times New Roman" w:eastAsia="仿宋_GB2312" w:cs="仿宋_GB2312"/>
          <w:kern w:val="0"/>
          <w:sz w:val="32"/>
          <w:szCs w:val="32"/>
          <w:lang w:val="en-US" w:eastAsia="zh-CN" w:bidi="ar-SA"/>
        </w:rPr>
        <w:t>结果为：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柳州市柳北区人民法院安保、保洁、绿化外包服务费项目自评得分为98分。发现的主要问题及原因：制度管理不够到位，主要原因是单位对物业公司的管理上松懈，对相关制度还未能做到全部落实到位。下一步改进措施：对制度进一步细化，加强可操作性，对物业各项工作要逐项对照，工作留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2）柳州市柳北区人民法院聘用人员费用项目自评得分为97.67分。发现的主要问题及原因：一是制度尚未健全，主要原因是单位聘用人员管理制度于2017年制定，财物统管后未对相关制度进行修改和完善；二是预算资金执行率未达100%，主要原因是：财政国库指标限额影响，导致年末聘用人员费用无法支付。下一步改进措施：一是建立健全聘用人员相关管理制度，强化制度落实；二是加强资金管理，加深与财政部门的联系沟通，力争预算资金执行率达到计划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 xml:space="preserve">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- 13 -</w:t>
    </w:r>
    <w:r>
      <w:rPr>
        <w:sz w:val="30"/>
        <w:szCs w:val="30"/>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4A0C2"/>
    <w:multiLevelType w:val="singleLevel"/>
    <w:tmpl w:val="8684A0C2"/>
    <w:lvl w:ilvl="0" w:tentative="0">
      <w:start w:val="1"/>
      <w:numFmt w:val="chineseCounting"/>
      <w:suff w:val="nothing"/>
      <w:lvlText w:val="（%1）"/>
      <w:lvlJc w:val="left"/>
      <w:rPr>
        <w:rFonts w:hint="eastAsia"/>
      </w:rPr>
    </w:lvl>
  </w:abstractNum>
  <w:abstractNum w:abstractNumId="1">
    <w:nsid w:val="8CDE1637"/>
    <w:multiLevelType w:val="singleLevel"/>
    <w:tmpl w:val="8CDE1637"/>
    <w:lvl w:ilvl="0" w:tentative="0">
      <w:start w:val="7"/>
      <w:numFmt w:val="decimal"/>
      <w:lvlText w:val="%1."/>
      <w:lvlJc w:val="left"/>
      <w:pPr>
        <w:tabs>
          <w:tab w:val="left" w:pos="312"/>
        </w:tabs>
      </w:pPr>
    </w:lvl>
  </w:abstractNum>
  <w:abstractNum w:abstractNumId="2">
    <w:nsid w:val="D9E24B44"/>
    <w:multiLevelType w:val="singleLevel"/>
    <w:tmpl w:val="D9E24B44"/>
    <w:lvl w:ilvl="0" w:tentative="0">
      <w:start w:val="3"/>
      <w:numFmt w:val="chineseCounting"/>
      <w:suff w:val="nothing"/>
      <w:lvlText w:val="（%1）"/>
      <w:lvlJc w:val="left"/>
      <w:rPr>
        <w:rFonts w:hint="eastAsia"/>
      </w:rPr>
    </w:lvl>
  </w:abstractNum>
  <w:abstractNum w:abstractNumId="3">
    <w:nsid w:val="2FB439A1"/>
    <w:multiLevelType w:val="singleLevel"/>
    <w:tmpl w:val="2FB439A1"/>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00000000"/>
    <w:rsid w:val="00C017FF"/>
    <w:rsid w:val="023F1487"/>
    <w:rsid w:val="02874D2B"/>
    <w:rsid w:val="02BF35E4"/>
    <w:rsid w:val="0426074A"/>
    <w:rsid w:val="05376A4D"/>
    <w:rsid w:val="06C16524"/>
    <w:rsid w:val="06D25674"/>
    <w:rsid w:val="088C5150"/>
    <w:rsid w:val="09311994"/>
    <w:rsid w:val="0A0A0D46"/>
    <w:rsid w:val="0CE67A0B"/>
    <w:rsid w:val="0D44108D"/>
    <w:rsid w:val="0F457127"/>
    <w:rsid w:val="10933AD7"/>
    <w:rsid w:val="1100192C"/>
    <w:rsid w:val="1158560A"/>
    <w:rsid w:val="12E473E0"/>
    <w:rsid w:val="13061267"/>
    <w:rsid w:val="133D2E14"/>
    <w:rsid w:val="13872877"/>
    <w:rsid w:val="147F529D"/>
    <w:rsid w:val="15103FEB"/>
    <w:rsid w:val="1579058E"/>
    <w:rsid w:val="169244B9"/>
    <w:rsid w:val="17251D9E"/>
    <w:rsid w:val="194A747F"/>
    <w:rsid w:val="19F953A8"/>
    <w:rsid w:val="1AEC2DF7"/>
    <w:rsid w:val="1B9D75ED"/>
    <w:rsid w:val="1C5C6AAF"/>
    <w:rsid w:val="1CE30D1C"/>
    <w:rsid w:val="1D69068A"/>
    <w:rsid w:val="1DA351CC"/>
    <w:rsid w:val="1F253816"/>
    <w:rsid w:val="1F2E2652"/>
    <w:rsid w:val="21A10842"/>
    <w:rsid w:val="21A76D9A"/>
    <w:rsid w:val="23BF58CB"/>
    <w:rsid w:val="26767B63"/>
    <w:rsid w:val="26A849A3"/>
    <w:rsid w:val="2818342A"/>
    <w:rsid w:val="29A474B0"/>
    <w:rsid w:val="2C9B6DCF"/>
    <w:rsid w:val="2EE54163"/>
    <w:rsid w:val="2F273139"/>
    <w:rsid w:val="2F3D6476"/>
    <w:rsid w:val="2F8F4AA8"/>
    <w:rsid w:val="307C7A85"/>
    <w:rsid w:val="31B5392A"/>
    <w:rsid w:val="328E30E6"/>
    <w:rsid w:val="334E604C"/>
    <w:rsid w:val="36F27B43"/>
    <w:rsid w:val="37803033"/>
    <w:rsid w:val="38923ED2"/>
    <w:rsid w:val="3BD8598F"/>
    <w:rsid w:val="3CE23A24"/>
    <w:rsid w:val="3E37487B"/>
    <w:rsid w:val="3E8E1100"/>
    <w:rsid w:val="3F1778BD"/>
    <w:rsid w:val="3F22545E"/>
    <w:rsid w:val="41B05159"/>
    <w:rsid w:val="424C035E"/>
    <w:rsid w:val="43EB77E9"/>
    <w:rsid w:val="45D4058D"/>
    <w:rsid w:val="465A11F0"/>
    <w:rsid w:val="484D10BB"/>
    <w:rsid w:val="488B7FC7"/>
    <w:rsid w:val="48FE6145"/>
    <w:rsid w:val="495321AE"/>
    <w:rsid w:val="4B391B38"/>
    <w:rsid w:val="4C560162"/>
    <w:rsid w:val="4FA55EC3"/>
    <w:rsid w:val="4FEE57AD"/>
    <w:rsid w:val="50842633"/>
    <w:rsid w:val="52480C15"/>
    <w:rsid w:val="540D28BB"/>
    <w:rsid w:val="562905BE"/>
    <w:rsid w:val="57EB6C11"/>
    <w:rsid w:val="588E65CB"/>
    <w:rsid w:val="59952186"/>
    <w:rsid w:val="5AB8205B"/>
    <w:rsid w:val="5C12489D"/>
    <w:rsid w:val="5D2E28C5"/>
    <w:rsid w:val="5DA44D88"/>
    <w:rsid w:val="5E204382"/>
    <w:rsid w:val="5EA85B82"/>
    <w:rsid w:val="601400C6"/>
    <w:rsid w:val="60DB25CC"/>
    <w:rsid w:val="61337A52"/>
    <w:rsid w:val="65324E40"/>
    <w:rsid w:val="665072AA"/>
    <w:rsid w:val="66D1090C"/>
    <w:rsid w:val="67630BD3"/>
    <w:rsid w:val="677D1E22"/>
    <w:rsid w:val="688A33C3"/>
    <w:rsid w:val="69591C24"/>
    <w:rsid w:val="69601E89"/>
    <w:rsid w:val="6C2853BF"/>
    <w:rsid w:val="6C8E3293"/>
    <w:rsid w:val="6F116D72"/>
    <w:rsid w:val="6FCD0D6D"/>
    <w:rsid w:val="729B735B"/>
    <w:rsid w:val="75235F5C"/>
    <w:rsid w:val="76D41FAF"/>
    <w:rsid w:val="77732228"/>
    <w:rsid w:val="781C3500"/>
    <w:rsid w:val="783C5581"/>
    <w:rsid w:val="787F1979"/>
    <w:rsid w:val="79225AFF"/>
    <w:rsid w:val="7A692A8F"/>
    <w:rsid w:val="7C0B43AF"/>
    <w:rsid w:val="7D6F0212"/>
    <w:rsid w:val="7E027848"/>
    <w:rsid w:val="7FC56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7067</Words>
  <Characters>7878</Characters>
  <Lines>0</Lines>
  <Paragraphs>0</Paragraphs>
  <TotalTime>4</TotalTime>
  <ScaleCrop>false</ScaleCrop>
  <LinksUpToDate>false</LinksUpToDate>
  <CharactersWithSpaces>7932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RX</dc:creator>
  <cp:lastModifiedBy>哒哒陳</cp:lastModifiedBy>
  <dcterms:modified xsi:type="dcterms:W3CDTF">2022-09-13T09:20:13Z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E1CF70B5D8BE4AB9804F593E56EF4322</vt:lpwstr>
  </property>
</Properties>
</file>