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lang w:val="en-US" w:eastAsia="zh-CN"/>
        </w:rPr>
      </w:pPr>
      <w:r>
        <w:rPr>
          <w:rFonts w:hint="eastAsia" w:ascii="黑体" w:eastAsia="黑体" w:cs="ArialUnicodeMS"/>
          <w:kern w:val="0"/>
          <w:sz w:val="52"/>
          <w:szCs w:val="52"/>
        </w:rPr>
        <w:t>柳州市</w:t>
      </w:r>
      <w:r>
        <w:rPr>
          <w:rFonts w:hint="eastAsia" w:ascii="黑体" w:hAnsi="黑体" w:eastAsia="黑体"/>
          <w:bCs/>
          <w:color w:val="000000"/>
          <w:sz w:val="52"/>
          <w:szCs w:val="52"/>
          <w:lang w:val="en-US" w:eastAsia="zh-CN"/>
        </w:rPr>
        <w:t>信访信息中心</w:t>
      </w:r>
      <w:bookmarkStart w:id="0" w:name="_GoBack"/>
      <w:bookmarkEnd w:id="0"/>
    </w:p>
    <w:p>
      <w:pPr>
        <w:jc w:val="center"/>
        <w:rPr>
          <w:rFonts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第一部分：柳州市信访信息中心概况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二、单位机构设置情况</w:t>
      </w:r>
    </w:p>
    <w:p>
      <w:pPr>
        <w:ind w:firstLine="645"/>
        <w:rPr>
          <w:rFonts w:ascii="仿宋_GB2312" w:eastAsia="仿宋_GB2312"/>
          <w:b/>
          <w:sz w:val="32"/>
          <w:szCs w:val="32"/>
        </w:rPr>
      </w:pPr>
      <w:r>
        <w:rPr>
          <w:rFonts w:hint="eastAsia" w:ascii="仿宋_GB2312" w:eastAsia="仿宋_GB2312"/>
          <w:b/>
          <w:sz w:val="32"/>
          <w:szCs w:val="32"/>
        </w:rPr>
        <w:t>第二部分：柳州市信访信息中心</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1605" w:leftChars="307" w:hanging="960" w:hangingChars="300"/>
        <w:rPr>
          <w:rFonts w:hint="eastAsia" w:ascii="仿宋_GB2312" w:eastAsia="仿宋_GB2312"/>
          <w:sz w:val="32"/>
          <w:szCs w:val="32"/>
        </w:rPr>
      </w:pPr>
      <w:r>
        <w:rPr>
          <w:rFonts w:hint="eastAsia" w:ascii="仿宋_GB2312" w:eastAsia="仿宋_GB2312"/>
          <w:sz w:val="32"/>
          <w:szCs w:val="32"/>
        </w:rPr>
        <w:t>表七：一般公共预算财政拨款安排的“三公”经费支出决算表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pPr>
        <w:ind w:left="0" w:leftChars="0" w:firstLine="643" w:firstLineChars="200"/>
        <w:rPr>
          <w:rFonts w:ascii="仿宋_GB2312" w:eastAsia="仿宋_GB2312"/>
          <w:b/>
          <w:sz w:val="32"/>
          <w:szCs w:val="32"/>
        </w:rPr>
      </w:pPr>
      <w:r>
        <w:rPr>
          <w:rFonts w:hint="eastAsia" w:ascii="仿宋_GB2312" w:eastAsia="仿宋_GB2312"/>
          <w:b/>
          <w:sz w:val="32"/>
          <w:szCs w:val="32"/>
        </w:rPr>
        <w:t>第三部分：柳州市信访信息中心</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left="1278" w:leftChars="304" w:hanging="640" w:hanging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left="1278" w:leftChars="304" w:hanging="640" w:hanging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jc w:val="center"/>
        <w:rPr>
          <w:rFonts w:hint="eastAsia" w:ascii="仿宋_GB2312" w:eastAsia="仿宋_GB2312" w:cs="仿宋_GB2312"/>
          <w:bCs/>
          <w:kern w:val="0"/>
          <w:sz w:val="32"/>
          <w:szCs w:val="32"/>
        </w:rPr>
        <w:sectPr>
          <w:headerReference r:id="rId3" w:type="default"/>
          <w:footerReference r:id="rId4" w:type="default"/>
          <w:footerReference r:id="rId5" w:type="even"/>
          <w:pgSz w:w="11906" w:h="16838"/>
          <w:pgMar w:top="1440" w:right="1417" w:bottom="1440" w:left="1377" w:header="851" w:footer="992" w:gutter="0"/>
          <w:pgNumType w:fmt="decimal"/>
          <w:cols w:space="720" w:num="1"/>
          <w:docGrid w:type="lines" w:linePitch="312" w:charSpace="0"/>
        </w:sectPr>
      </w:pPr>
    </w:p>
    <w:p>
      <w:pPr>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第一部分：</w:t>
      </w:r>
      <w:r>
        <w:rPr>
          <w:rFonts w:hint="default" w:ascii="Times New Roman" w:hAnsi="Times New Roman" w:eastAsia="仿宋_GB2312" w:cs="Times New Roman"/>
          <w:b/>
          <w:bCs/>
          <w:color w:val="000000"/>
          <w:sz w:val="32"/>
          <w:szCs w:val="32"/>
          <w:u w:val="none"/>
          <w:lang w:eastAsia="zh-CN"/>
        </w:rPr>
        <w:t>柳州市信访信息中心</w:t>
      </w:r>
      <w:r>
        <w:rPr>
          <w:rFonts w:hint="default" w:ascii="Times New Roman" w:hAnsi="Times New Roman" w:eastAsia="仿宋_GB2312" w:cs="Times New Roman"/>
          <w:b/>
          <w:sz w:val="32"/>
          <w:szCs w:val="32"/>
        </w:rPr>
        <w:t>概况</w:t>
      </w:r>
    </w:p>
    <w:p>
      <w:pPr>
        <w:ind w:firstLine="64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一、主要职能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kern w:val="0"/>
          <w:sz w:val="32"/>
          <w:szCs w:val="32"/>
          <w:lang w:val="en-US" w:eastAsia="zh-CN" w:bidi="ar-SA"/>
        </w:rPr>
      </w:pPr>
      <w:r>
        <w:rPr>
          <w:rFonts w:hint="default" w:ascii="Times New Roman" w:hAnsi="Times New Roman" w:eastAsia="仿宋_GB2312" w:cs="Times New Roman"/>
          <w:b w:val="0"/>
          <w:bCs/>
          <w:color w:val="000000"/>
          <w:kern w:val="0"/>
          <w:sz w:val="32"/>
          <w:szCs w:val="32"/>
          <w:lang w:val="en-US" w:eastAsia="zh-CN" w:bidi="ar-SA"/>
        </w:rPr>
        <w:t>1、为全市信访工作和信访信息系统提供服务和技术保障。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kern w:val="0"/>
          <w:sz w:val="32"/>
          <w:szCs w:val="32"/>
          <w:lang w:val="en-US" w:eastAsia="zh-CN" w:bidi="ar-SA"/>
        </w:rPr>
      </w:pPr>
      <w:r>
        <w:rPr>
          <w:rFonts w:hint="default" w:ascii="Times New Roman" w:hAnsi="Times New Roman" w:eastAsia="仿宋_GB2312" w:cs="Times New Roman"/>
          <w:b w:val="0"/>
          <w:bCs/>
          <w:color w:val="000000"/>
          <w:kern w:val="0"/>
          <w:sz w:val="32"/>
          <w:szCs w:val="32"/>
          <w:lang w:val="en-US" w:eastAsia="zh-CN" w:bidi="ar-SA"/>
        </w:rPr>
        <w:t>2、负责全市信访信息系统的建设、管理、维护、指导及业务培训工作；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kern w:val="0"/>
          <w:sz w:val="32"/>
          <w:szCs w:val="32"/>
          <w:lang w:val="en-US" w:eastAsia="zh-CN" w:bidi="ar-SA"/>
        </w:rPr>
      </w:pPr>
      <w:r>
        <w:rPr>
          <w:rFonts w:hint="default" w:ascii="Times New Roman" w:hAnsi="Times New Roman" w:eastAsia="仿宋_GB2312" w:cs="Times New Roman"/>
          <w:b w:val="0"/>
          <w:bCs/>
          <w:color w:val="000000"/>
          <w:kern w:val="0"/>
          <w:sz w:val="32"/>
          <w:szCs w:val="32"/>
          <w:lang w:val="en-US" w:eastAsia="zh-CN" w:bidi="ar-SA"/>
        </w:rPr>
        <w:t>3、负责网上信访数据统计分析、考核评估等基础业务工作。</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二、单位机构设置情况</w:t>
      </w:r>
    </w:p>
    <w:p>
      <w:pPr>
        <w:ind w:firstLine="640" w:firstLineChars="200"/>
        <w:jc w:val="both"/>
      </w:pPr>
      <w:r>
        <w:rPr>
          <w:rFonts w:hint="eastAsia" w:ascii="仿宋_GB2312" w:eastAsia="仿宋_GB2312"/>
          <w:sz w:val="32"/>
          <w:szCs w:val="32"/>
          <w:lang w:eastAsia="zh-CN"/>
        </w:rPr>
        <w:t>柳州市信访信息中心是公益一类，财政全额拨款事业单位，主管部门是中共柳州市委员会柳州市人民政府信访局。现有</w:t>
      </w:r>
      <w:r>
        <w:rPr>
          <w:rFonts w:hint="eastAsia" w:ascii="仿宋_GB2312" w:eastAsia="仿宋_GB2312"/>
          <w:sz w:val="32"/>
          <w:szCs w:val="32"/>
          <w:lang w:val="en-US" w:eastAsia="zh-CN"/>
        </w:rPr>
        <w:t>事业编制数4个，财政资金管理聘用人员控制数6个，截止至2021年12月31日共有在职在编人员4名，聘用人员6名。</w:t>
      </w:r>
    </w:p>
    <w:p>
      <w:pPr>
        <w:spacing w:line="720" w:lineRule="auto"/>
        <w:jc w:val="center"/>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eastAsia="zh-CN"/>
        </w:rPr>
        <w:t>柳州市信访信息中心2021</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1605" w:leftChars="307" w:hanging="960" w:hangingChars="300"/>
        <w:rPr>
          <w:rFonts w:hint="eastAsia" w:ascii="仿宋_GB2312" w:eastAsia="仿宋_GB2312"/>
          <w:sz w:val="32"/>
          <w:szCs w:val="32"/>
        </w:rPr>
      </w:pPr>
      <w:r>
        <w:rPr>
          <w:rFonts w:hint="eastAsia" w:ascii="仿宋_GB2312" w:eastAsia="仿宋_GB2312"/>
          <w:sz w:val="32"/>
          <w:szCs w:val="32"/>
        </w:rPr>
        <w:t>表七：一般公共预算财政拨款安排的“三公”经费支出决算表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此部分另附表格，详见附件：柳州市</w:t>
      </w:r>
      <w:r>
        <w:rPr>
          <w:rFonts w:hint="eastAsia" w:ascii="仿宋_GB2312" w:eastAsia="仿宋_GB2312"/>
          <w:sz w:val="32"/>
          <w:szCs w:val="32"/>
          <w:lang w:eastAsia="zh-CN"/>
        </w:rPr>
        <w:t>信访信息中心</w:t>
      </w:r>
      <w:r>
        <w:rPr>
          <w:rFonts w:hint="eastAsia" w:ascii="仿宋_GB2312" w:eastAsia="仿宋_GB2312"/>
          <w:sz w:val="32"/>
          <w:szCs w:val="32"/>
        </w:rPr>
        <w:t>2021年度部门决算公开表。</w:t>
      </w:r>
    </w:p>
    <w:p>
      <w:pPr>
        <w:spacing w:line="720" w:lineRule="auto"/>
        <w:jc w:val="center"/>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柳州市信访信息中心</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（一）本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年度总收入</w:t>
      </w:r>
      <w:r>
        <w:rPr>
          <w:rFonts w:hint="eastAsia" w:ascii="仿宋_GB2312" w:eastAsia="仿宋_GB2312"/>
          <w:kern w:val="0"/>
          <w:sz w:val="32"/>
          <w:szCs w:val="32"/>
          <w:lang w:val="en-US" w:eastAsia="zh-CN"/>
        </w:rPr>
        <w:t>97.05</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97.05</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36.13</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59.31</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both"/>
        <w:rPr>
          <w:rFonts w:hint="default" w:ascii="仿宋_GB2312" w:hAnsi="黑体" w:eastAsia="仿宋_GB2312" w:cs="仿宋_GB2312"/>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lang w:val="en-US" w:eastAsia="zh-CN"/>
        </w:rPr>
        <w:t>97.05</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37.2</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62.16</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2021年补发2名2019年新入编事业人员2020年全年绩效工资总量，以及补缴其社保、公积金等费用。</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无差异。</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无差异。</w:t>
      </w:r>
    </w:p>
    <w:p>
      <w:pPr>
        <w:autoSpaceDE w:val="0"/>
        <w:autoSpaceDN w:val="0"/>
        <w:adjustRightInd w:val="0"/>
        <w:spacing w:line="560" w:lineRule="exact"/>
        <w:ind w:firstLine="627" w:firstLineChars="196"/>
        <w:jc w:val="both"/>
        <w:rPr>
          <w:rFonts w:hint="eastAsia" w:ascii="仿宋_GB2312" w:eastAsia="仿宋_GB2312"/>
          <w:bCs/>
          <w:kern w:val="0"/>
          <w:sz w:val="32"/>
          <w:szCs w:val="32"/>
        </w:rPr>
      </w:pPr>
      <w:r>
        <w:rPr>
          <w:rFonts w:hint="eastAsia" w:ascii="仿宋_GB2312" w:eastAsia="仿宋_GB2312" w:cs="仿宋_GB2312"/>
          <w:kern w:val="0"/>
          <w:sz w:val="32"/>
          <w:szCs w:val="32"/>
        </w:rPr>
        <w:t>4.事业收入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无差异。</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lang w:eastAsia="zh-CN"/>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eastAsia="仿宋_GB2312" w:cs="仿宋_GB2312"/>
          <w:kern w:val="0"/>
          <w:sz w:val="32"/>
          <w:szCs w:val="32"/>
        </w:rPr>
        <w:t>，为事业单位在业务活动之外开展非独立核算经营活动取得的收入。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无差异。</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lang w:eastAsia="zh-CN"/>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eastAsia="zh-CN"/>
        </w:rPr>
        <w:t>部门</w:t>
      </w:r>
      <w:r>
        <w:rPr>
          <w:rFonts w:hint="eastAsia" w:ascii="仿宋_GB2312" w:eastAsia="仿宋_GB2312" w:cs="仿宋_GB2312"/>
          <w:kern w:val="0"/>
          <w:sz w:val="32"/>
          <w:szCs w:val="32"/>
        </w:rPr>
        <w:t>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无差异。</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lang w:eastAsia="zh-CN"/>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无差异。</w:t>
      </w:r>
    </w:p>
    <w:p>
      <w:pPr>
        <w:autoSpaceDE w:val="0"/>
        <w:autoSpaceDN w:val="0"/>
        <w:adjustRightInd w:val="0"/>
        <w:spacing w:line="560" w:lineRule="exact"/>
        <w:ind w:firstLine="627" w:firstLineChars="196"/>
        <w:jc w:val="both"/>
        <w:rPr>
          <w:rFonts w:hint="default" w:ascii="仿宋_GB2312" w:eastAsia="仿宋_GB2312" w:cs="仿宋_GB2312"/>
          <w:kern w:val="0"/>
          <w:sz w:val="32"/>
          <w:szCs w:val="32"/>
          <w:lang w:val="en-US"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1.06</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：根据市财政有关要求，</w:t>
      </w:r>
      <w:r>
        <w:rPr>
          <w:rFonts w:hint="eastAsia" w:ascii="仿宋_GB2312" w:hAnsi="黑体" w:eastAsia="仿宋_GB2312" w:cs="仿宋_GB2312"/>
          <w:kern w:val="0"/>
          <w:sz w:val="32"/>
          <w:szCs w:val="32"/>
          <w:lang w:val="en-US" w:eastAsia="zh-CN"/>
        </w:rPr>
        <w:t>2021年未开支经费未予以结转。</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（二）本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年度总支出</w:t>
      </w:r>
      <w:r>
        <w:rPr>
          <w:rFonts w:hint="eastAsia" w:ascii="仿宋_GB2312" w:eastAsia="仿宋_GB2312"/>
          <w:kern w:val="0"/>
          <w:sz w:val="32"/>
          <w:szCs w:val="32"/>
          <w:lang w:val="en-US" w:eastAsia="zh-CN"/>
        </w:rPr>
        <w:t>97.05</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97.05</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36.13</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59.31</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both"/>
        <w:rPr>
          <w:rFonts w:hint="default" w:ascii="仿宋_GB2312" w:hAnsi="黑体" w:eastAsia="仿宋_GB2312" w:cs="仿宋_GB2312"/>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.一般公共服务支出（类）</w:t>
      </w:r>
      <w:r>
        <w:rPr>
          <w:rFonts w:hint="eastAsia" w:ascii="仿宋_GB2312" w:eastAsia="仿宋_GB2312"/>
          <w:kern w:val="0"/>
          <w:sz w:val="32"/>
          <w:szCs w:val="32"/>
          <w:lang w:val="en-US" w:eastAsia="zh-CN"/>
        </w:rPr>
        <w:t>80.31</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事业人员和聘用人员工资、奖金、社会保险、住房公积金支出</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30.76</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62.08</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一是绩效工资总量年初预算数较2020年增加12万元；二是2021年补发2名2019年新入编事业人员2020年全年绩效工资总量，以及补缴其社保、公积金等费用。</w:t>
      </w:r>
    </w:p>
    <w:p>
      <w:pPr>
        <w:numPr>
          <w:ilvl w:val="-1"/>
          <w:numId w:val="0"/>
        </w:numPr>
        <w:autoSpaceDE w:val="0"/>
        <w:autoSpaceDN w:val="0"/>
        <w:adjustRightInd w:val="0"/>
        <w:spacing w:line="560" w:lineRule="exact"/>
        <w:ind w:firstLine="640" w:firstLineChars="200"/>
        <w:jc w:val="both"/>
        <w:rPr>
          <w:rFonts w:hint="eastAsia" w:ascii="仿宋_GB2312" w:hAnsi="黑体" w:eastAsia="仿宋_GB2312" w:cs="仿宋_GB2312"/>
          <w:kern w:val="0"/>
          <w:sz w:val="32"/>
          <w:szCs w:val="32"/>
          <w:lang w:val="en-US" w:eastAsia="zh-CN"/>
        </w:rPr>
      </w:pP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社会保障和就业支出（类）</w:t>
      </w:r>
      <w:r>
        <w:rPr>
          <w:rFonts w:hint="eastAsia" w:ascii="仿宋_GB2312" w:eastAsia="仿宋_GB2312"/>
          <w:kern w:val="0"/>
          <w:sz w:val="32"/>
          <w:szCs w:val="32"/>
          <w:lang w:val="en-US" w:eastAsia="zh-CN"/>
        </w:rPr>
        <w:t>9.03</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机关事业单位养老保险费、机关事业单位职业年金费支出。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4.26</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89.31</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事业单位人员绩效工资总量增补产生的社保经费补缴。</w:t>
      </w:r>
    </w:p>
    <w:p>
      <w:pPr>
        <w:autoSpaceDE w:val="0"/>
        <w:autoSpaceDN w:val="0"/>
        <w:adjustRightInd w:val="0"/>
        <w:spacing w:line="560" w:lineRule="exact"/>
        <w:ind w:firstLine="627" w:firstLineChars="196"/>
        <w:jc w:val="both"/>
        <w:rPr>
          <w:rFonts w:hint="default" w:ascii="仿宋_GB2312" w:hAnsi="黑体" w:eastAsia="仿宋_GB2312" w:cs="仿宋_GB2312"/>
          <w:kern w:val="0"/>
          <w:sz w:val="32"/>
          <w:szCs w:val="32"/>
          <w:lang w:val="en-US" w:eastAsia="zh-CN"/>
        </w:rPr>
      </w:pP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卫生健康支出（类）</w:t>
      </w:r>
      <w:r>
        <w:rPr>
          <w:rFonts w:hint="eastAsia" w:ascii="仿宋_GB2312" w:eastAsia="仿宋_GB2312"/>
          <w:kern w:val="0"/>
          <w:sz w:val="32"/>
          <w:szCs w:val="32"/>
          <w:lang w:val="en-US" w:eastAsia="zh-CN"/>
        </w:rPr>
        <w:t>2.65</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支出事业单位医疗保险费用。</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lang w:val="en-US" w:eastAsia="zh-CN"/>
        </w:rPr>
        <w:t>1.75</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增长</w:t>
      </w:r>
      <w:r>
        <w:rPr>
          <w:rFonts w:hint="eastAsia" w:ascii="仿宋_GB2312" w:hAnsi="黑体" w:eastAsia="仿宋_GB2312" w:cs="仿宋_GB2312"/>
          <w:kern w:val="0"/>
          <w:sz w:val="32"/>
          <w:szCs w:val="32"/>
          <w:lang w:val="en-US" w:eastAsia="zh-CN"/>
        </w:rPr>
        <w:t>142.28</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：补缴</w:t>
      </w:r>
      <w:r>
        <w:rPr>
          <w:rFonts w:hint="eastAsia" w:ascii="仿宋_GB2312" w:hAnsi="黑体" w:eastAsia="仿宋_GB2312" w:cs="仿宋_GB2312"/>
          <w:kern w:val="0"/>
          <w:sz w:val="32"/>
          <w:szCs w:val="32"/>
          <w:lang w:val="en-US" w:eastAsia="zh-CN"/>
        </w:rPr>
        <w:t>2021年补发2名2019年新入编事业人员2020年全年绩效工资总量部分社保。</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住房保障支出（类）</w:t>
      </w:r>
      <w:r>
        <w:rPr>
          <w:rFonts w:hint="eastAsia" w:ascii="仿宋_GB2312" w:eastAsia="仿宋_GB2312"/>
          <w:kern w:val="0"/>
          <w:sz w:val="32"/>
          <w:szCs w:val="32"/>
          <w:lang w:val="en-US" w:eastAsia="zh-CN"/>
        </w:rPr>
        <w:t>5.06</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住房公积金支出。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2.06</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68.67</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事业单位人员绩效工资总量增补产生的住房公积金补缴。</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sectPr>
          <w:headerReference r:id="rId6" w:type="default"/>
          <w:footerReference r:id="rId7" w:type="default"/>
          <w:pgSz w:w="11906" w:h="16838"/>
          <w:pgMar w:top="1440" w:right="1417" w:bottom="1440" w:left="1417" w:header="851" w:footer="992" w:gutter="0"/>
          <w:pgNumType w:fmt="decimal"/>
          <w:cols w:space="720" w:num="1"/>
          <w:docGrid w:type="lines" w:linePitch="312" w:charSpace="0"/>
        </w:sectPr>
      </w:pPr>
      <w:r>
        <w:rPr>
          <w:rFonts w:hint="eastAsia" w:ascii="仿宋_GB2312" w:eastAsia="仿宋_GB2312"/>
          <w:bCs/>
          <w:kern w:val="0"/>
          <w:sz w:val="32"/>
          <w:szCs w:val="32"/>
          <w:lang w:val="en-US" w:eastAsia="zh-CN"/>
        </w:rPr>
        <w:t>5</w:t>
      </w:r>
      <w:r>
        <w:rPr>
          <w:rFonts w:hint="eastAsia" w:ascii="仿宋_GB2312" w:eastAsia="仿宋_GB2312" w:cs="仿宋_GB2312"/>
          <w:kern w:val="0"/>
          <w:sz w:val="32"/>
          <w:szCs w:val="32"/>
        </w:rPr>
        <w:t>.结余分配</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万元，为事业单位按规定提取的职工福利基金、</w:t>
      </w:r>
    </w:p>
    <w:p>
      <w:pPr>
        <w:autoSpaceDE w:val="0"/>
        <w:autoSpaceDN w:val="0"/>
        <w:adjustRightInd w:val="0"/>
        <w:spacing w:line="560" w:lineRule="exact"/>
        <w:ind w:firstLine="0" w:firstLineChars="0"/>
        <w:jc w:val="both"/>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事业基金和缴纳的所得税等。</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无变化。</w:t>
      </w:r>
    </w:p>
    <w:p>
      <w:pPr>
        <w:autoSpaceDE w:val="0"/>
        <w:autoSpaceDN w:val="0"/>
        <w:adjustRightInd w:val="0"/>
        <w:spacing w:line="560" w:lineRule="exact"/>
        <w:ind w:firstLine="627" w:firstLineChars="196"/>
        <w:jc w:val="both"/>
        <w:rPr>
          <w:rFonts w:hint="default" w:ascii="仿宋_GB2312" w:hAnsi="黑体" w:eastAsia="仿宋_GB2312" w:cs="仿宋_GB2312"/>
          <w:kern w:val="0"/>
          <w:sz w:val="32"/>
          <w:szCs w:val="32"/>
          <w:lang w:val="en-US" w:eastAsia="zh-CN"/>
        </w:rPr>
      </w:pPr>
      <w:r>
        <w:rPr>
          <w:rFonts w:hint="eastAsia" w:ascii="仿宋_GB2312" w:eastAsia="仿宋_GB2312"/>
          <w:bCs/>
          <w:kern w:val="0"/>
          <w:sz w:val="32"/>
          <w:szCs w:val="32"/>
          <w:lang w:val="en-US" w:eastAsia="zh-CN"/>
        </w:rPr>
        <w:t>6</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2.38</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：根据市财政要求，</w:t>
      </w:r>
      <w:r>
        <w:rPr>
          <w:rFonts w:hint="eastAsia" w:ascii="仿宋_GB2312" w:hAnsi="黑体" w:eastAsia="仿宋_GB2312" w:cs="仿宋_GB2312"/>
          <w:kern w:val="0"/>
          <w:sz w:val="32"/>
          <w:szCs w:val="32"/>
          <w:lang w:val="en-US" w:eastAsia="zh-CN"/>
        </w:rPr>
        <w:t>2020年未开支经费全额结转至2021年，2021年经费未开支经费全部未予以结转。</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cs="仿宋_GB2312"/>
          <w:kern w:val="0"/>
          <w:sz w:val="32"/>
          <w:szCs w:val="32"/>
          <w:lang w:val="en-US" w:eastAsia="zh-CN"/>
        </w:rPr>
        <w:t>97.05</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38.51</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65.78</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65.09</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31.96</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both"/>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w:t>
      </w:r>
      <w:r>
        <w:rPr>
          <w:rFonts w:hint="eastAsia" w:ascii="仿宋_GB2312" w:hAnsi="黑体" w:eastAsia="仿宋_GB2312" w:cs="仿宋_GB2312"/>
          <w:kern w:val="0"/>
          <w:sz w:val="32"/>
          <w:szCs w:val="32"/>
          <w:lang w:eastAsia="zh-CN"/>
        </w:rPr>
        <w:t>为</w:t>
      </w:r>
      <w:r>
        <w:rPr>
          <w:rFonts w:hint="eastAsia" w:ascii="仿宋_GB2312" w:hAnsi="黑体" w:eastAsia="仿宋_GB2312" w:cs="仿宋_GB2312"/>
          <w:kern w:val="0"/>
          <w:sz w:val="32"/>
          <w:szCs w:val="32"/>
          <w:lang w:val="en-US" w:eastAsia="zh-CN"/>
        </w:rPr>
        <w:t>77.91</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97.05</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124.57</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autoSpaceDE w:val="0"/>
        <w:autoSpaceDN w:val="0"/>
        <w:adjustRightInd w:val="0"/>
        <w:spacing w:line="560" w:lineRule="exact"/>
        <w:ind w:firstLine="627" w:firstLineChars="196"/>
        <w:jc w:val="both"/>
        <w:rPr>
          <w:rFonts w:hint="eastAsia" w:ascii="仿宋_GB2312" w:eastAsia="仿宋_GB2312" w:cs="仿宋_GB2312"/>
          <w:bCs/>
          <w:kern w:val="0"/>
          <w:sz w:val="32"/>
          <w:szCs w:val="32"/>
          <w:lang w:eastAsia="zh-CN"/>
        </w:rPr>
      </w:pPr>
      <w:r>
        <w:rPr>
          <w:rFonts w:hint="eastAsia" w:ascii="仿宋_GB2312" w:eastAsia="仿宋_GB2312"/>
          <w:bCs/>
          <w:kern w:val="0"/>
          <w:sz w:val="32"/>
          <w:szCs w:val="32"/>
          <w:lang w:val="en-US" w:eastAsia="zh-CN"/>
        </w:rPr>
        <w:t>（一）</w:t>
      </w:r>
      <w:r>
        <w:rPr>
          <w:rFonts w:hint="eastAsia" w:ascii="仿宋_GB2312" w:eastAsia="仿宋_GB2312" w:cs="仿宋_GB2312"/>
          <w:bCs/>
          <w:kern w:val="0"/>
          <w:sz w:val="32"/>
          <w:szCs w:val="32"/>
        </w:rPr>
        <w:t>一般公共服务（类）党委办公厅（室）及相关机构事务（款）行政运行（项）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33.16</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47.56</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143.43</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eastAsia="zh-CN"/>
        </w:rPr>
        <w:t>事业编制人员工资、社会保险、住房公积金支出。超预算完成主要是由于</w:t>
      </w:r>
      <w:r>
        <w:rPr>
          <w:rFonts w:hint="eastAsia" w:ascii="仿宋_GB2312" w:hAnsi="黑体" w:eastAsia="仿宋_GB2312" w:cs="仿宋_GB2312"/>
          <w:kern w:val="0"/>
          <w:sz w:val="32"/>
          <w:szCs w:val="32"/>
          <w:lang w:val="en-US" w:eastAsia="zh-CN"/>
        </w:rPr>
        <w:t>2021年补发2名2019年新入编事业人员2020年全年绩效工资总量，以及补缴其社保、公积金等费用</w:t>
      </w:r>
      <w:r>
        <w:rPr>
          <w:rFonts w:hint="eastAsia" w:ascii="仿宋_GB2312" w:eastAsia="仿宋_GB2312" w:cs="仿宋_GB2312"/>
          <w:bCs/>
          <w:kern w:val="0"/>
          <w:sz w:val="32"/>
          <w:szCs w:val="32"/>
          <w:lang w:eastAsia="zh-CN"/>
        </w:rPr>
        <w:t>。</w:t>
      </w:r>
    </w:p>
    <w:p>
      <w:pPr>
        <w:numPr>
          <w:ilvl w:val="-1"/>
          <w:numId w:val="0"/>
        </w:numPr>
        <w:autoSpaceDE w:val="0"/>
        <w:autoSpaceDN w:val="0"/>
        <w:adjustRightInd w:val="0"/>
        <w:spacing w:line="560" w:lineRule="exact"/>
        <w:ind w:firstLine="627" w:firstLineChars="196"/>
        <w:jc w:val="both"/>
        <w:rPr>
          <w:rFonts w:hint="eastAsia" w:ascii="仿宋_GB2312" w:eastAsia="仿宋_GB2312" w:cs="仿宋_GB2312"/>
          <w:kern w:val="0"/>
          <w:sz w:val="32"/>
          <w:szCs w:val="32"/>
          <w:lang w:eastAsia="zh-CN"/>
        </w:rPr>
      </w:pPr>
      <w:r>
        <w:rPr>
          <w:rFonts w:hint="eastAsia" w:ascii="仿宋_GB2312" w:eastAsia="仿宋_GB2312" w:cs="仿宋_GB2312"/>
          <w:bCs/>
          <w:kern w:val="0"/>
          <w:sz w:val="32"/>
          <w:szCs w:val="32"/>
          <w:lang w:eastAsia="zh-CN"/>
        </w:rPr>
        <w:t>（二）</w:t>
      </w:r>
      <w:r>
        <w:rPr>
          <w:rFonts w:hint="eastAsia" w:ascii="仿宋_GB2312" w:eastAsia="仿宋_GB2312" w:cs="仿宋_GB2312"/>
          <w:bCs/>
          <w:kern w:val="0"/>
          <w:sz w:val="32"/>
          <w:szCs w:val="32"/>
        </w:rPr>
        <w:t>一般公共服务（类）党委办公厅（室）及相关机构事务（款）</w:t>
      </w:r>
      <w:r>
        <w:rPr>
          <w:rFonts w:hint="eastAsia" w:ascii="仿宋_GB2312" w:eastAsia="仿宋_GB2312" w:cs="仿宋_GB2312"/>
          <w:bCs/>
          <w:kern w:val="0"/>
          <w:sz w:val="32"/>
          <w:szCs w:val="32"/>
          <w:lang w:eastAsia="zh-CN"/>
        </w:rPr>
        <w:t>事业运行</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0.63</w:t>
      </w:r>
      <w:r>
        <w:rPr>
          <w:rFonts w:hint="eastAsia" w:ascii="仿宋_GB2312" w:hAnsi="黑体" w:eastAsia="仿宋_GB2312" w:cs="仿宋_GB2312"/>
          <w:kern w:val="0"/>
          <w:sz w:val="32"/>
          <w:szCs w:val="32"/>
        </w:rPr>
        <w:t>万元。</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原因是该笔经费为支出事业人员人员工资相关支出。</w:t>
      </w:r>
    </w:p>
    <w:p>
      <w:pPr>
        <w:numPr>
          <w:ilvl w:val="-1"/>
          <w:numId w:val="0"/>
        </w:numPr>
        <w:autoSpaceDE w:val="0"/>
        <w:autoSpaceDN w:val="0"/>
        <w:adjustRightInd w:val="0"/>
        <w:spacing w:line="560" w:lineRule="exact"/>
        <w:ind w:firstLine="627" w:firstLineChars="196"/>
        <w:jc w:val="both"/>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eastAsia="zh-CN"/>
        </w:rPr>
        <w:t>（三）</w:t>
      </w:r>
      <w:r>
        <w:rPr>
          <w:rFonts w:hint="eastAsia" w:ascii="仿宋_GB2312" w:eastAsia="仿宋_GB2312" w:cs="仿宋_GB2312"/>
          <w:bCs/>
          <w:kern w:val="0"/>
          <w:sz w:val="32"/>
          <w:szCs w:val="32"/>
        </w:rPr>
        <w:t>一般公共服务（类）党委办公厅（室）及相关机构事务（款）</w:t>
      </w:r>
      <w:r>
        <w:rPr>
          <w:rFonts w:hint="eastAsia" w:ascii="仿宋_GB2312" w:eastAsia="仿宋_GB2312" w:cs="仿宋_GB2312"/>
          <w:bCs/>
          <w:kern w:val="0"/>
          <w:sz w:val="32"/>
          <w:szCs w:val="32"/>
          <w:lang w:eastAsia="zh-CN"/>
        </w:rPr>
        <w:t>其他党委办公厅（室）及相关机构事务支出</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32.76</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31.96</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完成年初预算的</w:t>
      </w:r>
      <w:r>
        <w:rPr>
          <w:rFonts w:hint="eastAsia" w:ascii="仿宋_GB2312" w:hAnsi="黑体" w:eastAsia="仿宋_GB2312" w:cs="仿宋_GB2312"/>
          <w:kern w:val="0"/>
          <w:sz w:val="32"/>
          <w:szCs w:val="32"/>
          <w:lang w:val="en-US" w:eastAsia="zh-CN"/>
        </w:rPr>
        <w:t>97.56</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原因是支出财政资金管理聘用人员</w:t>
      </w:r>
      <w:r>
        <w:rPr>
          <w:rFonts w:hint="eastAsia" w:ascii="仿宋_GB2312" w:eastAsia="仿宋_GB2312" w:cs="仿宋_GB2312"/>
          <w:kern w:val="0"/>
          <w:sz w:val="32"/>
          <w:szCs w:val="32"/>
          <w:lang w:val="en-US" w:eastAsia="zh-CN"/>
        </w:rPr>
        <w:t>11月人员离职，12月工资未支出。</w:t>
      </w:r>
    </w:p>
    <w:p>
      <w:pPr>
        <w:numPr>
          <w:ilvl w:val="-1"/>
          <w:numId w:val="0"/>
        </w:numPr>
        <w:autoSpaceDE w:val="0"/>
        <w:autoSpaceDN w:val="0"/>
        <w:adjustRightInd w:val="0"/>
        <w:spacing w:line="560" w:lineRule="exact"/>
        <w:ind w:firstLine="627" w:firstLineChars="196"/>
        <w:jc w:val="both"/>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（四）</w:t>
      </w:r>
      <w:r>
        <w:rPr>
          <w:rFonts w:hint="eastAsia" w:ascii="仿宋_GB2312" w:eastAsia="仿宋_GB2312" w:cs="仿宋_GB2312"/>
          <w:bCs/>
          <w:kern w:val="0"/>
          <w:sz w:val="32"/>
          <w:szCs w:val="32"/>
        </w:rPr>
        <w:t>一般公共服务（类）网信事务（款）</w:t>
      </w:r>
      <w:r>
        <w:rPr>
          <w:rFonts w:hint="eastAsia" w:ascii="仿宋_GB2312" w:eastAsia="仿宋_GB2312" w:cs="仿宋_GB2312"/>
          <w:bCs/>
          <w:kern w:val="0"/>
          <w:sz w:val="32"/>
          <w:szCs w:val="32"/>
          <w:lang w:eastAsia="zh-CN"/>
        </w:rPr>
        <w:t>事业运行</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0万</w:t>
      </w:r>
      <w:r>
        <w:rPr>
          <w:rFonts w:hint="eastAsia" w:ascii="仿宋_GB2312" w:hAnsi="黑体" w:eastAsia="仿宋_GB2312" w:cs="仿宋_GB2312"/>
          <w:kern w:val="0"/>
          <w:sz w:val="32"/>
          <w:szCs w:val="32"/>
        </w:rPr>
        <w:t>元，支出决算为</w:t>
      </w:r>
      <w:r>
        <w:rPr>
          <w:rFonts w:hint="eastAsia" w:ascii="仿宋_GB2312" w:hAnsi="黑体" w:eastAsia="仿宋_GB2312" w:cs="仿宋_GB2312"/>
          <w:kern w:val="0"/>
          <w:sz w:val="32"/>
          <w:szCs w:val="32"/>
          <w:lang w:val="en-US" w:eastAsia="zh-CN"/>
        </w:rPr>
        <w:t>0.15</w:t>
      </w:r>
      <w:r>
        <w:rPr>
          <w:rFonts w:hint="eastAsia" w:ascii="仿宋_GB2312" w:hAnsi="黑体" w:eastAsia="仿宋_GB2312" w:cs="仿宋_GB2312"/>
          <w:kern w:val="0"/>
          <w:sz w:val="32"/>
          <w:szCs w:val="32"/>
        </w:rPr>
        <w:t>万元。</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原因是该项经费为</w:t>
      </w:r>
      <w:r>
        <w:rPr>
          <w:rFonts w:hint="eastAsia" w:ascii="仿宋_GB2312" w:eastAsia="仿宋_GB2312" w:cs="仿宋_GB2312"/>
          <w:kern w:val="0"/>
          <w:sz w:val="32"/>
          <w:szCs w:val="32"/>
          <w:lang w:val="en-US" w:eastAsia="zh-CN"/>
        </w:rPr>
        <w:t>2020年事业单位人员嘉奖。</w:t>
      </w:r>
    </w:p>
    <w:p>
      <w:pPr>
        <w:numPr>
          <w:ilvl w:val="-1"/>
          <w:numId w:val="0"/>
        </w:numPr>
        <w:autoSpaceDE w:val="0"/>
        <w:autoSpaceDN w:val="0"/>
        <w:adjustRightInd w:val="0"/>
        <w:spacing w:line="560" w:lineRule="exact"/>
        <w:ind w:firstLine="640" w:firstLineChars="200"/>
        <w:jc w:val="both"/>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（五）</w:t>
      </w:r>
      <w:r>
        <w:rPr>
          <w:rFonts w:hint="eastAsia" w:ascii="仿宋_GB2312" w:eastAsia="仿宋_GB2312" w:cs="仿宋_GB2312"/>
          <w:bCs/>
          <w:kern w:val="0"/>
          <w:sz w:val="32"/>
          <w:szCs w:val="32"/>
        </w:rPr>
        <w:t>社会保障和就业（类）行政事业单位养老支出（款）</w:t>
      </w:r>
      <w:r>
        <w:rPr>
          <w:rFonts w:hint="eastAsia" w:ascii="仿宋_GB2312" w:eastAsia="仿宋_GB2312" w:cs="仿宋_GB2312"/>
          <w:bCs/>
          <w:kern w:val="0"/>
          <w:sz w:val="32"/>
          <w:szCs w:val="32"/>
          <w:lang w:eastAsia="zh-CN"/>
        </w:rPr>
        <w:t>机关事业单位基本养老保险缴费</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4.37万</w:t>
      </w:r>
      <w:r>
        <w:rPr>
          <w:rFonts w:hint="eastAsia" w:ascii="仿宋_GB2312" w:hAnsi="黑体" w:eastAsia="仿宋_GB2312" w:cs="仿宋_GB2312"/>
          <w:kern w:val="0"/>
          <w:sz w:val="32"/>
          <w:szCs w:val="32"/>
        </w:rPr>
        <w:t>元，支出决算为</w:t>
      </w:r>
      <w:r>
        <w:rPr>
          <w:rFonts w:hint="eastAsia" w:ascii="仿宋_GB2312" w:hAnsi="黑体" w:eastAsia="仿宋_GB2312" w:cs="仿宋_GB2312"/>
          <w:kern w:val="0"/>
          <w:sz w:val="32"/>
          <w:szCs w:val="32"/>
          <w:lang w:val="en-US" w:eastAsia="zh-CN"/>
        </w:rPr>
        <w:t>6.17</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完成年初预算的</w:t>
      </w:r>
      <w:r>
        <w:rPr>
          <w:rFonts w:hint="eastAsia" w:ascii="仿宋_GB2312" w:hAnsi="黑体" w:eastAsia="仿宋_GB2312" w:cs="仿宋_GB2312"/>
          <w:kern w:val="0"/>
          <w:sz w:val="32"/>
          <w:szCs w:val="32"/>
          <w:lang w:val="en-US" w:eastAsia="zh-CN"/>
        </w:rPr>
        <w:t>141.19%</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原因是增补绩效工资总量产生的社保补缴</w:t>
      </w:r>
      <w:r>
        <w:rPr>
          <w:rFonts w:hint="eastAsia" w:ascii="仿宋_GB2312" w:eastAsia="仿宋_GB2312" w:cs="仿宋_GB2312"/>
          <w:kern w:val="0"/>
          <w:sz w:val="32"/>
          <w:szCs w:val="32"/>
          <w:lang w:val="en-US" w:eastAsia="zh-CN"/>
        </w:rPr>
        <w:t>。</w:t>
      </w:r>
    </w:p>
    <w:p>
      <w:pPr>
        <w:numPr>
          <w:ilvl w:val="-1"/>
          <w:numId w:val="0"/>
        </w:numPr>
        <w:autoSpaceDE w:val="0"/>
        <w:autoSpaceDN w:val="0"/>
        <w:adjustRightInd w:val="0"/>
        <w:spacing w:line="560" w:lineRule="exact"/>
        <w:ind w:firstLine="640" w:firstLineChars="200"/>
        <w:jc w:val="both"/>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val="en-US" w:eastAsia="zh-CN"/>
        </w:rPr>
        <w:t>（六）</w:t>
      </w:r>
      <w:r>
        <w:rPr>
          <w:rFonts w:hint="eastAsia" w:ascii="仿宋_GB2312" w:eastAsia="仿宋_GB2312" w:cs="仿宋_GB2312"/>
          <w:bCs/>
          <w:kern w:val="0"/>
          <w:sz w:val="32"/>
          <w:szCs w:val="32"/>
        </w:rPr>
        <w:t>社会保障和就业（类）行政事业单位养老支出（款）</w:t>
      </w:r>
      <w:r>
        <w:rPr>
          <w:rFonts w:hint="eastAsia" w:ascii="仿宋_GB2312" w:eastAsia="仿宋_GB2312" w:cs="仿宋_GB2312"/>
          <w:bCs/>
          <w:kern w:val="0"/>
          <w:sz w:val="32"/>
          <w:szCs w:val="32"/>
          <w:lang w:eastAsia="zh-CN"/>
        </w:rPr>
        <w:t>机关事业单位职业年金缴费</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2.19万</w:t>
      </w:r>
      <w:r>
        <w:rPr>
          <w:rFonts w:hint="eastAsia" w:ascii="仿宋_GB2312" w:hAnsi="黑体" w:eastAsia="仿宋_GB2312" w:cs="仿宋_GB2312"/>
          <w:kern w:val="0"/>
          <w:sz w:val="32"/>
          <w:szCs w:val="32"/>
        </w:rPr>
        <w:t>元，支出决算为</w:t>
      </w:r>
      <w:r>
        <w:rPr>
          <w:rFonts w:hint="eastAsia" w:ascii="仿宋_GB2312" w:hAnsi="黑体" w:eastAsia="仿宋_GB2312" w:cs="仿宋_GB2312"/>
          <w:kern w:val="0"/>
          <w:sz w:val="32"/>
          <w:szCs w:val="32"/>
          <w:lang w:val="en-US" w:eastAsia="zh-CN"/>
        </w:rPr>
        <w:t>2.87</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完成年初预算的</w:t>
      </w:r>
      <w:r>
        <w:rPr>
          <w:rFonts w:hint="eastAsia" w:ascii="仿宋_GB2312" w:hAnsi="黑体" w:eastAsia="仿宋_GB2312" w:cs="仿宋_GB2312"/>
          <w:kern w:val="0"/>
          <w:sz w:val="32"/>
          <w:szCs w:val="32"/>
          <w:lang w:val="en-US" w:eastAsia="zh-CN"/>
        </w:rPr>
        <w:t>131.05%</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原因是增补绩效工资总量产生的社保补缴。</w:t>
      </w:r>
    </w:p>
    <w:p>
      <w:pPr>
        <w:numPr>
          <w:ilvl w:val="-1"/>
          <w:numId w:val="0"/>
        </w:numPr>
        <w:autoSpaceDE w:val="0"/>
        <w:autoSpaceDN w:val="0"/>
        <w:adjustRightInd w:val="0"/>
        <w:spacing w:line="560" w:lineRule="exact"/>
        <w:ind w:firstLine="640" w:firstLineChars="200"/>
        <w:jc w:val="both"/>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eastAsia="zh-CN"/>
        </w:rPr>
        <w:t>（七）</w:t>
      </w:r>
      <w:r>
        <w:rPr>
          <w:rFonts w:hint="eastAsia" w:ascii="仿宋_GB2312" w:eastAsia="仿宋_GB2312" w:cs="仿宋_GB2312"/>
          <w:bCs/>
          <w:kern w:val="0"/>
          <w:sz w:val="32"/>
          <w:szCs w:val="32"/>
        </w:rPr>
        <w:t>卫生健康（类）行政事业单位医疗（款）</w:t>
      </w:r>
      <w:r>
        <w:rPr>
          <w:rFonts w:hint="eastAsia" w:ascii="仿宋_GB2312" w:eastAsia="仿宋_GB2312" w:cs="仿宋_GB2312"/>
          <w:bCs/>
          <w:kern w:val="0"/>
          <w:sz w:val="32"/>
          <w:szCs w:val="32"/>
          <w:lang w:eastAsia="zh-CN"/>
        </w:rPr>
        <w:t>事业单位医疗</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2.15万</w:t>
      </w:r>
      <w:r>
        <w:rPr>
          <w:rFonts w:hint="eastAsia" w:ascii="仿宋_GB2312" w:hAnsi="黑体" w:eastAsia="仿宋_GB2312" w:cs="仿宋_GB2312"/>
          <w:kern w:val="0"/>
          <w:sz w:val="32"/>
          <w:szCs w:val="32"/>
        </w:rPr>
        <w:t>元，支出决算为</w:t>
      </w:r>
      <w:r>
        <w:rPr>
          <w:rFonts w:hint="eastAsia" w:ascii="仿宋_GB2312" w:hAnsi="黑体" w:eastAsia="仿宋_GB2312" w:cs="仿宋_GB2312"/>
          <w:kern w:val="0"/>
          <w:sz w:val="32"/>
          <w:szCs w:val="32"/>
          <w:lang w:val="en-US" w:eastAsia="zh-CN"/>
        </w:rPr>
        <w:t>2.65</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完成年初预算的</w:t>
      </w:r>
      <w:r>
        <w:rPr>
          <w:rFonts w:hint="eastAsia" w:ascii="仿宋_GB2312" w:hAnsi="黑体" w:eastAsia="仿宋_GB2312" w:cs="仿宋_GB2312"/>
          <w:kern w:val="0"/>
          <w:sz w:val="32"/>
          <w:szCs w:val="32"/>
          <w:lang w:val="en-US" w:eastAsia="zh-CN"/>
        </w:rPr>
        <w:t>123.26%</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原因是增补绩效工资总量产生的医疗保险补缴</w:t>
      </w:r>
      <w:r>
        <w:rPr>
          <w:rFonts w:hint="eastAsia" w:ascii="仿宋_GB2312" w:eastAsia="仿宋_GB2312" w:cs="仿宋_GB2312"/>
          <w:kern w:val="0"/>
          <w:sz w:val="32"/>
          <w:szCs w:val="32"/>
          <w:lang w:val="en-US" w:eastAsia="zh-CN"/>
        </w:rPr>
        <w:t>。</w:t>
      </w:r>
    </w:p>
    <w:p>
      <w:pPr>
        <w:numPr>
          <w:ilvl w:val="0"/>
          <w:numId w:val="1"/>
        </w:num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bCs/>
          <w:kern w:val="0"/>
          <w:sz w:val="32"/>
          <w:szCs w:val="32"/>
        </w:rPr>
        <w:t>住房保障（类）住房改革支出（款）</w:t>
      </w:r>
      <w:r>
        <w:rPr>
          <w:rFonts w:hint="eastAsia" w:ascii="仿宋_GB2312" w:eastAsia="仿宋_GB2312" w:cs="仿宋_GB2312"/>
          <w:bCs/>
          <w:kern w:val="0"/>
          <w:sz w:val="32"/>
          <w:szCs w:val="32"/>
          <w:lang w:eastAsia="zh-CN"/>
        </w:rPr>
        <w:t>住房公积金</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3.28万</w:t>
      </w:r>
      <w:r>
        <w:rPr>
          <w:rFonts w:hint="eastAsia" w:ascii="仿宋_GB2312" w:hAnsi="黑体" w:eastAsia="仿宋_GB2312" w:cs="仿宋_GB2312"/>
          <w:kern w:val="0"/>
          <w:sz w:val="32"/>
          <w:szCs w:val="32"/>
        </w:rPr>
        <w:t>元，支出决算为</w:t>
      </w:r>
      <w:r>
        <w:rPr>
          <w:rFonts w:hint="eastAsia" w:ascii="仿宋_GB2312" w:hAnsi="黑体" w:eastAsia="仿宋_GB2312" w:cs="仿宋_GB2312"/>
          <w:kern w:val="0"/>
          <w:sz w:val="32"/>
          <w:szCs w:val="32"/>
          <w:lang w:val="en-US" w:eastAsia="zh-CN"/>
        </w:rPr>
        <w:t>5.06</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完成年初预算的</w:t>
      </w:r>
      <w:r>
        <w:rPr>
          <w:rFonts w:hint="eastAsia" w:ascii="仿宋_GB2312" w:hAnsi="黑体" w:eastAsia="仿宋_GB2312" w:cs="仿宋_GB2312"/>
          <w:kern w:val="0"/>
          <w:sz w:val="32"/>
          <w:szCs w:val="32"/>
          <w:lang w:val="en-US" w:eastAsia="zh-CN"/>
        </w:rPr>
        <w:t>105.98%</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原因是补发绩效工资总量产生的住房公积金补缴。</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65.09</w:t>
      </w:r>
      <w:r>
        <w:rPr>
          <w:rFonts w:hint="eastAsia" w:ascii="仿宋_GB2312" w:eastAsia="仿宋_GB2312" w:cs="仿宋_GB2312"/>
          <w:kern w:val="0"/>
          <w:sz w:val="32"/>
          <w:szCs w:val="32"/>
        </w:rPr>
        <w:t>万元，支出具体情况如下：</w:t>
      </w:r>
    </w:p>
    <w:p>
      <w:pPr>
        <w:autoSpaceDE w:val="0"/>
        <w:autoSpaceDN w:val="0"/>
        <w:adjustRightInd w:val="0"/>
        <w:spacing w:line="560" w:lineRule="exact"/>
        <w:ind w:firstLine="640" w:firstLineChars="200"/>
        <w:jc w:val="both"/>
        <w:rPr>
          <w:rFonts w:hint="eastAsia" w:ascii="仿宋_GB2312" w:eastAsia="仿宋_GB2312"/>
          <w:bCs/>
          <w:kern w:val="0"/>
          <w:sz w:val="32"/>
          <w:szCs w:val="32"/>
          <w:lang w:eastAsia="zh-CN"/>
        </w:rPr>
      </w:pPr>
      <w:r>
        <w:rPr>
          <w:rFonts w:hint="eastAsia" w:ascii="仿宋_GB2312" w:eastAsia="仿宋_GB2312"/>
          <w:bCs/>
          <w:kern w:val="0"/>
          <w:sz w:val="32"/>
          <w:szCs w:val="32"/>
        </w:rPr>
        <w:t>（一）工资福利支出</w:t>
      </w:r>
      <w:r>
        <w:rPr>
          <w:rFonts w:hint="eastAsia" w:ascii="仿宋_GB2312" w:eastAsia="仿宋_GB2312"/>
          <w:bCs/>
          <w:kern w:val="0"/>
          <w:sz w:val="32"/>
          <w:szCs w:val="32"/>
          <w:lang w:val="en-US" w:eastAsia="zh-CN"/>
        </w:rPr>
        <w:t>60.91</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150.99</w:t>
      </w:r>
      <w:r>
        <w:rPr>
          <w:rFonts w:hint="eastAsia" w:ascii="仿宋_GB2312" w:eastAsia="仿宋_GB2312"/>
          <w:bCs/>
          <w:kern w:val="0"/>
          <w:sz w:val="32"/>
          <w:szCs w:val="32"/>
        </w:rPr>
        <w:t>%。</w:t>
      </w:r>
      <w:r>
        <w:rPr>
          <w:rFonts w:hint="eastAsia" w:ascii="仿宋_GB2312" w:eastAsia="仿宋_GB2312"/>
          <w:bCs/>
          <w:kern w:val="0"/>
          <w:sz w:val="32"/>
          <w:szCs w:val="32"/>
          <w:lang w:eastAsia="zh-CN"/>
        </w:rPr>
        <w:t>主要原因是奖励性绩效因补发</w:t>
      </w:r>
      <w:r>
        <w:rPr>
          <w:rFonts w:hint="eastAsia" w:ascii="仿宋_GB2312" w:eastAsia="仿宋_GB2312"/>
          <w:bCs/>
          <w:kern w:val="0"/>
          <w:sz w:val="32"/>
          <w:szCs w:val="32"/>
          <w:lang w:val="en-US" w:eastAsia="zh-CN"/>
        </w:rPr>
        <w:t>2人全年数额较大，社保公积金补缴对应部分</w:t>
      </w:r>
      <w:r>
        <w:rPr>
          <w:rFonts w:hint="eastAsia" w:ascii="仿宋_GB2312" w:eastAsia="仿宋_GB2312"/>
          <w:bCs/>
          <w:kern w:val="0"/>
          <w:sz w:val="32"/>
          <w:szCs w:val="32"/>
          <w:lang w:eastAsia="zh-CN"/>
        </w:rPr>
        <w:t>。</w:t>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仿宋_GB2312" w:eastAsia="仿宋_GB2312"/>
          <w:bCs/>
          <w:kern w:val="0"/>
          <w:sz w:val="32"/>
          <w:szCs w:val="32"/>
        </w:rPr>
        <w:t>（二）商品和服务支出</w:t>
      </w:r>
      <w:r>
        <w:rPr>
          <w:rFonts w:hint="eastAsia" w:ascii="仿宋_GB2312" w:eastAsia="仿宋_GB2312"/>
          <w:bCs/>
          <w:kern w:val="0"/>
          <w:sz w:val="32"/>
          <w:szCs w:val="32"/>
          <w:lang w:val="en-US" w:eastAsia="zh-CN"/>
        </w:rPr>
        <w:t>4.18</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86.9</w:t>
      </w:r>
      <w:r>
        <w:rPr>
          <w:rFonts w:hint="eastAsia" w:ascii="仿宋_GB2312" w:eastAsia="仿宋_GB2312"/>
          <w:bCs/>
          <w:kern w:val="0"/>
          <w:sz w:val="32"/>
          <w:szCs w:val="32"/>
        </w:rPr>
        <w:t>%。</w:t>
      </w:r>
      <w:r>
        <w:rPr>
          <w:rFonts w:hint="eastAsia" w:ascii="仿宋_GB2312" w:eastAsia="仿宋_GB2312"/>
          <w:bCs/>
          <w:kern w:val="0"/>
          <w:sz w:val="32"/>
          <w:szCs w:val="32"/>
          <w:lang w:eastAsia="zh-CN"/>
        </w:rPr>
        <w:t>主要原因是根据工作安排合理的规范了办公用品的支出。</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b/>
          <w:bCs/>
          <w:kern w:val="0"/>
          <w:sz w:val="32"/>
          <w:szCs w:val="32"/>
        </w:rPr>
      </w:pPr>
      <w:r>
        <w:rPr>
          <w:rFonts w:hint="eastAsia" w:ascii="仿宋_GB2312" w:eastAsia="仿宋_GB2312" w:cs="仿宋_GB2312"/>
          <w:kern w:val="0"/>
          <w:sz w:val="32"/>
          <w:szCs w:val="32"/>
          <w:lang w:eastAsia="zh-CN"/>
        </w:rPr>
        <w:t>柳州市信访信息中心</w:t>
      </w:r>
      <w:r>
        <w:rPr>
          <w:rFonts w:hint="eastAsia" w:ascii="仿宋_GB2312" w:eastAsia="仿宋_GB2312" w:cs="仿宋_GB2312"/>
          <w:b w:val="0"/>
          <w:bCs w:val="0"/>
          <w:kern w:val="0"/>
          <w:sz w:val="32"/>
          <w:szCs w:val="32"/>
        </w:rPr>
        <w:t>202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年度没有政府性基金收入，也没有政府性基金安排的支出，故无数据情况说明。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left="0" w:leftChars="0"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柳州市信访信息中心</w:t>
      </w:r>
      <w:r>
        <w:rPr>
          <w:rFonts w:hint="eastAsia" w:ascii="仿宋_GB2312" w:eastAsia="仿宋_GB2312" w:cs="仿宋_GB2312"/>
          <w:b w:val="0"/>
          <w:bCs w:val="0"/>
          <w:kern w:val="0"/>
          <w:sz w:val="32"/>
          <w:szCs w:val="32"/>
        </w:rPr>
        <w:t>202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w:t>
      </w:r>
      <w:r>
        <w:rPr>
          <w:rFonts w:hint="eastAsia" w:ascii="仿宋_GB2312" w:eastAsia="仿宋_GB2312" w:cs="仿宋_GB2312"/>
          <w:b w:val="0"/>
          <w:kern w:val="0"/>
          <w:sz w:val="32"/>
          <w:szCs w:val="32"/>
        </w:rPr>
        <w:t>国有资本经营预算财政拨款</w:t>
      </w:r>
      <w:r>
        <w:rPr>
          <w:rFonts w:hint="eastAsia" w:ascii="仿宋_GB2312" w:eastAsia="仿宋_GB2312" w:cs="仿宋_GB2312"/>
          <w:b w:val="0"/>
          <w:bCs w:val="0"/>
          <w:kern w:val="0"/>
          <w:sz w:val="32"/>
          <w:szCs w:val="32"/>
        </w:rPr>
        <w:t>收入，也没有</w:t>
      </w:r>
      <w:r>
        <w:rPr>
          <w:rFonts w:hint="eastAsia" w:ascii="仿宋_GB2312" w:eastAsia="仿宋_GB2312" w:cs="仿宋_GB2312"/>
          <w:b w:val="0"/>
          <w:kern w:val="0"/>
          <w:sz w:val="32"/>
          <w:szCs w:val="32"/>
        </w:rPr>
        <w:t>国有资本经营预算财政拨款安排</w:t>
      </w:r>
      <w:r>
        <w:rPr>
          <w:rFonts w:hint="eastAsia" w:ascii="仿宋_GB2312" w:eastAsia="仿宋_GB2312" w:cs="仿宋_GB2312"/>
          <w:b w:val="0"/>
          <w:bCs w:val="0"/>
          <w:kern w:val="0"/>
          <w:sz w:val="32"/>
          <w:szCs w:val="32"/>
        </w:rPr>
        <w:t>的支出，故无数据情况说明</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0.08</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72.73</w:t>
      </w:r>
      <w:r>
        <w:rPr>
          <w:rFonts w:hint="eastAsia" w:ascii="仿宋_GB2312" w:eastAsia="仿宋_GB2312" w:cs="仿宋_GB2312"/>
          <w:kern w:val="0"/>
          <w:sz w:val="32"/>
          <w:szCs w:val="32"/>
        </w:rPr>
        <w:t>%，比上年</w:t>
      </w:r>
      <w:r>
        <w:rPr>
          <w:rFonts w:hint="eastAsia" w:ascii="仿宋_GB2312" w:eastAsia="仿宋_GB2312" w:cs="仿宋_GB2312"/>
          <w:kern w:val="0"/>
          <w:sz w:val="32"/>
          <w:szCs w:val="32"/>
          <w:lang w:eastAsia="zh-CN"/>
        </w:rPr>
        <w:t>增加</w:t>
      </w:r>
      <w:r>
        <w:rPr>
          <w:rFonts w:hint="eastAsia" w:ascii="仿宋_GB2312" w:eastAsia="仿宋_GB2312" w:cs="仿宋_GB2312"/>
          <w:kern w:val="0"/>
          <w:sz w:val="32"/>
          <w:szCs w:val="32"/>
          <w:lang w:val="en-US" w:eastAsia="zh-CN"/>
        </w:rPr>
        <w:t>0.08</w:t>
      </w:r>
      <w:r>
        <w:rPr>
          <w:rFonts w:hint="eastAsia" w:ascii="仿宋_GB2312" w:eastAsia="仿宋_GB2312" w:cs="仿宋_GB2312"/>
          <w:kern w:val="0"/>
          <w:sz w:val="32"/>
          <w:szCs w:val="32"/>
        </w:rPr>
        <w:t>万元，主要原因是</w:t>
      </w:r>
      <w:r>
        <w:rPr>
          <w:rFonts w:hint="eastAsia" w:ascii="仿宋_GB2312" w:eastAsia="仿宋_GB2312" w:cs="仿宋_GB2312"/>
          <w:kern w:val="0"/>
          <w:sz w:val="32"/>
          <w:szCs w:val="32"/>
          <w:lang w:eastAsia="zh-CN"/>
        </w:rPr>
        <w:t>上年未支出三公经费</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0.08</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与上年无差异</w:t>
      </w:r>
      <w:r>
        <w:rPr>
          <w:rFonts w:hint="eastAsia" w:ascii="仿宋_GB2312" w:eastAsia="仿宋_GB2312" w:cs="仿宋_GB2312"/>
          <w:kern w:val="0"/>
          <w:sz w:val="32"/>
          <w:szCs w:val="32"/>
        </w:rPr>
        <w:t>。全年使用财政拨款安排</w:t>
      </w:r>
      <w:r>
        <w:rPr>
          <w:rFonts w:hint="eastAsia" w:ascii="仿宋_GB2312" w:hAnsi="黑体" w:eastAsia="仿宋_GB2312"/>
          <w:bCs/>
          <w:color w:val="000000"/>
          <w:sz w:val="32"/>
          <w:szCs w:val="32"/>
        </w:rPr>
        <w:t>全年因公出国（境）团组共计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个，累计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人次</w:t>
      </w:r>
      <w:r>
        <w:rPr>
          <w:rFonts w:hint="eastAsia" w:ascii="仿宋_GB2312" w:hAnsi="黑体" w:eastAsia="仿宋_GB2312"/>
          <w:bCs/>
          <w:color w:val="000000"/>
          <w:sz w:val="32"/>
          <w:szCs w:val="32"/>
          <w:lang w:val="en-US" w:eastAsia="zh-CN"/>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公务用车购置支出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与上年无差异。</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公务用车运行支出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与上年无差异</w:t>
      </w:r>
      <w:r>
        <w:rPr>
          <w:rFonts w:hint="eastAsia" w:ascii="仿宋_GB2312" w:eastAsia="仿宋_GB2312" w:cs="仿宋_GB2312"/>
          <w:kern w:val="0"/>
          <w:sz w:val="32"/>
          <w:szCs w:val="32"/>
        </w:rPr>
        <w:t>。主要用于机要文件交换、市内因公出行以及开展业务所需车辆燃料费、维修费、过路过桥费、保险费等。</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年</w:t>
      </w:r>
      <w:r>
        <w:rPr>
          <w:rFonts w:hint="eastAsia" w:ascii="仿宋_GB2312" w:hAnsi="黑体" w:eastAsia="仿宋_GB2312"/>
          <w:bCs/>
          <w:color w:val="000000"/>
          <w:sz w:val="32"/>
          <w:szCs w:val="32"/>
          <w:u w:val="none"/>
          <w:lang w:eastAsia="zh-CN"/>
        </w:rPr>
        <w:t>柳州市信访信息中心</w:t>
      </w:r>
      <w:r>
        <w:rPr>
          <w:rFonts w:hint="eastAsia" w:ascii="仿宋_GB2312" w:hAnsi="黑体" w:eastAsia="仿宋_GB2312"/>
          <w:bCs/>
          <w:color w:val="000000"/>
          <w:sz w:val="32"/>
          <w:szCs w:val="32"/>
        </w:rPr>
        <w:t>开支财政拨款的公务用车保有量为</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辆</w:t>
      </w:r>
      <w:r>
        <w:rPr>
          <w:rFonts w:hint="eastAsia" w:ascii="仿宋_GB2312" w:hAnsi="黑体" w:eastAsia="仿宋_GB2312"/>
          <w:b/>
          <w:bCs w:val="0"/>
          <w:color w:val="000000"/>
          <w:sz w:val="32"/>
          <w:szCs w:val="32"/>
        </w:rPr>
        <w:t>，</w:t>
      </w:r>
      <w:r>
        <w:rPr>
          <w:rFonts w:hint="eastAsia" w:ascii="仿宋_GB2312" w:hAnsi="黑体" w:eastAsia="仿宋_GB2312"/>
          <w:bCs/>
          <w:color w:val="000000"/>
          <w:sz w:val="32"/>
          <w:szCs w:val="32"/>
        </w:rPr>
        <w:t>全年运行费支出</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万元，平均每辆</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万元。</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0.08</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72.73</w:t>
      </w:r>
      <w:r>
        <w:rPr>
          <w:rFonts w:hint="eastAsia" w:ascii="仿宋_GB2312" w:eastAsia="仿宋_GB2312" w:cs="仿宋_GB2312"/>
          <w:kern w:val="0"/>
          <w:sz w:val="32"/>
          <w:szCs w:val="32"/>
        </w:rPr>
        <w:t>%， 比上年</w:t>
      </w:r>
      <w:r>
        <w:rPr>
          <w:rFonts w:hint="eastAsia" w:ascii="仿宋_GB2312" w:eastAsia="仿宋_GB2312" w:cs="仿宋_GB2312"/>
          <w:kern w:val="0"/>
          <w:sz w:val="32"/>
          <w:szCs w:val="32"/>
          <w:lang w:eastAsia="zh-CN"/>
        </w:rPr>
        <w:t>增加</w:t>
      </w:r>
      <w:r>
        <w:rPr>
          <w:rFonts w:hint="eastAsia" w:ascii="仿宋_GB2312" w:eastAsia="仿宋_GB2312" w:cs="仿宋_GB2312"/>
          <w:kern w:val="0"/>
          <w:sz w:val="32"/>
          <w:szCs w:val="32"/>
          <w:lang w:val="en-US" w:eastAsia="zh-CN"/>
        </w:rPr>
        <w:t>0.08</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eastAsia="zh-CN"/>
        </w:rPr>
        <w:t>上年度未开支公务接待费</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次。其中：</w:t>
      </w:r>
      <w:r>
        <w:rPr>
          <w:rFonts w:hint="eastAsia" w:ascii="仿宋_GB2312" w:eastAsia="仿宋_GB2312" w:cs="仿宋_GB2312"/>
          <w:kern w:val="0"/>
          <w:sz w:val="32"/>
          <w:szCs w:val="32"/>
          <w:lang w:eastAsia="zh-CN"/>
        </w:rPr>
        <w:t>国内公务接待为上级部门到我市开展督查调研工作，接待产生餐费。</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b w:val="0"/>
          <w:kern w:val="0"/>
          <w:sz w:val="32"/>
          <w:szCs w:val="32"/>
        </w:rPr>
      </w:pPr>
      <w:r>
        <w:rPr>
          <w:rFonts w:hint="eastAsia" w:ascii="仿宋_GB2312" w:eastAsia="仿宋_GB2312" w:cs="仿宋_GB2312"/>
          <w:b w:val="0"/>
          <w:kern w:val="0"/>
          <w:sz w:val="32"/>
          <w:szCs w:val="32"/>
        </w:rPr>
        <w:t>本</w:t>
      </w:r>
      <w:r>
        <w:rPr>
          <w:rFonts w:hint="eastAsia" w:ascii="仿宋_GB2312" w:eastAsia="仿宋_GB2312" w:cs="仿宋_GB2312"/>
          <w:b w:val="0"/>
          <w:kern w:val="0"/>
          <w:sz w:val="32"/>
          <w:szCs w:val="32"/>
          <w:lang w:eastAsia="zh-CN"/>
        </w:rPr>
        <w:t>单位</w:t>
      </w:r>
      <w:r>
        <w:rPr>
          <w:rFonts w:hint="eastAsia" w:ascii="仿宋_GB2312" w:eastAsia="仿宋_GB2312" w:cs="仿宋_GB2312"/>
          <w:b w:val="0"/>
          <w:kern w:val="0"/>
          <w:sz w:val="32"/>
          <w:szCs w:val="32"/>
        </w:rPr>
        <w:t>无机关运行经费支出</w:t>
      </w:r>
      <w:r>
        <w:rPr>
          <w:rFonts w:hint="eastAsia" w:ascii="仿宋_GB2312" w:eastAsia="仿宋_GB2312" w:cs="仿宋_GB2312"/>
          <w:b w:val="0"/>
          <w:kern w:val="0"/>
          <w:sz w:val="32"/>
          <w:szCs w:val="32"/>
          <w:lang w:eastAsia="zh-CN"/>
        </w:rPr>
        <w:t>。</w:t>
      </w:r>
    </w:p>
    <w:p>
      <w:pPr>
        <w:numPr>
          <w:ilvl w:val="0"/>
          <w:numId w:val="2"/>
        </w:num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政府采购支出情况说明。</w:t>
      </w:r>
    </w:p>
    <w:p>
      <w:pPr>
        <w:numPr>
          <w:ilvl w:val="-1"/>
          <w:numId w:val="0"/>
        </w:num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仿宋_GB2312" w:eastAsia="仿宋_GB2312" w:cs="仿宋_GB2312"/>
          <w:b w:val="0"/>
          <w:kern w:val="0"/>
          <w:sz w:val="32"/>
          <w:szCs w:val="32"/>
        </w:rPr>
        <w:t>本</w:t>
      </w:r>
      <w:r>
        <w:rPr>
          <w:rFonts w:hint="eastAsia" w:ascii="仿宋_GB2312" w:eastAsia="仿宋_GB2312" w:cs="仿宋_GB2312"/>
          <w:b w:val="0"/>
          <w:kern w:val="0"/>
          <w:sz w:val="32"/>
          <w:szCs w:val="32"/>
          <w:lang w:eastAsia="zh-CN"/>
        </w:rPr>
        <w:t>单位</w:t>
      </w:r>
      <w:r>
        <w:rPr>
          <w:rFonts w:hint="eastAsia" w:ascii="仿宋_GB2312" w:eastAsia="仿宋_GB2312" w:cs="仿宋_GB2312"/>
          <w:b w:val="0"/>
          <w:kern w:val="0"/>
          <w:sz w:val="32"/>
          <w:szCs w:val="32"/>
        </w:rPr>
        <w:t>无机关运行经费支出</w:t>
      </w:r>
      <w:r>
        <w:rPr>
          <w:rFonts w:hint="eastAsia" w:ascii="仿宋_GB2312" w:eastAsia="仿宋_GB2312" w:cs="仿宋_GB2312"/>
          <w:b w:val="0"/>
          <w:kern w:val="0"/>
          <w:sz w:val="32"/>
          <w:szCs w:val="32"/>
          <w:lang w:eastAsia="zh-CN"/>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60" w:lineRule="exact"/>
        <w:ind w:firstLine="627" w:firstLineChars="196"/>
        <w:jc w:val="both"/>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年12月31日，本部门共有车辆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辆；其他用车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辆；单价50万元以上通用设备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根据财政预算管理要求，我</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组织对</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个</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单位）开展整体支出绩效评价试点，涉及一般公共预算支出</w:t>
      </w:r>
      <w:r>
        <w:rPr>
          <w:rFonts w:hint="eastAsia" w:ascii="仿宋_GB2312" w:eastAsia="仿宋_GB2312" w:cs="仿宋_GB2312"/>
          <w:kern w:val="0"/>
          <w:sz w:val="32"/>
          <w:szCs w:val="32"/>
          <w:lang w:val="en-US" w:eastAsia="zh-CN"/>
        </w:rPr>
        <w:t>97.05</w:t>
      </w:r>
      <w:r>
        <w:rPr>
          <w:rFonts w:hint="eastAsia" w:ascii="仿宋_GB2312" w:eastAsia="仿宋_GB2312" w:cs="仿宋_GB2312"/>
          <w:kern w:val="0"/>
          <w:sz w:val="32"/>
          <w:szCs w:val="32"/>
        </w:rPr>
        <w:t>万元，政府性基金预算支出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万元。从评价情况来看，</w:t>
      </w:r>
      <w:r>
        <w:rPr>
          <w:rFonts w:hint="eastAsia" w:ascii="仿宋_GB2312" w:eastAsia="仿宋_GB2312" w:cs="仿宋_GB2312"/>
          <w:b w:val="0"/>
          <w:bCs w:val="0"/>
          <w:kern w:val="0"/>
          <w:sz w:val="32"/>
          <w:szCs w:val="32"/>
          <w:lang w:eastAsia="zh-CN"/>
        </w:rPr>
        <w:t>预算绩效考核很好的促进了资金的使用规范以及助力了业务工作的高质量发展。</w:t>
      </w:r>
    </w:p>
    <w:p>
      <w:pPr>
        <w:spacing w:line="560" w:lineRule="exact"/>
        <w:ind w:firstLine="645"/>
        <w:jc w:val="center"/>
        <w:rPr>
          <w:rFonts w:ascii="仿宋_GB2312" w:eastAsia="仿宋_GB2312"/>
          <w:b/>
          <w:sz w:val="32"/>
          <w:szCs w:val="32"/>
        </w:rPr>
      </w:pPr>
      <w:r>
        <w:rPr>
          <w:rFonts w:hint="eastAsia" w:ascii="仿宋_GB2312" w:eastAsia="仿宋_GB2312"/>
          <w:b/>
          <w:sz w:val="32"/>
          <w:szCs w:val="32"/>
        </w:rPr>
        <w:t>第四部分：名词解释</w:t>
      </w:r>
    </w:p>
    <w:p>
      <w:pPr>
        <w:spacing w:line="560" w:lineRule="exact"/>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spacing w:line="560" w:lineRule="exact"/>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spacing w:line="560" w:lineRule="exact"/>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cs="仿宋_GB2312"/>
          <w:kern w:val="0"/>
          <w:sz w:val="32"/>
          <w:szCs w:val="32"/>
        </w:rPr>
      </w:pPr>
    </w:p>
    <w:p/>
    <w:p/>
    <w:sectPr>
      <w:footerReference r:id="rId8" w:type="default"/>
      <w:pgSz w:w="11906" w:h="16838"/>
      <w:pgMar w:top="1440" w:right="1417" w:bottom="1440"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3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11</w:t>
                    </w:r>
                    <w:r>
                      <w:fldChar w:fldCharType="end"/>
                    </w:r>
                    <w:r>
                      <w:t xml:space="preserve"> —</w:t>
                    </w:r>
                  </w:p>
                </w:txbxContent>
              </v:textbox>
            </v:shape>
          </w:pict>
        </mc:Fallback>
      </mc:AlternateContent>
    </w:r>
  </w:p>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15</w:t>
                    </w:r>
                    <w:r>
                      <w:fldChar w:fldCharType="end"/>
                    </w:r>
                    <w:r>
                      <w:t xml:space="preserve"> —</w:t>
                    </w:r>
                  </w:p>
                </w:txbxContent>
              </v:textbox>
            </v:shape>
          </w:pict>
        </mc:Fallback>
      </mc:AlternateContent>
    </w:r>
  </w:p>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38D55B"/>
    <w:multiLevelType w:val="singleLevel"/>
    <w:tmpl w:val="FA38D55B"/>
    <w:lvl w:ilvl="0" w:tentative="0">
      <w:start w:val="2"/>
      <w:numFmt w:val="chineseCounting"/>
      <w:suff w:val="nothing"/>
      <w:lvlText w:val="（%1）"/>
      <w:lvlJc w:val="left"/>
      <w:rPr>
        <w:rFonts w:hint="eastAsia"/>
      </w:rPr>
    </w:lvl>
  </w:abstractNum>
  <w:abstractNum w:abstractNumId="1">
    <w:nsid w:val="34425834"/>
    <w:multiLevelType w:val="singleLevel"/>
    <w:tmpl w:val="34425834"/>
    <w:lvl w:ilvl="0" w:tentative="0">
      <w:start w:val="8"/>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6C1367"/>
    <w:rsid w:val="00715385"/>
    <w:rsid w:val="00C31057"/>
    <w:rsid w:val="00E1399E"/>
    <w:rsid w:val="00F66C5B"/>
    <w:rsid w:val="01965001"/>
    <w:rsid w:val="04391E0A"/>
    <w:rsid w:val="05352423"/>
    <w:rsid w:val="094B45FA"/>
    <w:rsid w:val="0A0C33E4"/>
    <w:rsid w:val="0B424B1D"/>
    <w:rsid w:val="0DA86951"/>
    <w:rsid w:val="0E074DDF"/>
    <w:rsid w:val="0E4B13B0"/>
    <w:rsid w:val="0F0F5ED6"/>
    <w:rsid w:val="0F965393"/>
    <w:rsid w:val="0F9B224A"/>
    <w:rsid w:val="122B3F49"/>
    <w:rsid w:val="124204B5"/>
    <w:rsid w:val="14F016D4"/>
    <w:rsid w:val="15823E15"/>
    <w:rsid w:val="15F70B98"/>
    <w:rsid w:val="1612602D"/>
    <w:rsid w:val="16B90A0F"/>
    <w:rsid w:val="182962AB"/>
    <w:rsid w:val="19D073EB"/>
    <w:rsid w:val="1A650904"/>
    <w:rsid w:val="1B412D73"/>
    <w:rsid w:val="1CC31F67"/>
    <w:rsid w:val="1D340EEA"/>
    <w:rsid w:val="1F523A40"/>
    <w:rsid w:val="223B4469"/>
    <w:rsid w:val="2249565E"/>
    <w:rsid w:val="2441660F"/>
    <w:rsid w:val="24C56837"/>
    <w:rsid w:val="24D337DC"/>
    <w:rsid w:val="26460DBA"/>
    <w:rsid w:val="29B75AC7"/>
    <w:rsid w:val="2B6F74EB"/>
    <w:rsid w:val="2C1F0B15"/>
    <w:rsid w:val="2C4219FE"/>
    <w:rsid w:val="2CAC05C1"/>
    <w:rsid w:val="31A87284"/>
    <w:rsid w:val="335718FE"/>
    <w:rsid w:val="33FE46E0"/>
    <w:rsid w:val="34020F86"/>
    <w:rsid w:val="341361ED"/>
    <w:rsid w:val="39A63F06"/>
    <w:rsid w:val="3C017E2C"/>
    <w:rsid w:val="3E6F4772"/>
    <w:rsid w:val="3EA76E14"/>
    <w:rsid w:val="3EA872B2"/>
    <w:rsid w:val="3ED1439F"/>
    <w:rsid w:val="42235D58"/>
    <w:rsid w:val="44500BF5"/>
    <w:rsid w:val="44560C84"/>
    <w:rsid w:val="449F7C46"/>
    <w:rsid w:val="450558F2"/>
    <w:rsid w:val="47F43786"/>
    <w:rsid w:val="48374EDC"/>
    <w:rsid w:val="4B62683F"/>
    <w:rsid w:val="4C256E3D"/>
    <w:rsid w:val="4CB52F0F"/>
    <w:rsid w:val="4E0E1A4F"/>
    <w:rsid w:val="4E2875DF"/>
    <w:rsid w:val="50C04C3A"/>
    <w:rsid w:val="50C40EF4"/>
    <w:rsid w:val="532F1F9A"/>
    <w:rsid w:val="559117FB"/>
    <w:rsid w:val="559829E8"/>
    <w:rsid w:val="56711B28"/>
    <w:rsid w:val="57931D57"/>
    <w:rsid w:val="59C3016D"/>
    <w:rsid w:val="5DBB25AC"/>
    <w:rsid w:val="5E995A3E"/>
    <w:rsid w:val="5ECE51DD"/>
    <w:rsid w:val="5F933EA7"/>
    <w:rsid w:val="5F95061E"/>
    <w:rsid w:val="5FC1266C"/>
    <w:rsid w:val="5FFF34AC"/>
    <w:rsid w:val="617E254E"/>
    <w:rsid w:val="62163194"/>
    <w:rsid w:val="624D024D"/>
    <w:rsid w:val="62E71F34"/>
    <w:rsid w:val="63503C1F"/>
    <w:rsid w:val="6371239B"/>
    <w:rsid w:val="650E086A"/>
    <w:rsid w:val="67DF59FC"/>
    <w:rsid w:val="69717777"/>
    <w:rsid w:val="6A695ED3"/>
    <w:rsid w:val="6BAA0708"/>
    <w:rsid w:val="6CE17720"/>
    <w:rsid w:val="6D672953"/>
    <w:rsid w:val="6DBA605A"/>
    <w:rsid w:val="6FD028E5"/>
    <w:rsid w:val="70046E9D"/>
    <w:rsid w:val="72231A60"/>
    <w:rsid w:val="727F1CBC"/>
    <w:rsid w:val="743631A3"/>
    <w:rsid w:val="75AF6C8B"/>
    <w:rsid w:val="76016221"/>
    <w:rsid w:val="763E2465"/>
    <w:rsid w:val="77474C4B"/>
    <w:rsid w:val="7E3D3DE4"/>
    <w:rsid w:val="7F951F17"/>
    <w:rsid w:val="B74F9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8">
    <w:name w:val="批注框文本 Char"/>
    <w:basedOn w:val="5"/>
    <w:link w:val="2"/>
    <w:qFormat/>
    <w:uiPriority w:val="0"/>
    <w:rPr>
      <w:kern w:val="2"/>
      <w:sz w:val="18"/>
      <w:szCs w:val="18"/>
    </w:rPr>
  </w:style>
  <w:style w:type="character" w:customStyle="1" w:styleId="9">
    <w:name w:val="font11"/>
    <w:basedOn w:val="5"/>
    <w:qFormat/>
    <w:uiPriority w:val="0"/>
    <w:rPr>
      <w:rFonts w:hint="eastAsia" w:ascii="宋体" w:hAnsi="宋体" w:eastAsia="宋体" w:cs="宋体"/>
      <w:color w:val="000000"/>
      <w:sz w:val="22"/>
      <w:szCs w:val="22"/>
      <w:u w:val="none"/>
    </w:rPr>
  </w:style>
  <w:style w:type="character" w:customStyle="1" w:styleId="10">
    <w:name w:val="font01"/>
    <w:basedOn w:val="5"/>
    <w:qFormat/>
    <w:uiPriority w:val="0"/>
    <w:rPr>
      <w:rFonts w:hint="eastAsia" w:ascii="宋体" w:hAnsi="宋体" w:eastAsia="宋体" w:cs="宋体"/>
      <w:color w:val="000000"/>
      <w:sz w:val="24"/>
      <w:szCs w:val="24"/>
      <w:u w:val="none"/>
    </w:rPr>
  </w:style>
  <w:style w:type="character" w:customStyle="1" w:styleId="11">
    <w:name w:val="font21"/>
    <w:basedOn w:val="5"/>
    <w:qFormat/>
    <w:uiPriority w:val="0"/>
    <w:rPr>
      <w:rFonts w:hint="eastAsia" w:ascii="宋体" w:hAnsi="宋体" w:eastAsia="宋体" w:cs="宋体"/>
      <w:color w:val="000000"/>
      <w:sz w:val="24"/>
      <w:szCs w:val="24"/>
      <w:u w:val="none"/>
    </w:rPr>
  </w:style>
  <w:style w:type="character" w:customStyle="1" w:styleId="12">
    <w:name w:val="font41"/>
    <w:basedOn w:val="5"/>
    <w:qFormat/>
    <w:uiPriority w:val="0"/>
    <w:rPr>
      <w:rFonts w:hint="eastAsia" w:ascii="宋体" w:hAnsi="宋体" w:eastAsia="宋体" w:cs="宋体"/>
      <w:color w:val="000000"/>
      <w:sz w:val="22"/>
      <w:szCs w:val="22"/>
      <w:u w:val="none"/>
    </w:rPr>
  </w:style>
  <w:style w:type="character" w:customStyle="1" w:styleId="13">
    <w:name w:val="font5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12</TotalTime>
  <ScaleCrop>false</ScaleCrop>
  <LinksUpToDate>false</LinksUpToDate>
  <CharactersWithSpaces>8540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2020-07-15T16:43:00Z</dcterms:created>
  <dc:creator>陈冬雪</dc:creator>
  <cp:lastModifiedBy>李彬</cp:lastModifiedBy>
  <cp:lastPrinted>2022-08-03T10:47:00Z</cp:lastPrinted>
  <dcterms:modified xsi:type="dcterms:W3CDTF">2022-09-13T02:22:48Z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