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s="ArialUnicodeMS"/>
          <w:kern w:val="0"/>
          <w:sz w:val="32"/>
          <w:szCs w:val="32"/>
        </w:rPr>
      </w:pPr>
    </w:p>
    <w:p>
      <w:pPr>
        <w:rPr>
          <w:rFonts w:ascii="黑体" w:eastAsia="黑体" w:cs="ArialUnicodeMS"/>
          <w:kern w:val="0"/>
          <w:sz w:val="72"/>
          <w:szCs w:val="72"/>
        </w:rPr>
      </w:pPr>
    </w:p>
    <w:p>
      <w:pPr>
        <w:rPr>
          <w:rFonts w:ascii="黑体" w:eastAsia="黑体" w:cs="ArialUnicodeMS"/>
          <w:kern w:val="0"/>
          <w:sz w:val="72"/>
          <w:szCs w:val="72"/>
        </w:rPr>
      </w:pPr>
    </w:p>
    <w:p>
      <w:pPr>
        <w:jc w:val="center"/>
        <w:rPr>
          <w:rFonts w:hint="eastAsia" w:ascii="黑体" w:eastAsia="黑体" w:cs="ArialUnicodeMS"/>
          <w:kern w:val="0"/>
          <w:sz w:val="52"/>
          <w:szCs w:val="52"/>
          <w:lang w:eastAsia="zh-CN"/>
        </w:rPr>
      </w:pPr>
      <w:r>
        <w:rPr>
          <w:rFonts w:hint="eastAsia" w:ascii="黑体" w:eastAsia="黑体" w:cs="ArialUnicodeMS"/>
          <w:kern w:val="0"/>
          <w:sz w:val="52"/>
          <w:szCs w:val="52"/>
          <w:lang w:eastAsia="zh-CN"/>
        </w:rPr>
        <w:t>柳州市总工会职工服务中心</w:t>
      </w:r>
    </w:p>
    <w:p>
      <w:pPr>
        <w:jc w:val="center"/>
        <w:rPr>
          <w:rFonts w:ascii="黑体" w:eastAsia="黑体" w:cs="ArialUnicodeMS"/>
          <w:kern w:val="0"/>
          <w:sz w:val="52"/>
          <w:szCs w:val="52"/>
        </w:rPr>
      </w:pPr>
      <w:r>
        <w:rPr>
          <w:rFonts w:hint="eastAsia" w:ascii="黑体" w:eastAsia="黑体"/>
          <w:kern w:val="0"/>
          <w:sz w:val="52"/>
          <w:szCs w:val="52"/>
          <w:lang w:eastAsia="zh-CN"/>
        </w:rPr>
        <w:t>2021</w:t>
      </w:r>
      <w:r>
        <w:rPr>
          <w:rFonts w:hint="eastAsia" w:ascii="黑体" w:eastAsia="黑体" w:cs="ArialUnicodeMS"/>
          <w:kern w:val="0"/>
          <w:sz w:val="52"/>
          <w:szCs w:val="52"/>
        </w:rPr>
        <w:t>年度部门决算</w:t>
      </w: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center"/>
        <w:rPr>
          <w:rFonts w:ascii="黑体" w:eastAsia="黑体" w:cs="黑体"/>
          <w:kern w:val="0"/>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firstLine="645"/>
        <w:rPr>
          <w:rFonts w:ascii="仿宋_GB2312" w:eastAsia="仿宋_GB2312"/>
          <w:b/>
          <w:sz w:val="32"/>
          <w:szCs w:val="32"/>
        </w:rPr>
      </w:pPr>
      <w:r>
        <w:rPr>
          <w:rFonts w:hint="eastAsia" w:ascii="仿宋_GB2312" w:eastAsia="仿宋_GB2312"/>
          <w:b/>
          <w:sz w:val="32"/>
          <w:szCs w:val="32"/>
        </w:rPr>
        <w:t>第一部分：</w:t>
      </w:r>
      <w:r>
        <w:rPr>
          <w:rFonts w:hint="eastAsia" w:ascii="仿宋_GB2312" w:hAnsi="黑体" w:eastAsia="仿宋_GB2312"/>
          <w:b/>
          <w:bCs/>
          <w:color w:val="000000"/>
          <w:sz w:val="32"/>
          <w:szCs w:val="32"/>
          <w:u w:val="none"/>
          <w:lang w:eastAsia="zh-CN"/>
        </w:rPr>
        <w:t>柳州市总工会职工服务中心</w:t>
      </w:r>
      <w:r>
        <w:rPr>
          <w:rFonts w:hint="eastAsia" w:ascii="仿宋_GB2312" w:eastAsia="仿宋_GB2312"/>
          <w:b/>
          <w:sz w:val="32"/>
          <w:szCs w:val="32"/>
        </w:rPr>
        <w:t>概况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二、单位机构设置情况</w:t>
      </w:r>
    </w:p>
    <w:p>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u w:val="none"/>
        </w:rPr>
        <w:t>：</w:t>
      </w:r>
      <w:r>
        <w:rPr>
          <w:rFonts w:hint="eastAsia" w:ascii="仿宋_GB2312" w:hAnsi="黑体" w:eastAsia="仿宋_GB2312"/>
          <w:b/>
          <w:bCs/>
          <w:color w:val="000000"/>
          <w:sz w:val="32"/>
          <w:szCs w:val="32"/>
          <w:u w:val="none"/>
          <w:lang w:eastAsia="zh-CN"/>
        </w:rPr>
        <w:t>柳州市总工会职工服务中心2</w:t>
      </w:r>
      <w:r>
        <w:rPr>
          <w:rFonts w:hint="eastAsia" w:ascii="仿宋_GB2312" w:eastAsia="仿宋_GB2312"/>
          <w:b/>
          <w:sz w:val="32"/>
          <w:szCs w:val="32"/>
          <w:lang w:eastAsia="zh-CN"/>
        </w:rPr>
        <w:t>021</w:t>
      </w:r>
      <w:r>
        <w:rPr>
          <w:rFonts w:hint="eastAsia" w:ascii="仿宋_GB2312" w:eastAsia="仿宋_GB2312"/>
          <w:b/>
          <w:sz w:val="32"/>
          <w:szCs w:val="32"/>
        </w:rPr>
        <w:t>年部门决算报表</w:t>
      </w:r>
    </w:p>
    <w:p>
      <w:pPr>
        <w:ind w:left="645"/>
        <w:rPr>
          <w:rFonts w:hint="eastAsia" w:ascii="仿宋_GB2312" w:eastAsia="仿宋_GB2312"/>
          <w:sz w:val="32"/>
          <w:szCs w:val="32"/>
        </w:rPr>
      </w:pPr>
      <w:r>
        <w:rPr>
          <w:rFonts w:hint="eastAsia" w:ascii="仿宋_GB2312" w:eastAsia="仿宋_GB2312"/>
          <w:sz w:val="32"/>
          <w:szCs w:val="32"/>
        </w:rPr>
        <w:t>表一：收入支出决算总表</w:t>
      </w:r>
    </w:p>
    <w:p>
      <w:pPr>
        <w:ind w:left="645"/>
        <w:rPr>
          <w:rFonts w:hint="eastAsia" w:ascii="仿宋_GB2312" w:eastAsia="仿宋_GB2312"/>
          <w:sz w:val="32"/>
          <w:szCs w:val="32"/>
        </w:rPr>
      </w:pPr>
      <w:r>
        <w:rPr>
          <w:rFonts w:hint="eastAsia" w:ascii="仿宋_GB2312" w:eastAsia="仿宋_GB2312"/>
          <w:sz w:val="32"/>
          <w:szCs w:val="32"/>
        </w:rPr>
        <w:t>表二：收入决算表</w:t>
      </w:r>
    </w:p>
    <w:p>
      <w:pPr>
        <w:ind w:left="645"/>
        <w:rPr>
          <w:rFonts w:hint="eastAsia" w:ascii="仿宋_GB2312" w:eastAsia="仿宋_GB2312"/>
          <w:sz w:val="32"/>
          <w:szCs w:val="32"/>
        </w:rPr>
      </w:pPr>
      <w:r>
        <w:rPr>
          <w:rFonts w:hint="eastAsia" w:ascii="仿宋_GB2312" w:eastAsia="仿宋_GB2312"/>
          <w:sz w:val="32"/>
          <w:szCs w:val="32"/>
        </w:rPr>
        <w:t>表三：支出决算表</w:t>
      </w:r>
    </w:p>
    <w:p>
      <w:pPr>
        <w:ind w:left="645"/>
        <w:rPr>
          <w:rFonts w:hint="eastAsia" w:ascii="仿宋_GB2312" w:eastAsia="仿宋_GB2312"/>
          <w:sz w:val="32"/>
          <w:szCs w:val="32"/>
        </w:rPr>
      </w:pPr>
      <w:r>
        <w:rPr>
          <w:rFonts w:hint="eastAsia" w:ascii="仿宋_GB2312" w:eastAsia="仿宋_GB2312"/>
          <w:sz w:val="32"/>
          <w:szCs w:val="32"/>
        </w:rPr>
        <w:t>表四：财政拨款收入支出决算总表</w:t>
      </w:r>
    </w:p>
    <w:p>
      <w:pPr>
        <w:ind w:left="645"/>
        <w:rPr>
          <w:rFonts w:hint="eastAsia" w:ascii="仿宋_GB2312" w:eastAsia="仿宋_GB2312"/>
          <w:sz w:val="32"/>
          <w:szCs w:val="32"/>
        </w:rPr>
      </w:pPr>
      <w:r>
        <w:rPr>
          <w:rFonts w:hint="eastAsia" w:ascii="仿宋_GB2312" w:eastAsia="仿宋_GB2312"/>
          <w:sz w:val="32"/>
          <w:szCs w:val="32"/>
        </w:rPr>
        <w:t>表五：一般公共预算财政拨款支出决算表</w:t>
      </w:r>
    </w:p>
    <w:p>
      <w:pPr>
        <w:ind w:left="645"/>
        <w:rPr>
          <w:rFonts w:hint="eastAsia" w:ascii="仿宋_GB2312" w:eastAsia="仿宋_GB2312"/>
          <w:sz w:val="32"/>
          <w:szCs w:val="32"/>
        </w:rPr>
      </w:pPr>
      <w:r>
        <w:rPr>
          <w:rFonts w:hint="eastAsia" w:ascii="仿宋_GB2312" w:eastAsia="仿宋_GB2312"/>
          <w:sz w:val="32"/>
          <w:szCs w:val="32"/>
        </w:rPr>
        <w:t>表六：一般公共预算财政拨款基本支出决算表</w:t>
      </w:r>
    </w:p>
    <w:p>
      <w:pPr>
        <w:ind w:left="645"/>
        <w:rPr>
          <w:rFonts w:hint="eastAsia" w:ascii="仿宋_GB2312" w:eastAsia="仿宋_GB2312"/>
          <w:sz w:val="32"/>
          <w:szCs w:val="32"/>
        </w:rPr>
      </w:pPr>
      <w:r>
        <w:rPr>
          <w:rFonts w:hint="eastAsia" w:ascii="仿宋_GB2312" w:eastAsia="仿宋_GB2312"/>
          <w:sz w:val="32"/>
          <w:szCs w:val="32"/>
        </w:rPr>
        <w:t>表七：一般公共预算财政拨款安排的“三公”经费支出决算表</w:t>
      </w:r>
    </w:p>
    <w:p>
      <w:pPr>
        <w:ind w:left="645"/>
        <w:rPr>
          <w:rFonts w:hint="eastAsia"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firstLine="645"/>
        <w:rPr>
          <w:rFonts w:hint="eastAsia" w:ascii="仿宋_GB2312" w:eastAsia="仿宋_GB2312"/>
          <w:sz w:val="32"/>
          <w:szCs w:val="32"/>
        </w:rPr>
      </w:pPr>
      <w:r>
        <w:rPr>
          <w:rFonts w:hint="eastAsia" w:ascii="仿宋_GB2312" w:eastAsia="仿宋_GB2312"/>
          <w:sz w:val="32"/>
          <w:szCs w:val="32"/>
        </w:rPr>
        <w:t>表九：国有资本经营预算</w:t>
      </w:r>
      <w:r>
        <w:rPr>
          <w:rFonts w:hint="eastAsia" w:ascii="仿宋_GB2312" w:hAnsi="黑体" w:eastAsia="仿宋_GB2312"/>
          <w:sz w:val="32"/>
          <w:szCs w:val="32"/>
        </w:rPr>
        <w:t>财政拨款</w:t>
      </w:r>
      <w:r>
        <w:rPr>
          <w:rFonts w:hint="eastAsia" w:ascii="仿宋_GB2312" w:eastAsia="仿宋_GB2312"/>
          <w:sz w:val="32"/>
          <w:szCs w:val="32"/>
        </w:rPr>
        <w:t>支出决算表</w:t>
      </w:r>
    </w:p>
    <w:p>
      <w:pPr>
        <w:ind w:firstLine="645"/>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u w:val="none"/>
        </w:rPr>
        <w:t>柳州市总工会职工服务中心</w:t>
      </w:r>
      <w:r>
        <w:rPr>
          <w:rFonts w:hint="eastAsia" w:ascii="仿宋_GB2312" w:eastAsia="仿宋_GB2312"/>
          <w:b/>
          <w:sz w:val="32"/>
          <w:szCs w:val="32"/>
          <w:lang w:eastAsia="zh-CN"/>
        </w:rPr>
        <w:t>2021</w:t>
      </w:r>
      <w:r>
        <w:rPr>
          <w:rFonts w:hint="eastAsia" w:ascii="仿宋_GB2312" w:eastAsia="仿宋_GB2312"/>
          <w:b/>
          <w:sz w:val="32"/>
          <w:szCs w:val="32"/>
        </w:rPr>
        <w:t>年度部门决算情况说明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年度收入支出决算总体情况。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年度一般公共预算财政拨款基本支出决算情况说明。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年度政府性基金支出决算情况。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五、</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年度国有资本经营预算支出决算情况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pPr>
        <w:ind w:firstLine="645"/>
        <w:rPr>
          <w:rFonts w:ascii="仿宋_GB2312" w:eastAsia="仿宋_GB2312"/>
          <w:b/>
          <w:sz w:val="32"/>
          <w:szCs w:val="32"/>
        </w:rPr>
      </w:pPr>
      <w:r>
        <w:rPr>
          <w:rFonts w:hint="eastAsia" w:ascii="仿宋_GB2312" w:eastAsia="仿宋_GB2312"/>
          <w:b/>
          <w:sz w:val="32"/>
          <w:szCs w:val="32"/>
        </w:rPr>
        <w:t>第四部分：名词解释</w:t>
      </w:r>
    </w:p>
    <w:p>
      <w:pPr>
        <w:ind w:firstLine="646"/>
        <w:jc w:val="center"/>
        <w:rPr>
          <w:rFonts w:ascii="仿宋_GB2312" w:eastAsia="仿宋_GB2312"/>
          <w:b/>
          <w:sz w:val="32"/>
          <w:szCs w:val="32"/>
        </w:rPr>
      </w:pPr>
      <w:r>
        <w:rPr>
          <w:rFonts w:hint="eastAsia" w:ascii="仿宋_GB2312" w:eastAsia="仿宋_GB2312" w:cs="仿宋_GB2312"/>
          <w:bCs/>
          <w:kern w:val="0"/>
          <w:sz w:val="32"/>
          <w:szCs w:val="32"/>
        </w:rPr>
        <w:br w:type="page"/>
      </w:r>
      <w:r>
        <w:rPr>
          <w:rFonts w:hint="eastAsia" w:ascii="仿宋_GB2312" w:eastAsia="仿宋_GB2312"/>
          <w:b/>
          <w:sz w:val="32"/>
          <w:szCs w:val="32"/>
        </w:rPr>
        <w:t>第一部分：</w:t>
      </w:r>
      <w:r>
        <w:rPr>
          <w:rFonts w:hint="eastAsia" w:ascii="仿宋_GB2312" w:hAnsi="黑体" w:eastAsia="仿宋_GB2312"/>
          <w:b/>
          <w:bCs/>
          <w:color w:val="000000"/>
          <w:sz w:val="32"/>
          <w:szCs w:val="32"/>
          <w:u w:val="none"/>
          <w:lang w:eastAsia="zh-CN"/>
        </w:rPr>
        <w:t>柳州市总工会职工服务中心</w:t>
      </w:r>
      <w:r>
        <w:rPr>
          <w:rFonts w:hint="eastAsia" w:ascii="仿宋_GB2312" w:eastAsia="仿宋_GB2312"/>
          <w:b/>
          <w:sz w:val="32"/>
          <w:szCs w:val="32"/>
        </w:rPr>
        <w:t>概况</w:t>
      </w:r>
    </w:p>
    <w:p>
      <w:pPr>
        <w:ind w:firstLine="646"/>
        <w:rPr>
          <w:rFonts w:ascii="仿宋_GB2312" w:eastAsia="仿宋_GB2312"/>
          <w:sz w:val="32"/>
          <w:szCs w:val="32"/>
        </w:rPr>
      </w:pPr>
      <w:r>
        <w:rPr>
          <w:rFonts w:hint="eastAsia" w:ascii="仿宋_GB2312" w:eastAsia="仿宋_GB2312"/>
          <w:sz w:val="32"/>
          <w:szCs w:val="32"/>
        </w:rPr>
        <w:t>一、主要职能</w:t>
      </w:r>
    </w:p>
    <w:p>
      <w:pPr>
        <w:ind w:firstLine="645"/>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一</w:t>
      </w:r>
      <w:r>
        <w:rPr>
          <w:rFonts w:hint="eastAsia" w:ascii="仿宋_GB2312" w:eastAsia="仿宋_GB2312"/>
          <w:sz w:val="32"/>
          <w:szCs w:val="32"/>
        </w:rPr>
        <w:t>)为全市职工群众提供困难帮扶服务。受理和核实职工(农民工)困难帮扶申请，为符合条件的职工(农民工)提供日常生活、医疗、子女就学、意外灾害等救助服务。负责困难职工帮扶档案及信息化管理相关工作。</w:t>
      </w:r>
    </w:p>
    <w:p>
      <w:pPr>
        <w:ind w:firstLine="645"/>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二</w:t>
      </w:r>
      <w:r>
        <w:rPr>
          <w:rFonts w:hint="eastAsia" w:ascii="仿宋_GB2312" w:eastAsia="仿宋_GB2312"/>
          <w:sz w:val="32"/>
          <w:szCs w:val="32"/>
        </w:rPr>
        <w:t>)为全市职工群众提供法律援助、政策咨询服务。在劳动争议案件中，为合法权益受到非法侵害的职工(农民工)提供有关法律、法规和政策咨询服务。对合法权益受到侵害的农民工提供政策咨询和维权服务。</w:t>
      </w:r>
    </w:p>
    <w:p>
      <w:pPr>
        <w:ind w:firstLine="645"/>
        <w:rPr>
          <w:rFonts w:hint="eastAsia" w:ascii="仿宋_GB2312" w:eastAsia="仿宋_GB2312"/>
          <w:sz w:val="32"/>
          <w:szCs w:val="32"/>
        </w:rPr>
      </w:pPr>
      <w:r>
        <w:rPr>
          <w:rFonts w:hint="eastAsia" w:ascii="仿宋_GB2312" w:eastAsia="仿宋_GB2312"/>
          <w:sz w:val="32"/>
          <w:szCs w:val="32"/>
        </w:rPr>
        <w:t>(三)协助开展职工群众信访接待及争议调解工作。协助上级部门开展职工群众信访和劳动争议调解工作。协助上级部门处理好劳动关系纠纷和职工群体性事件。</w:t>
      </w:r>
    </w:p>
    <w:p>
      <w:pPr>
        <w:ind w:firstLine="645"/>
        <w:rPr>
          <w:rFonts w:hint="eastAsia" w:ascii="仿宋_GB2312" w:eastAsia="仿宋_GB2312"/>
          <w:sz w:val="32"/>
          <w:szCs w:val="32"/>
        </w:rPr>
      </w:pPr>
      <w:r>
        <w:rPr>
          <w:rFonts w:hint="eastAsia" w:ascii="仿宋_GB2312" w:eastAsia="仿宋_GB2312"/>
          <w:sz w:val="32"/>
          <w:szCs w:val="32"/>
        </w:rPr>
        <w:t>(四)协助做好劳模档案日常、困难劳模登记、劳模津贴发放、协助做好职工疗休养等工作。</w:t>
      </w:r>
    </w:p>
    <w:p>
      <w:pPr>
        <w:ind w:firstLine="645"/>
        <w:rPr>
          <w:rFonts w:hint="eastAsia" w:ascii="仿宋_GB2312" w:eastAsia="仿宋_GB2312"/>
          <w:sz w:val="32"/>
          <w:szCs w:val="32"/>
        </w:rPr>
      </w:pPr>
      <w:r>
        <w:rPr>
          <w:rFonts w:hint="eastAsia" w:ascii="仿宋_GB2312" w:eastAsia="仿宋_GB2312"/>
          <w:sz w:val="32"/>
          <w:szCs w:val="32"/>
        </w:rPr>
        <w:t>(五)协助开展职工医疗互助保障工作。具体办理职工参保受理、保费收缴、给付等手续。负责参保档案、互助给付档案管理等工作。</w:t>
      </w:r>
    </w:p>
    <w:p>
      <w:pPr>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二、单位机构设置情况</w:t>
      </w:r>
    </w:p>
    <w:p>
      <w:pPr>
        <w:ind w:firstLine="646"/>
        <w:rPr>
          <w:rFonts w:ascii="仿宋_GB2312" w:eastAsia="仿宋_GB2312"/>
          <w:sz w:val="32"/>
          <w:szCs w:val="32"/>
        </w:rPr>
      </w:pPr>
      <w:r>
        <w:rPr>
          <w:rFonts w:hint="eastAsia" w:ascii="仿宋_GB2312" w:eastAsia="仿宋_GB2312"/>
          <w:sz w:val="32"/>
          <w:szCs w:val="32"/>
        </w:rPr>
        <w:t>柳州市总工会职工服务中心为柳州市总工会下属的正科级公益一类全额拨款事业单位。</w:t>
      </w:r>
      <w:r>
        <w:rPr>
          <w:rFonts w:hint="eastAsia" w:ascii="仿宋_GB2312" w:eastAsia="仿宋_GB2312"/>
          <w:sz w:val="32"/>
          <w:szCs w:val="32"/>
          <w:lang w:eastAsia="zh-CN"/>
        </w:rPr>
        <w:t>核定事业</w:t>
      </w:r>
      <w:r>
        <w:rPr>
          <w:rFonts w:hint="eastAsia" w:ascii="仿宋_GB2312" w:eastAsia="仿宋_GB2312"/>
          <w:sz w:val="32"/>
          <w:szCs w:val="32"/>
        </w:rPr>
        <w:t>编制15名，其中主任1名，副主任1名。</w:t>
      </w:r>
    </w:p>
    <w:p>
      <w:pPr>
        <w:jc w:val="center"/>
      </w:pPr>
    </w:p>
    <w:p>
      <w:pPr>
        <w:jc w:val="center"/>
      </w:pPr>
    </w:p>
    <w:p>
      <w:pPr>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u w:val="none"/>
        </w:rPr>
        <w:t>柳州市总工会职工服务中心</w:t>
      </w:r>
      <w:r>
        <w:rPr>
          <w:rFonts w:hint="eastAsia" w:ascii="仿宋_GB2312" w:eastAsia="仿宋_GB2312"/>
          <w:b/>
          <w:sz w:val="32"/>
          <w:szCs w:val="32"/>
          <w:lang w:eastAsia="zh-CN"/>
        </w:rPr>
        <w:t>2021</w:t>
      </w:r>
      <w:r>
        <w:rPr>
          <w:rFonts w:hint="eastAsia" w:ascii="仿宋_GB2312" w:eastAsia="仿宋_GB2312"/>
          <w:b/>
          <w:sz w:val="32"/>
          <w:szCs w:val="32"/>
        </w:rPr>
        <w:t>年部门决算报表</w:t>
      </w:r>
    </w:p>
    <w:p>
      <w:pPr>
        <w:autoSpaceDE w:val="0"/>
        <w:autoSpaceDN w:val="0"/>
        <w:adjustRightInd w:val="0"/>
        <w:spacing w:line="560" w:lineRule="exact"/>
        <w:ind w:firstLine="627" w:firstLineChars="196"/>
        <w:jc w:val="left"/>
        <w:rPr>
          <w:rFonts w:ascii="方正小标宋简体" w:hAnsi="宋体" w:eastAsia="方正小标宋简体" w:cs="宋体"/>
          <w:kern w:val="0"/>
          <w:sz w:val="36"/>
          <w:szCs w:val="36"/>
        </w:rPr>
      </w:pPr>
      <w:r>
        <w:rPr>
          <w:rFonts w:hint="eastAsia" w:ascii="仿宋_GB2312" w:hAnsi="Times New Roman" w:eastAsia="仿宋_GB2312" w:cs="仿宋_GB2312"/>
          <w:kern w:val="0"/>
          <w:sz w:val="32"/>
          <w:szCs w:val="32"/>
        </w:rPr>
        <w:t>(此部分另附表格，详见附件</w:t>
      </w:r>
      <w:r>
        <w:rPr>
          <w:rFonts w:hint="eastAsia" w:ascii="仿宋_GB2312" w:hAnsi="Times New Roman" w:eastAsia="仿宋_GB2312" w:cs="仿宋_GB2312"/>
          <w:kern w:val="0"/>
          <w:sz w:val="32"/>
          <w:szCs w:val="32"/>
          <w:lang w:val="en-US" w:eastAsia="zh-CN"/>
        </w:rPr>
        <w:t>3</w:t>
      </w:r>
      <w:r>
        <w:rPr>
          <w:rFonts w:hint="eastAsia" w:ascii="仿宋_GB2312" w:hAnsi="Times New Roman" w:eastAsia="仿宋_GB2312" w:cs="仿宋_GB2312"/>
          <w:kern w:val="0"/>
          <w:sz w:val="32"/>
          <w:szCs w:val="32"/>
        </w:rPr>
        <w:t>：</w:t>
      </w:r>
      <w:r>
        <w:rPr>
          <w:rFonts w:hint="eastAsia" w:ascii="仿宋_GB2312" w:hAnsi="Times New Roman" w:eastAsia="仿宋_GB2312" w:cs="仿宋_GB2312"/>
          <w:b w:val="0"/>
          <w:bCs w:val="0"/>
          <w:color w:val="000000"/>
          <w:kern w:val="0"/>
          <w:sz w:val="32"/>
          <w:szCs w:val="32"/>
          <w:u w:val="none"/>
        </w:rPr>
        <w:t>柳州市总工会职工服务中心</w:t>
      </w:r>
      <w:r>
        <w:rPr>
          <w:rFonts w:hint="eastAsia" w:ascii="仿宋_GB2312" w:hAnsi="Times New Roman" w:eastAsia="仿宋_GB2312" w:cs="仿宋_GB2312"/>
          <w:kern w:val="0"/>
          <w:sz w:val="32"/>
          <w:szCs w:val="32"/>
        </w:rPr>
        <w:t>202</w:t>
      </w:r>
      <w:r>
        <w:rPr>
          <w:rFonts w:hint="eastAsia" w:ascii="仿宋_GB2312" w:hAnsi="Times New Roman" w:eastAsia="仿宋_GB2312" w:cs="仿宋_GB2312"/>
          <w:kern w:val="0"/>
          <w:sz w:val="32"/>
          <w:szCs w:val="32"/>
          <w:lang w:val="en-US" w:eastAsia="zh-CN"/>
        </w:rPr>
        <w:t>1</w:t>
      </w:r>
      <w:r>
        <w:rPr>
          <w:rFonts w:hint="eastAsia" w:ascii="仿宋_GB2312" w:hAnsi="Times New Roman" w:eastAsia="仿宋_GB2312" w:cs="仿宋_GB2312"/>
          <w:kern w:val="0"/>
          <w:sz w:val="32"/>
          <w:szCs w:val="32"/>
        </w:rPr>
        <w:t>年度部门决算公开表)</w:t>
      </w:r>
    </w:p>
    <w:p>
      <w:pPr>
        <w:spacing w:line="580" w:lineRule="exact"/>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u w:val="none"/>
        </w:rPr>
        <w:t>柳州市总工会职工服务中心</w:t>
      </w:r>
      <w:r>
        <w:rPr>
          <w:rFonts w:hint="eastAsia" w:ascii="仿宋_GB2312" w:hAnsi="黑体" w:eastAsia="仿宋_GB2312"/>
          <w:b/>
          <w:bCs/>
          <w:color w:val="000000"/>
          <w:sz w:val="32"/>
          <w:szCs w:val="32"/>
          <w:u w:val="none"/>
          <w:lang w:eastAsia="zh-CN"/>
        </w:rPr>
        <w:t>2</w:t>
      </w:r>
      <w:r>
        <w:rPr>
          <w:rFonts w:hint="eastAsia" w:ascii="仿宋_GB2312" w:eastAsia="仿宋_GB2312"/>
          <w:b/>
          <w:sz w:val="32"/>
          <w:szCs w:val="32"/>
          <w:lang w:eastAsia="zh-CN"/>
        </w:rPr>
        <w:t>021</w:t>
      </w:r>
      <w:r>
        <w:rPr>
          <w:rFonts w:hint="eastAsia" w:ascii="仿宋_GB2312" w:eastAsia="仿宋_GB2312"/>
          <w:b/>
          <w:sz w:val="32"/>
          <w:szCs w:val="32"/>
        </w:rPr>
        <w:t>年度部门决算情况说明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lang w:eastAsia="zh-CN"/>
        </w:rPr>
        <w:t>2021</w:t>
      </w:r>
      <w:r>
        <w:rPr>
          <w:rFonts w:hint="eastAsia" w:ascii="黑体" w:hAnsi="黑体" w:eastAsia="黑体" w:cs="仿宋_GB2312"/>
          <w:kern w:val="0"/>
          <w:sz w:val="32"/>
          <w:szCs w:val="32"/>
        </w:rPr>
        <w:t>年度收入支出决算总体情况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年度总收入</w:t>
      </w:r>
      <w:r>
        <w:rPr>
          <w:rFonts w:hint="eastAsia" w:ascii="仿宋_GB2312" w:eastAsia="仿宋_GB2312"/>
          <w:kern w:val="0"/>
          <w:sz w:val="32"/>
          <w:szCs w:val="32"/>
        </w:rPr>
        <w:t>283.43</w:t>
      </w:r>
      <w:r>
        <w:rPr>
          <w:rFonts w:hint="eastAsia" w:ascii="仿宋_GB2312" w:eastAsia="仿宋_GB2312" w:cs="仿宋_GB2312"/>
          <w:kern w:val="0"/>
          <w:sz w:val="32"/>
          <w:szCs w:val="32"/>
        </w:rPr>
        <w:t xml:space="preserve">万元，其中本年收入265.61万元,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 xml:space="preserve"> 77.16</w:t>
      </w:r>
      <w:r>
        <w:rPr>
          <w:rFonts w:hint="eastAsia" w:ascii="仿宋_GB2312" w:hAnsi="黑体" w:eastAsia="仿宋_GB2312" w:cs="仿宋_GB2312"/>
          <w:kern w:val="0"/>
          <w:sz w:val="32"/>
          <w:szCs w:val="32"/>
        </w:rPr>
        <w:t>万元，增</w:t>
      </w:r>
      <w:r>
        <w:rPr>
          <w:rFonts w:hint="eastAsia" w:ascii="仿宋_GB2312" w:hAnsi="黑体" w:eastAsia="仿宋_GB2312" w:cs="仿宋_GB2312"/>
          <w:kern w:val="0"/>
          <w:sz w:val="32"/>
          <w:szCs w:val="32"/>
          <w:lang w:eastAsia="zh-CN"/>
        </w:rPr>
        <w:t>长</w:t>
      </w:r>
      <w:r>
        <w:rPr>
          <w:rFonts w:hint="eastAsia" w:ascii="仿宋_GB2312" w:hAnsi="黑体" w:eastAsia="仿宋_GB2312" w:cs="仿宋_GB2312"/>
          <w:kern w:val="0"/>
          <w:sz w:val="32"/>
          <w:szCs w:val="32"/>
        </w:rPr>
        <w:t>40.94%。</w:t>
      </w:r>
      <w:r>
        <w:rPr>
          <w:rFonts w:hint="eastAsia" w:ascii="仿宋_GB2312" w:eastAsia="仿宋_GB2312" w:cs="仿宋_GB2312"/>
          <w:kern w:val="0"/>
          <w:sz w:val="32"/>
          <w:szCs w:val="32"/>
        </w:rPr>
        <w:t>收入具体情况如下。</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eastAsia="zh-CN"/>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.一般公共预算财政拨款收入</w:t>
      </w:r>
      <w:r>
        <w:rPr>
          <w:rFonts w:hint="eastAsia" w:ascii="仿宋_GB2312" w:eastAsia="仿宋_GB2312"/>
          <w:kern w:val="0"/>
          <w:sz w:val="32"/>
          <w:szCs w:val="32"/>
        </w:rPr>
        <w:t>265.61</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eastAsia" w:ascii="仿宋_GB2312" w:hAnsi="黑体" w:eastAsia="仿宋_GB2312" w:cs="仿宋_GB2312"/>
          <w:kern w:val="0"/>
          <w:sz w:val="32"/>
          <w:szCs w:val="32"/>
          <w:lang w:val="en-US" w:eastAsia="zh-CN"/>
        </w:rPr>
        <w:t xml:space="preserve"> </w:t>
      </w:r>
      <w:r>
        <w:rPr>
          <w:rFonts w:hint="eastAsia" w:ascii="仿宋_GB2312" w:hAnsi="黑体" w:eastAsia="仿宋_GB2312" w:cs="仿宋_GB2312"/>
          <w:kern w:val="0"/>
          <w:sz w:val="32"/>
          <w:szCs w:val="32"/>
        </w:rPr>
        <w:t>77.16万元，增长40.94%，主要原因是</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lang w:val="en-US" w:eastAsia="zh-CN"/>
        </w:rPr>
        <w:t>2021年</w:t>
      </w:r>
      <w:r>
        <w:rPr>
          <w:rFonts w:hint="eastAsia" w:ascii="仿宋_GB2312" w:hAnsi="黑体" w:eastAsia="仿宋_GB2312" w:cs="仿宋_GB2312"/>
          <w:kern w:val="0"/>
          <w:sz w:val="32"/>
          <w:szCs w:val="32"/>
          <w:lang w:eastAsia="zh-CN"/>
        </w:rPr>
        <w:t>增加了退休干部春节慰问金、职工福利费、</w:t>
      </w:r>
      <w:r>
        <w:rPr>
          <w:rFonts w:hint="eastAsia" w:ascii="仿宋_GB2312" w:hAnsi="黑体" w:eastAsia="仿宋_GB2312" w:cs="仿宋_GB2312"/>
          <w:kern w:val="0"/>
          <w:sz w:val="32"/>
          <w:szCs w:val="32"/>
        </w:rPr>
        <w:t>5位人员的年初预算</w:t>
      </w:r>
      <w:r>
        <w:rPr>
          <w:rFonts w:hint="eastAsia" w:ascii="仿宋_GB2312" w:hAnsi="黑体" w:eastAsia="仿宋_GB2312" w:cs="仿宋_GB2312"/>
          <w:kern w:val="0"/>
          <w:sz w:val="32"/>
          <w:szCs w:val="32"/>
          <w:lang w:eastAsia="zh-CN"/>
        </w:rPr>
        <w:t>和补发</w:t>
      </w:r>
      <w:r>
        <w:rPr>
          <w:rFonts w:hint="eastAsia" w:ascii="仿宋_GB2312" w:hAnsi="黑体" w:eastAsia="仿宋_GB2312" w:cs="仿宋_GB2312"/>
          <w:kern w:val="0"/>
          <w:sz w:val="32"/>
          <w:szCs w:val="32"/>
          <w:lang w:val="en-US" w:eastAsia="zh-CN"/>
        </w:rPr>
        <w:t>12位</w:t>
      </w:r>
      <w:r>
        <w:rPr>
          <w:rFonts w:hint="eastAsia" w:ascii="仿宋_GB2312" w:hAnsi="黑体" w:eastAsia="仿宋_GB2312" w:cs="仿宋_GB2312"/>
          <w:kern w:val="0"/>
          <w:sz w:val="32"/>
          <w:szCs w:val="32"/>
          <w:lang w:eastAsia="zh-CN"/>
        </w:rPr>
        <w:t>人员2020年绩效工资总量。</w:t>
      </w:r>
    </w:p>
    <w:p>
      <w:pPr>
        <w:shd w:val="clea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2.政府性基金预算财政拨款收入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eastAsia="zh-CN"/>
        </w:rPr>
        <w:t>持平</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rPr>
        <w:t>无此项收入</w:t>
      </w:r>
      <w:r>
        <w:rPr>
          <w:rFonts w:hint="eastAsia" w:ascii="仿宋_GB2312" w:hAnsi="黑体" w:eastAsia="仿宋_GB2312" w:cs="仿宋_GB2312"/>
          <w:kern w:val="0"/>
          <w:sz w:val="32"/>
          <w:szCs w:val="32"/>
          <w:lang w:eastAsia="zh-CN"/>
        </w:rPr>
        <w:t>。</w:t>
      </w:r>
    </w:p>
    <w:p>
      <w:pPr>
        <w:shd w:val="clea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3</w:t>
      </w:r>
      <w:r>
        <w:rPr>
          <w:rFonts w:hint="eastAsia" w:ascii="仿宋_GB2312" w:eastAsia="仿宋_GB2312" w:cs="仿宋_GB2312"/>
          <w:kern w:val="0"/>
          <w:sz w:val="32"/>
          <w:szCs w:val="32"/>
        </w:rPr>
        <w:t>.国有资本经营预算财政拨款收入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eastAsia="zh-CN"/>
        </w:rPr>
        <w:t>持平</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rPr>
        <w:t>无此项收入</w:t>
      </w:r>
      <w:r>
        <w:rPr>
          <w:rFonts w:hint="eastAsia" w:ascii="仿宋_GB2312" w:hAnsi="黑体" w:eastAsia="仿宋_GB2312" w:cs="仿宋_GB2312"/>
          <w:kern w:val="0"/>
          <w:sz w:val="32"/>
          <w:szCs w:val="32"/>
          <w:lang w:eastAsia="zh-CN"/>
        </w:rPr>
        <w:t>。</w:t>
      </w:r>
    </w:p>
    <w:p>
      <w:pPr>
        <w:shd w:val="clea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4.事业收入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万元，为事业单位开展业务活动取得的收入。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eastAsia="zh-CN"/>
        </w:rPr>
        <w:t>持平</w:t>
      </w:r>
      <w:r>
        <w:rPr>
          <w:rFonts w:hint="eastAsia" w:ascii="仿宋_GB2312" w:hAnsi="黑体" w:eastAsia="仿宋_GB2312" w:cs="仿宋_GB2312"/>
          <w:kern w:val="0"/>
          <w:sz w:val="32"/>
          <w:szCs w:val="32"/>
        </w:rPr>
        <w:t>，主要原因是</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无此项收入。</w:t>
      </w:r>
    </w:p>
    <w:p>
      <w:pPr>
        <w:shd w:val="clea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5</w:t>
      </w:r>
      <w:r>
        <w:rPr>
          <w:rFonts w:hint="eastAsia" w:ascii="仿宋_GB2312" w:eastAsia="仿宋_GB2312" w:cs="仿宋_GB2312"/>
          <w:kern w:val="0"/>
          <w:sz w:val="32"/>
          <w:szCs w:val="32"/>
        </w:rPr>
        <w:t>.经营收入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w:t>
      </w:r>
      <w:r>
        <w:rPr>
          <w:rFonts w:hint="eastAsia" w:ascii="仿宋_GB2312" w:eastAsia="仿宋_GB2312" w:cs="仿宋_GB2312"/>
          <w:kern w:val="0"/>
          <w:sz w:val="32"/>
          <w:szCs w:val="32"/>
          <w:lang w:eastAsia="zh-CN"/>
        </w:rPr>
        <w:t>元</w:t>
      </w:r>
      <w:r>
        <w:rPr>
          <w:rFonts w:hint="eastAsia" w:ascii="仿宋_GB2312" w:eastAsia="仿宋_GB2312" w:cs="仿宋_GB2312"/>
          <w:kern w:val="0"/>
          <w:sz w:val="32"/>
          <w:szCs w:val="32"/>
        </w:rPr>
        <w:t>，为事业单位在业务活动之外开展非独立核算经营活动取得的收入。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eastAsia="zh-CN"/>
        </w:rPr>
        <w:t>持平</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eastAsia="仿宋_GB2312" w:cs="仿宋_GB2312"/>
          <w:kern w:val="0"/>
          <w:sz w:val="32"/>
          <w:szCs w:val="32"/>
        </w:rPr>
        <w:t>无此项收入。</w:t>
      </w:r>
    </w:p>
    <w:p>
      <w:pPr>
        <w:shd w:val="clea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6</w:t>
      </w:r>
      <w:r>
        <w:rPr>
          <w:rFonts w:hint="eastAsia" w:ascii="仿宋_GB2312" w:eastAsia="仿宋_GB2312" w:cs="仿宋_GB2312"/>
          <w:kern w:val="0"/>
          <w:sz w:val="32"/>
          <w:szCs w:val="32"/>
        </w:rPr>
        <w:t>.其他收入</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w:t>
      </w:r>
      <w:r>
        <w:rPr>
          <w:rFonts w:hint="eastAsia" w:ascii="仿宋_GB2312" w:eastAsia="仿宋_GB2312" w:cs="仿宋_GB2312"/>
          <w:kern w:val="0"/>
          <w:sz w:val="32"/>
          <w:szCs w:val="32"/>
          <w:lang w:eastAsia="zh-CN"/>
        </w:rPr>
        <w:t>部门</w:t>
      </w:r>
      <w:r>
        <w:rPr>
          <w:rFonts w:hint="eastAsia" w:ascii="仿宋_GB2312" w:eastAsia="仿宋_GB2312" w:cs="仿宋_GB2312"/>
          <w:kern w:val="0"/>
          <w:sz w:val="32"/>
          <w:szCs w:val="32"/>
        </w:rPr>
        <w:t>单位在</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p>
    <w:p>
      <w:pPr>
        <w:shd w:val="clear"/>
        <w:autoSpaceDE w:val="0"/>
        <w:autoSpaceDN w:val="0"/>
        <w:adjustRightInd w:val="0"/>
        <w:spacing w:line="560" w:lineRule="exact"/>
        <w:jc w:val="left"/>
        <w:rPr>
          <w:rFonts w:hint="eastAsia" w:ascii="仿宋_GB2312" w:eastAsia="仿宋_GB2312" w:cs="仿宋_GB2312"/>
          <w:kern w:val="0"/>
          <w:sz w:val="32"/>
          <w:szCs w:val="32"/>
          <w:lang w:eastAsia="zh-CN"/>
        </w:rPr>
      </w:pP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之外取得的收入。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eastAsia="zh-CN"/>
        </w:rPr>
        <w:t>持平</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eastAsia="仿宋_GB2312" w:cs="仿宋_GB2312"/>
          <w:kern w:val="0"/>
          <w:sz w:val="32"/>
          <w:szCs w:val="32"/>
        </w:rPr>
        <w:t>无此项收入。</w:t>
      </w:r>
    </w:p>
    <w:p>
      <w:pPr>
        <w:shd w:val="clea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rPr>
        <w:t>7</w:t>
      </w:r>
      <w:r>
        <w:rPr>
          <w:rFonts w:hint="eastAsia" w:ascii="仿宋_GB2312" w:eastAsia="仿宋_GB2312" w:cs="仿宋_GB2312"/>
          <w:kern w:val="0"/>
          <w:sz w:val="32"/>
          <w:szCs w:val="32"/>
        </w:rPr>
        <w:t>.使用非财政拨款结余</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万元，主要是所属事业单位在当年的</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及</w:t>
      </w:r>
      <w:r>
        <w:rPr>
          <w:rFonts w:hint="eastAsia" w:ascii="仿宋_GB2312" w:eastAsia="仿宋_GB2312"/>
          <w:kern w:val="0"/>
          <w:sz w:val="32"/>
          <w:szCs w:val="32"/>
        </w:rPr>
        <w:t>“</w:t>
      </w:r>
      <w:r>
        <w:rPr>
          <w:rFonts w:hint="eastAsia" w:ascii="仿宋_GB2312" w:eastAsia="仿宋_GB2312" w:cs="仿宋_GB2312"/>
          <w:kern w:val="0"/>
          <w:sz w:val="32"/>
          <w:szCs w:val="32"/>
        </w:rPr>
        <w:t>其他收入</w:t>
      </w:r>
      <w:r>
        <w:rPr>
          <w:rFonts w:hint="eastAsia" w:ascii="仿宋_GB2312" w:eastAsia="仿宋_GB2312"/>
          <w:kern w:val="0"/>
          <w:sz w:val="32"/>
          <w:szCs w:val="32"/>
        </w:rPr>
        <w:t>”</w:t>
      </w:r>
      <w:r>
        <w:rPr>
          <w:rFonts w:hint="eastAsia" w:ascii="仿宋_GB2312" w:eastAsia="仿宋_GB2312" w:cs="仿宋_GB2312"/>
          <w:kern w:val="0"/>
          <w:sz w:val="32"/>
          <w:szCs w:val="32"/>
        </w:rPr>
        <w:t>不能保证其支出的情况下，使用以前年度积累的非财政拨款结余弥补本年度收支缺口的资金。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eastAsia="zh-CN"/>
        </w:rPr>
        <w:t>持平</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eastAsia="仿宋_GB2312" w:cs="仿宋_GB2312"/>
          <w:kern w:val="0"/>
          <w:sz w:val="32"/>
          <w:szCs w:val="32"/>
        </w:rPr>
        <w:t>无此项收入。</w:t>
      </w:r>
    </w:p>
    <w:p>
      <w:pPr>
        <w:autoSpaceDE w:val="0"/>
        <w:autoSpaceDN w:val="0"/>
        <w:adjustRightInd w:val="0"/>
        <w:spacing w:line="560" w:lineRule="exact"/>
        <w:ind w:firstLine="627" w:firstLineChars="196"/>
        <w:jc w:val="left"/>
        <w:rPr>
          <w:rFonts w:hint="default" w:ascii="仿宋_GB2312" w:eastAsia="仿宋_GB2312" w:cs="仿宋_GB2312"/>
          <w:kern w:val="0"/>
          <w:sz w:val="32"/>
          <w:szCs w:val="32"/>
          <w:lang w:val="en-US" w:eastAsia="zh-CN"/>
        </w:rPr>
      </w:pPr>
      <w:r>
        <w:rPr>
          <w:rFonts w:hint="eastAsia" w:ascii="仿宋_GB2312" w:eastAsia="仿宋_GB2312"/>
          <w:bCs/>
          <w:kern w:val="0"/>
          <w:sz w:val="32"/>
          <w:szCs w:val="32"/>
        </w:rPr>
        <w:t>8</w:t>
      </w:r>
      <w:r>
        <w:rPr>
          <w:rFonts w:hint="eastAsia" w:ascii="仿宋_GB2312" w:eastAsia="仿宋_GB2312" w:cs="仿宋_GB2312"/>
          <w:kern w:val="0"/>
          <w:sz w:val="32"/>
          <w:szCs w:val="32"/>
        </w:rPr>
        <w:t>.上年结转和结余</w:t>
      </w:r>
      <w:r>
        <w:rPr>
          <w:rFonts w:hint="eastAsia" w:ascii="仿宋_GB2312" w:eastAsia="仿宋_GB2312"/>
          <w:kern w:val="0"/>
          <w:sz w:val="32"/>
          <w:szCs w:val="32"/>
        </w:rPr>
        <w:t>17.82</w:t>
      </w:r>
      <w:r>
        <w:rPr>
          <w:rFonts w:hint="eastAsia" w:ascii="仿宋_GB2312" w:eastAsia="仿宋_GB2312" w:cs="仿宋_GB2312"/>
          <w:kern w:val="0"/>
          <w:sz w:val="32"/>
          <w:szCs w:val="32"/>
        </w:rPr>
        <w:t>万元，为以前年度支出预算因客观条件变化未执行完毕、结转到本年度按有关规定继续使用的资金。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w:t>
      </w:r>
      <w:r>
        <w:rPr>
          <w:rFonts w:hint="default" w:ascii="仿宋_GB2312" w:hAnsi="黑体" w:eastAsia="仿宋_GB2312" w:cs="仿宋_GB2312"/>
          <w:kern w:val="0"/>
          <w:sz w:val="32"/>
          <w:szCs w:val="32"/>
          <w:lang w:val="en-US"/>
        </w:rPr>
        <w:t>17.82</w:t>
      </w:r>
      <w:r>
        <w:rPr>
          <w:rFonts w:hint="eastAsia" w:ascii="仿宋_GB2312" w:hAnsi="黑体" w:eastAsia="仿宋_GB2312" w:cs="仿宋_GB2312"/>
          <w:kern w:val="0"/>
          <w:sz w:val="32"/>
          <w:szCs w:val="32"/>
        </w:rPr>
        <w:t>万元，增长</w:t>
      </w:r>
      <w:r>
        <w:rPr>
          <w:rFonts w:hint="eastAsia" w:ascii="仿宋_GB2312" w:hAnsi="黑体" w:eastAsia="仿宋_GB2312" w:cs="仿宋_GB2312"/>
          <w:kern w:val="0"/>
          <w:sz w:val="32"/>
          <w:szCs w:val="32"/>
          <w:lang w:val="en-US" w:eastAsia="zh-CN"/>
        </w:rPr>
        <w:t>100</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eastAsia="仿宋_GB2312" w:cs="仿宋_GB2312"/>
          <w:kern w:val="0"/>
          <w:sz w:val="32"/>
          <w:szCs w:val="32"/>
        </w:rPr>
        <w:t>由于本单位2019年11月份新成立，2019年无财政拨款收入和支出，因此2020年度无上年结转和结余。</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年度总支出</w:t>
      </w:r>
      <w:r>
        <w:rPr>
          <w:rFonts w:hint="eastAsia" w:ascii="仿宋_GB2312" w:eastAsia="仿宋_GB2312"/>
          <w:kern w:val="0"/>
          <w:sz w:val="32"/>
          <w:szCs w:val="32"/>
        </w:rPr>
        <w:t>283.43</w:t>
      </w:r>
      <w:r>
        <w:rPr>
          <w:rFonts w:hint="eastAsia" w:ascii="仿宋_GB2312" w:eastAsia="仿宋_GB2312" w:cs="仿宋_GB2312"/>
          <w:kern w:val="0"/>
          <w:sz w:val="32"/>
          <w:szCs w:val="32"/>
        </w:rPr>
        <w:t xml:space="preserve">万元，其中本年支出265.61万元, </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年度决算数增加94.98万元，增长55.66%。</w:t>
      </w:r>
      <w:r>
        <w:rPr>
          <w:rFonts w:hint="eastAsia" w:ascii="仿宋_GB2312" w:eastAsia="仿宋_GB2312" w:cs="仿宋_GB2312"/>
          <w:kern w:val="0"/>
          <w:sz w:val="32"/>
          <w:szCs w:val="32"/>
        </w:rPr>
        <w:t>支出具体情况如下：</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lang w:val="en-US" w:eastAsia="zh-CN"/>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.一般公共服务支出（类）</w:t>
      </w:r>
      <w:r>
        <w:rPr>
          <w:rFonts w:hint="eastAsia" w:ascii="仿宋_GB2312" w:eastAsia="仿宋_GB2312"/>
          <w:kern w:val="0"/>
          <w:sz w:val="32"/>
          <w:szCs w:val="32"/>
          <w:lang w:val="en-US" w:eastAsia="zh-CN"/>
        </w:rPr>
        <w:t>199 .67</w:t>
      </w:r>
      <w:r>
        <w:rPr>
          <w:rFonts w:hint="eastAsia" w:ascii="仿宋_GB2312" w:eastAsia="仿宋_GB2312" w:cs="仿宋_GB2312"/>
          <w:kern w:val="0"/>
          <w:sz w:val="32"/>
          <w:szCs w:val="32"/>
        </w:rPr>
        <w:t>万元：主要用于</w:t>
      </w:r>
      <w:r>
        <w:rPr>
          <w:rFonts w:hint="eastAsia" w:ascii="仿宋_GB2312" w:eastAsia="仿宋_GB2312" w:cs="仿宋_GB2312"/>
          <w:kern w:val="0"/>
          <w:sz w:val="32"/>
          <w:szCs w:val="32"/>
          <w:lang w:eastAsia="zh-CN"/>
        </w:rPr>
        <w:t>为保证单位日常运转发生的基本支出，如根据规定的基本工资、津补贴、绩效工资标准安排的人员经费支出，按统一规定的开支标准安排的办公费、印刷费、水电费、差旅费等日常公用经费支出。</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年度决算数增加85.58万元，增长75.01%，主要原因是</w:t>
      </w:r>
      <w:r>
        <w:rPr>
          <w:rFonts w:hint="eastAsia" w:ascii="仿宋_GB2312" w:hAnsi="黑体" w:eastAsia="仿宋_GB2312" w:cs="仿宋_GB2312"/>
          <w:kern w:val="0"/>
          <w:sz w:val="32"/>
          <w:szCs w:val="32"/>
          <w:lang w:eastAsia="zh-CN"/>
        </w:rPr>
        <w:t>：新增</w:t>
      </w:r>
      <w:r>
        <w:rPr>
          <w:rFonts w:hint="eastAsia" w:ascii="仿宋_GB2312" w:hAnsi="黑体" w:eastAsia="仿宋_GB2312" w:cs="仿宋_GB2312"/>
          <w:kern w:val="0"/>
          <w:sz w:val="32"/>
          <w:szCs w:val="32"/>
        </w:rPr>
        <w:t>了5位</w:t>
      </w:r>
      <w:r>
        <w:rPr>
          <w:rFonts w:hint="eastAsia" w:ascii="仿宋_GB2312" w:hAnsi="黑体" w:eastAsia="仿宋_GB2312" w:cs="仿宋_GB2312"/>
          <w:kern w:val="0"/>
          <w:sz w:val="32"/>
          <w:szCs w:val="32"/>
          <w:lang w:eastAsia="zh-CN"/>
        </w:rPr>
        <w:t>新入职工作</w:t>
      </w:r>
      <w:r>
        <w:rPr>
          <w:rFonts w:hint="eastAsia" w:ascii="仿宋_GB2312" w:hAnsi="黑体" w:eastAsia="仿宋_GB2312" w:cs="仿宋_GB2312"/>
          <w:kern w:val="0"/>
          <w:sz w:val="32"/>
          <w:szCs w:val="32"/>
        </w:rPr>
        <w:t>人员的年初预算和补发2020年12位人员绩效工资总量</w:t>
      </w:r>
      <w:r>
        <w:rPr>
          <w:rFonts w:hint="eastAsia" w:ascii="仿宋_GB2312" w:hAnsi="黑体" w:eastAsia="仿宋_GB2312" w:cs="仿宋_GB2312"/>
          <w:kern w:val="0"/>
          <w:sz w:val="32"/>
          <w:szCs w:val="32"/>
          <w:lang w:eastAsia="zh-CN"/>
        </w:rPr>
        <w:t>。</w:t>
      </w:r>
    </w:p>
    <w:p>
      <w:pPr>
        <w:numPr>
          <w:ilvl w:val="-1"/>
          <w:numId w:val="0"/>
        </w:num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lang w:eastAsia="zh-CN"/>
        </w:rPr>
      </w:pPr>
      <w:r>
        <w:rPr>
          <w:rFonts w:hint="eastAsia" w:ascii="仿宋_GB2312" w:hAnsi="黑体" w:eastAsia="仿宋_GB2312" w:cs="仿宋_GB2312"/>
          <w:kern w:val="0"/>
          <w:sz w:val="32"/>
          <w:szCs w:val="32"/>
          <w:lang w:val="en-US" w:eastAsia="zh-CN"/>
        </w:rPr>
        <w:t>2.</w:t>
      </w:r>
      <w:r>
        <w:rPr>
          <w:rFonts w:hint="eastAsia" w:ascii="仿宋_GB2312" w:hAnsi="黑体" w:eastAsia="仿宋_GB2312" w:cs="仿宋_GB2312"/>
          <w:kern w:val="0"/>
          <w:sz w:val="32"/>
          <w:szCs w:val="32"/>
        </w:rPr>
        <w:t>社会保障和就业（类）</w:t>
      </w:r>
      <w:r>
        <w:rPr>
          <w:rFonts w:hint="eastAsia" w:ascii="仿宋_GB2312" w:hAnsi="黑体" w:eastAsia="仿宋_GB2312" w:cs="仿宋_GB2312"/>
          <w:kern w:val="0"/>
          <w:sz w:val="32"/>
          <w:szCs w:val="32"/>
          <w:lang w:val="en-US" w:eastAsia="zh-CN"/>
        </w:rPr>
        <w:t>41.21万元，主要用于按规定发放的离退休人员津补贴、按规定缴纳的机关事业养老保险、职业年金。</w:t>
      </w:r>
      <w:r>
        <w:rPr>
          <w:rFonts w:hint="eastAsia" w:ascii="仿宋_GB2312" w:hAnsi="黑体" w:eastAsia="仿宋_GB2312" w:cs="仿宋_GB2312"/>
          <w:kern w:val="0"/>
          <w:sz w:val="32"/>
          <w:szCs w:val="32"/>
        </w:rPr>
        <w:t>较2020年度决算数增加7.40万元，增长21.90%，主要原因是：增加了8位退休干部春节慰问金</w:t>
      </w:r>
      <w:r>
        <w:rPr>
          <w:rFonts w:hint="eastAsia" w:ascii="仿宋_GB2312" w:hAnsi="黑体" w:eastAsia="仿宋_GB2312" w:cs="仿宋_GB2312"/>
          <w:kern w:val="0"/>
          <w:sz w:val="32"/>
          <w:szCs w:val="32"/>
          <w:lang w:eastAsia="zh-CN"/>
        </w:rPr>
        <w:t>以及社保基数增加，导致社保缴费增多。</w:t>
      </w:r>
    </w:p>
    <w:p>
      <w:pPr>
        <w:numPr>
          <w:ilvl w:val="-1"/>
          <w:numId w:val="0"/>
        </w:num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lang w:val="en-US" w:eastAsia="zh-CN"/>
        </w:rPr>
      </w:pPr>
      <w:r>
        <w:rPr>
          <w:rFonts w:hint="eastAsia" w:ascii="仿宋_GB2312" w:hAnsi="黑体" w:eastAsia="仿宋_GB2312" w:cs="仿宋_GB2312"/>
          <w:kern w:val="0"/>
          <w:sz w:val="32"/>
          <w:szCs w:val="32"/>
          <w:lang w:val="en-US" w:eastAsia="zh-CN"/>
        </w:rPr>
        <w:t>3.</w:t>
      </w:r>
      <w:r>
        <w:rPr>
          <w:rFonts w:hint="eastAsia" w:ascii="仿宋_GB2312" w:hAnsi="黑体" w:eastAsia="仿宋_GB2312" w:cs="仿宋_GB2312"/>
          <w:kern w:val="0"/>
          <w:sz w:val="32"/>
          <w:szCs w:val="32"/>
        </w:rPr>
        <w:t>卫生健康（类）9.66</w:t>
      </w:r>
      <w:r>
        <w:rPr>
          <w:rFonts w:hint="eastAsia" w:ascii="仿宋_GB2312" w:hAnsi="黑体" w:eastAsia="仿宋_GB2312" w:cs="仿宋_GB2312"/>
          <w:kern w:val="0"/>
          <w:sz w:val="32"/>
          <w:szCs w:val="32"/>
          <w:lang w:eastAsia="zh-CN"/>
        </w:rPr>
        <w:t>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val="en-US" w:eastAsia="zh-CN"/>
        </w:rPr>
        <w:t>主要用于按规定比例缴纳的医疗保险、事业单位大额医疗保险等支出。</w:t>
      </w:r>
      <w:r>
        <w:rPr>
          <w:rFonts w:hint="eastAsia" w:ascii="仿宋_GB2312" w:hAnsi="黑体" w:eastAsia="仿宋_GB2312" w:cs="仿宋_GB2312"/>
          <w:kern w:val="0"/>
          <w:sz w:val="32"/>
          <w:szCs w:val="32"/>
        </w:rPr>
        <w:t>较2020年度决算数增加1.17万元，增长13.80%，主要原因是：</w:t>
      </w:r>
      <w:r>
        <w:rPr>
          <w:rFonts w:hint="eastAsia" w:ascii="仿宋_GB2312" w:hAnsi="黑体" w:eastAsia="仿宋_GB2312" w:cs="仿宋_GB2312"/>
          <w:kern w:val="0"/>
          <w:sz w:val="32"/>
          <w:szCs w:val="32"/>
          <w:lang w:eastAsia="zh-CN"/>
        </w:rPr>
        <w:t>医保基数增加，导致医保缴费增多。</w:t>
      </w:r>
    </w:p>
    <w:p>
      <w:pPr>
        <w:numPr>
          <w:ilvl w:val="-1"/>
          <w:numId w:val="0"/>
        </w:num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lang w:val="en-US" w:eastAsia="zh-CN"/>
        </w:rPr>
      </w:pP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rPr>
        <w:t>住房保障（类）15.07</w:t>
      </w:r>
      <w:r>
        <w:rPr>
          <w:rFonts w:hint="eastAsia" w:ascii="仿宋_GB2312" w:hAnsi="黑体" w:eastAsia="仿宋_GB2312" w:cs="仿宋_GB2312"/>
          <w:kern w:val="0"/>
          <w:sz w:val="32"/>
          <w:szCs w:val="32"/>
          <w:lang w:eastAsia="zh-CN"/>
        </w:rPr>
        <w:t>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val="en-US" w:eastAsia="zh-CN"/>
        </w:rPr>
        <w:t>主要用于按规定对职工补贴的住房公积金支出。</w:t>
      </w:r>
      <w:r>
        <w:rPr>
          <w:rFonts w:hint="eastAsia" w:ascii="仿宋_GB2312" w:hAnsi="黑体" w:eastAsia="仿宋_GB2312" w:cs="仿宋_GB2312"/>
          <w:kern w:val="0"/>
          <w:sz w:val="32"/>
          <w:szCs w:val="32"/>
        </w:rPr>
        <w:t>较2020年度决算数增加0.82万元，增长5.78%，主要原因是：</w:t>
      </w:r>
      <w:r>
        <w:rPr>
          <w:rFonts w:hint="eastAsia" w:ascii="仿宋_GB2312" w:hAnsi="黑体" w:eastAsia="仿宋_GB2312" w:cs="仿宋_GB2312"/>
          <w:kern w:val="0"/>
          <w:sz w:val="32"/>
          <w:szCs w:val="32"/>
          <w:lang w:val="en-US" w:eastAsia="zh-CN"/>
        </w:rPr>
        <w:t>2021年缴费基数较2020年有所增加</w:t>
      </w:r>
      <w:r>
        <w:rPr>
          <w:rFonts w:hint="eastAsia" w:ascii="仿宋_GB2312" w:hAnsi="黑体" w:eastAsia="仿宋_GB2312" w:cs="仿宋_GB2312"/>
          <w:kern w:val="0"/>
          <w:sz w:val="32"/>
          <w:szCs w:val="32"/>
          <w:lang w:eastAsia="zh-CN"/>
        </w:rPr>
        <w:t>。</w:t>
      </w:r>
    </w:p>
    <w:p>
      <w:pPr>
        <w:shd w:val="clea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kern w:val="0"/>
          <w:sz w:val="32"/>
          <w:szCs w:val="32"/>
          <w:lang w:val="en-US" w:eastAsia="zh-CN"/>
        </w:rPr>
        <w:t>5</w:t>
      </w:r>
      <w:r>
        <w:rPr>
          <w:rFonts w:hint="eastAsia" w:ascii="仿宋_GB2312" w:eastAsia="仿宋_GB2312" w:cs="仿宋_GB2312"/>
          <w:kern w:val="0"/>
          <w:sz w:val="32"/>
          <w:szCs w:val="32"/>
        </w:rPr>
        <w:t>.结余分配</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万元，为事业单位按规定提取的职工福利基金、事业基金和缴纳的所得税等。</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eastAsia="zh-CN"/>
        </w:rPr>
        <w:t>持平</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：无此项开支。</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lang w:val="en-US" w:eastAsia="zh-CN"/>
        </w:rPr>
        <w:t>6</w:t>
      </w:r>
      <w:r>
        <w:rPr>
          <w:rFonts w:hint="eastAsia" w:ascii="仿宋_GB2312" w:eastAsia="仿宋_GB2312" w:cs="仿宋_GB2312"/>
          <w:kern w:val="0"/>
          <w:sz w:val="32"/>
          <w:szCs w:val="32"/>
        </w:rPr>
        <w:t>.年末结转和结余</w:t>
      </w:r>
      <w:r>
        <w:rPr>
          <w:rFonts w:hint="eastAsia" w:ascii="仿宋_GB2312" w:eastAsia="仿宋_GB2312"/>
          <w:kern w:val="0"/>
          <w:sz w:val="32"/>
          <w:szCs w:val="32"/>
        </w:rPr>
        <w:t>17.82</w:t>
      </w:r>
      <w:r>
        <w:rPr>
          <w:rFonts w:hint="eastAsia" w:ascii="仿宋_GB2312" w:eastAsia="仿宋_GB2312" w:cs="仿宋_GB2312"/>
          <w:kern w:val="0"/>
          <w:sz w:val="32"/>
          <w:szCs w:val="32"/>
        </w:rPr>
        <w:t>万元，为本年度或以前年度</w:t>
      </w:r>
    </w:p>
    <w:p>
      <w:pPr>
        <w:autoSpaceDE w:val="0"/>
        <w:autoSpaceDN w:val="0"/>
        <w:adjustRightInd w:val="0"/>
        <w:spacing w:line="560" w:lineRule="exact"/>
        <w:jc w:val="left"/>
        <w:rPr>
          <w:rFonts w:hint="default" w:ascii="仿宋_GB2312" w:hAnsi="黑体" w:eastAsia="仿宋_GB2312" w:cs="仿宋_GB2312"/>
          <w:kern w:val="0"/>
          <w:sz w:val="32"/>
          <w:szCs w:val="32"/>
          <w:lang w:val="en-US" w:eastAsia="zh-CN"/>
        </w:rPr>
      </w:pPr>
      <w:r>
        <w:rPr>
          <w:rFonts w:hint="eastAsia" w:ascii="仿宋_GB2312" w:eastAsia="仿宋_GB2312" w:cs="仿宋_GB2312"/>
          <w:kern w:val="0"/>
          <w:sz w:val="32"/>
          <w:szCs w:val="32"/>
        </w:rPr>
        <w:t>预算安排、因客观条件发生变化无法按原计划实施，需要延迟到以后年度按有关规定继续使用的资金。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eastAsia="zh-CN"/>
        </w:rPr>
        <w:t>持平</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eastAsia="zh-CN"/>
        </w:rPr>
        <w:t>：</w:t>
      </w:r>
      <w:r>
        <w:rPr>
          <w:rFonts w:hint="eastAsia" w:ascii="仿宋_GB2312" w:eastAsia="仿宋_GB2312" w:cs="仿宋_GB2312"/>
          <w:kern w:val="0"/>
          <w:sz w:val="32"/>
          <w:szCs w:val="32"/>
        </w:rPr>
        <w:t>年末结转和结余</w:t>
      </w:r>
      <w:r>
        <w:rPr>
          <w:rFonts w:hint="eastAsia" w:ascii="仿宋_GB2312" w:hAnsi="黑体" w:eastAsia="仿宋_GB2312" w:cs="仿宋_GB2312"/>
          <w:kern w:val="0"/>
          <w:sz w:val="32"/>
          <w:szCs w:val="32"/>
          <w:lang w:eastAsia="zh-CN"/>
        </w:rPr>
        <w:t>无变化，为</w:t>
      </w:r>
      <w:r>
        <w:rPr>
          <w:rFonts w:hint="eastAsia" w:ascii="仿宋_GB2312" w:hAnsi="黑体" w:eastAsia="仿宋_GB2312" w:cs="仿宋_GB2312"/>
          <w:kern w:val="0"/>
          <w:sz w:val="32"/>
          <w:szCs w:val="32"/>
          <w:lang w:val="en-US" w:eastAsia="zh-CN"/>
        </w:rPr>
        <w:t>2020</w:t>
      </w:r>
      <w:r>
        <w:rPr>
          <w:rFonts w:hint="eastAsia" w:ascii="仿宋_GB2312" w:hAnsi="黑体" w:eastAsia="仿宋_GB2312" w:cs="仿宋_GB2312"/>
          <w:kern w:val="0"/>
          <w:sz w:val="32"/>
          <w:szCs w:val="32"/>
          <w:lang w:eastAsia="zh-CN"/>
        </w:rPr>
        <w:t>年度结余。</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lang w:eastAsia="zh-CN"/>
        </w:rPr>
        <w:t>2021</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eastAsia="仿宋_GB2312"/>
          <w:kern w:val="0"/>
          <w:sz w:val="32"/>
          <w:szCs w:val="32"/>
          <w:lang w:eastAsia="zh-CN"/>
        </w:rPr>
        <w:t>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w:t>
      </w:r>
      <w:r>
        <w:rPr>
          <w:rFonts w:hint="eastAsia" w:ascii="仿宋_GB2312" w:eastAsia="仿宋_GB2312"/>
          <w:kern w:val="0"/>
          <w:sz w:val="32"/>
          <w:szCs w:val="32"/>
        </w:rPr>
        <w:t>265.61</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2020</w:t>
      </w:r>
      <w:r>
        <w:rPr>
          <w:rFonts w:hint="eastAsia" w:ascii="仿宋_GB2312" w:hAnsi="黑体" w:eastAsia="仿宋_GB2312" w:cs="仿宋_GB2312"/>
          <w:kern w:val="0"/>
          <w:sz w:val="32"/>
          <w:szCs w:val="32"/>
        </w:rPr>
        <w:t>年度决算数增加94.98万元，增长55.66%。</w:t>
      </w:r>
      <w:r>
        <w:rPr>
          <w:rFonts w:hint="eastAsia" w:ascii="仿宋_GB2312" w:eastAsia="仿宋_GB2312" w:cs="仿宋_GB2312"/>
          <w:kern w:val="0"/>
          <w:sz w:val="32"/>
          <w:szCs w:val="32"/>
        </w:rPr>
        <w:t>其中：基本支出</w:t>
      </w:r>
      <w:r>
        <w:rPr>
          <w:rFonts w:hint="eastAsia" w:ascii="仿宋_GB2312" w:eastAsia="仿宋_GB2312"/>
          <w:kern w:val="0"/>
          <w:sz w:val="32"/>
          <w:szCs w:val="32"/>
        </w:rPr>
        <w:t>265.61</w:t>
      </w:r>
      <w:r>
        <w:rPr>
          <w:rFonts w:hint="eastAsia" w:ascii="仿宋_GB2312" w:eastAsia="仿宋_GB2312" w:cs="仿宋_GB2312"/>
          <w:kern w:val="0"/>
          <w:sz w:val="32"/>
          <w:szCs w:val="32"/>
        </w:rPr>
        <w:t>万元，项目支出</w:t>
      </w:r>
      <w:r>
        <w:rPr>
          <w:rFonts w:hint="eastAsia" w:ascii="仿宋_GB2312" w:eastAsia="仿宋_GB2312"/>
          <w:kern w:val="0"/>
          <w:sz w:val="32"/>
          <w:szCs w:val="32"/>
          <w:lang w:val="en-US" w:eastAsia="zh-CN"/>
        </w:rPr>
        <w:t>0</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lang w:eastAsia="zh-CN"/>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w:t>
      </w:r>
      <w:r>
        <w:rPr>
          <w:rFonts w:hint="eastAsia" w:ascii="仿宋_GB2312" w:hAnsi="黑体" w:eastAsia="仿宋_GB2312"/>
          <w:kern w:val="0"/>
          <w:sz w:val="32"/>
          <w:szCs w:val="32"/>
          <w:lang w:eastAsia="zh-CN"/>
        </w:rPr>
        <w:t>2021</w:t>
      </w:r>
      <w:r>
        <w:rPr>
          <w:rFonts w:hint="eastAsia" w:ascii="仿宋_GB2312" w:hAnsi="黑体" w:eastAsia="仿宋_GB2312" w:cs="仿宋_GB2312"/>
          <w:kern w:val="0"/>
          <w:sz w:val="32"/>
          <w:szCs w:val="32"/>
        </w:rPr>
        <w:t>年度</w:t>
      </w:r>
      <w:r>
        <w:rPr>
          <w:rFonts w:hint="eastAsia" w:ascii="仿宋_GB2312" w:hAnsi="黑体" w:eastAsia="仿宋_GB2312"/>
          <w:sz w:val="32"/>
          <w:szCs w:val="32"/>
        </w:rPr>
        <w:t>一般</w:t>
      </w:r>
      <w:r>
        <w:rPr>
          <w:rFonts w:hint="eastAsia" w:ascii="仿宋_GB2312" w:hAnsi="黑体" w:eastAsia="仿宋_GB2312" w:cs="仿宋_GB2312"/>
          <w:kern w:val="0"/>
          <w:sz w:val="32"/>
          <w:szCs w:val="32"/>
        </w:rPr>
        <w:t>公共预算财政拨款支出年初预算为230.80万元，支出决算为265.61万元，完成年初预算的115.08%。</w:t>
      </w:r>
      <w:r>
        <w:rPr>
          <w:rFonts w:hint="eastAsia" w:ascii="仿宋_GB2312" w:hAnsi="黑体" w:eastAsia="仿宋_GB2312" w:cs="仿宋_GB2312"/>
          <w:kern w:val="0"/>
          <w:sz w:val="32"/>
          <w:szCs w:val="32"/>
          <w:lang w:eastAsia="zh-CN"/>
        </w:rPr>
        <w:t>其中：</w:t>
      </w:r>
    </w:p>
    <w:p>
      <w:pPr>
        <w:autoSpaceDE w:val="0"/>
        <w:autoSpaceDN w:val="0"/>
        <w:adjustRightInd w:val="0"/>
        <w:spacing w:line="560" w:lineRule="exact"/>
        <w:ind w:firstLine="627" w:firstLineChars="196"/>
        <w:jc w:val="left"/>
        <w:rPr>
          <w:rFonts w:hint="eastAsia" w:ascii="仿宋_GB2312" w:eastAsia="仿宋_GB2312" w:cs="仿宋_GB2312"/>
          <w:b w:val="0"/>
          <w:bCs w:val="0"/>
          <w:kern w:val="0"/>
          <w:sz w:val="32"/>
          <w:szCs w:val="32"/>
          <w:lang w:eastAsia="zh-CN"/>
        </w:rPr>
      </w:pPr>
      <w:r>
        <w:rPr>
          <w:rFonts w:hint="eastAsia" w:ascii="仿宋_GB2312" w:eastAsia="仿宋_GB2312"/>
          <w:bCs/>
          <w:kern w:val="0"/>
          <w:sz w:val="32"/>
          <w:szCs w:val="32"/>
          <w:lang w:val="en-US" w:eastAsia="zh-CN"/>
        </w:rPr>
        <w:t>（一）</w:t>
      </w:r>
      <w:r>
        <w:rPr>
          <w:rFonts w:hint="eastAsia" w:ascii="仿宋_GB2312" w:eastAsia="仿宋_GB2312" w:cs="仿宋_GB2312"/>
          <w:bCs/>
          <w:kern w:val="0"/>
          <w:sz w:val="32"/>
          <w:szCs w:val="32"/>
        </w:rPr>
        <w:t>一般公共服务（类）群众团体事务（款）事业运行（项）</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年初预算为162.19万元，支出决算为199.67万元，完成年初预算的123.11%。</w:t>
      </w:r>
      <w:r>
        <w:rPr>
          <w:rFonts w:hint="eastAsia" w:ascii="仿宋_GB2312" w:hAnsi="黑体" w:eastAsia="仿宋_GB2312" w:cs="仿宋_GB2312"/>
          <w:b w:val="0"/>
          <w:bCs w:val="0"/>
          <w:kern w:val="0"/>
          <w:sz w:val="32"/>
          <w:szCs w:val="32"/>
        </w:rPr>
        <w:t>主要原因是：补发</w:t>
      </w:r>
      <w:r>
        <w:rPr>
          <w:rFonts w:hint="eastAsia" w:ascii="仿宋_GB2312" w:hAnsi="黑体" w:eastAsia="仿宋_GB2312" w:cs="仿宋_GB2312"/>
          <w:b w:val="0"/>
          <w:bCs w:val="0"/>
          <w:kern w:val="0"/>
          <w:sz w:val="32"/>
          <w:szCs w:val="32"/>
          <w:lang w:eastAsia="zh-CN"/>
        </w:rPr>
        <w:t>了</w:t>
      </w:r>
      <w:r>
        <w:rPr>
          <w:rFonts w:hint="eastAsia" w:ascii="仿宋_GB2312" w:hAnsi="黑体" w:eastAsia="仿宋_GB2312" w:cs="仿宋_GB2312"/>
          <w:b w:val="0"/>
          <w:bCs w:val="0"/>
          <w:kern w:val="0"/>
          <w:sz w:val="32"/>
          <w:szCs w:val="32"/>
        </w:rPr>
        <w:t>2020年12位人员绩效工资总量</w:t>
      </w:r>
      <w:r>
        <w:rPr>
          <w:rFonts w:hint="eastAsia" w:ascii="仿宋_GB2312" w:hAnsi="黑体" w:eastAsia="仿宋_GB2312" w:cs="仿宋_GB2312"/>
          <w:b w:val="0"/>
          <w:bCs w:val="0"/>
          <w:kern w:val="0"/>
          <w:sz w:val="32"/>
          <w:szCs w:val="32"/>
          <w:lang w:eastAsia="zh-CN"/>
        </w:rPr>
        <w:t>。</w:t>
      </w:r>
    </w:p>
    <w:p>
      <w:pPr>
        <w:numPr>
          <w:ilvl w:val="0"/>
          <w:numId w:val="1"/>
        </w:numPr>
        <w:autoSpaceDE w:val="0"/>
        <w:autoSpaceDN w:val="0"/>
        <w:adjustRightInd w:val="0"/>
        <w:spacing w:line="560" w:lineRule="exact"/>
        <w:ind w:firstLine="627" w:firstLineChars="196"/>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社会保障和就业支出（类）行政事业单位养老支出（款）事业单位离退休（项）。</w:t>
      </w:r>
      <w:r>
        <w:rPr>
          <w:rFonts w:hint="eastAsia" w:ascii="仿宋_GB2312" w:hAnsi="黑体" w:eastAsia="仿宋_GB2312" w:cs="仿宋_GB2312"/>
          <w:kern w:val="0"/>
          <w:sz w:val="32"/>
          <w:szCs w:val="32"/>
        </w:rPr>
        <w:t>年初预算为</w:t>
      </w:r>
      <w:r>
        <w:rPr>
          <w:rFonts w:hint="default" w:ascii="仿宋_GB2312" w:hAnsi="黑体" w:eastAsia="仿宋_GB2312" w:cs="仿宋_GB2312"/>
          <w:kern w:val="0"/>
          <w:sz w:val="32"/>
          <w:szCs w:val="32"/>
        </w:rPr>
        <w:t>8.16</w:t>
      </w:r>
      <w:r>
        <w:rPr>
          <w:rFonts w:hint="eastAsia" w:ascii="仿宋_GB2312" w:hAnsi="黑体" w:eastAsia="仿宋_GB2312" w:cs="仿宋_GB2312"/>
          <w:kern w:val="0"/>
          <w:sz w:val="32"/>
          <w:szCs w:val="32"/>
        </w:rPr>
        <w:t>万元，支出决算为</w:t>
      </w:r>
      <w:r>
        <w:rPr>
          <w:rFonts w:hint="eastAsia" w:ascii="仿宋_GB2312" w:hAnsi="黑体" w:eastAsia="仿宋_GB2312" w:cs="仿宋_GB2312"/>
          <w:kern w:val="0"/>
          <w:sz w:val="32"/>
          <w:szCs w:val="32"/>
          <w:lang w:val="en-US" w:eastAsia="zh-CN"/>
        </w:rPr>
        <w:t>9.12</w:t>
      </w:r>
      <w:r>
        <w:rPr>
          <w:rFonts w:hint="eastAsia" w:ascii="仿宋_GB2312" w:hAnsi="黑体" w:eastAsia="仿宋_GB2312" w:cs="仿宋_GB2312"/>
          <w:kern w:val="0"/>
          <w:sz w:val="32"/>
          <w:szCs w:val="32"/>
        </w:rPr>
        <w:t>万元，完成年初预算的</w:t>
      </w:r>
      <w:r>
        <w:rPr>
          <w:rFonts w:hint="default" w:ascii="仿宋_GB2312" w:hAnsi="黑体" w:eastAsia="仿宋_GB2312" w:cs="仿宋_GB2312"/>
          <w:kern w:val="0"/>
          <w:sz w:val="32"/>
          <w:szCs w:val="32"/>
        </w:rPr>
        <w:t>111.68</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lang w:val="en-US" w:eastAsia="zh-CN"/>
        </w:rPr>
        <w:t>主要原因是：</w:t>
      </w:r>
      <w:r>
        <w:rPr>
          <w:rFonts w:hint="eastAsia" w:ascii="仿宋_GB2312" w:hAnsi="黑体" w:eastAsia="仿宋_GB2312" w:cs="仿宋_GB2312"/>
          <w:kern w:val="0"/>
          <w:sz w:val="32"/>
          <w:szCs w:val="32"/>
        </w:rPr>
        <w:t>增加了8位退休干部春节慰问金</w:t>
      </w:r>
      <w:r>
        <w:rPr>
          <w:rFonts w:hint="eastAsia" w:ascii="仿宋_GB2312" w:hAnsi="黑体" w:eastAsia="仿宋_GB2312" w:cs="仿宋_GB2312"/>
          <w:kern w:val="0"/>
          <w:sz w:val="32"/>
          <w:szCs w:val="32"/>
          <w:lang w:val="en-US" w:eastAsia="zh-CN"/>
        </w:rPr>
        <w:t>。</w:t>
      </w:r>
    </w:p>
    <w:p>
      <w:pPr>
        <w:numPr>
          <w:ilvl w:val="0"/>
          <w:numId w:val="1"/>
        </w:numPr>
        <w:autoSpaceDE w:val="0"/>
        <w:autoSpaceDN w:val="0"/>
        <w:adjustRightInd w:val="0"/>
        <w:spacing w:line="560" w:lineRule="exact"/>
        <w:ind w:firstLine="627" w:firstLineChars="196"/>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社会保障和就业支出（类）行政事业单位养老支出（款） 机关事业单位基本养老保险缴费支出（项）。</w:t>
      </w:r>
      <w:r>
        <w:rPr>
          <w:rFonts w:hint="eastAsia" w:ascii="仿宋_GB2312" w:hAnsi="黑体" w:eastAsia="仿宋_GB2312" w:cs="仿宋_GB2312"/>
          <w:kern w:val="0"/>
          <w:sz w:val="32"/>
          <w:szCs w:val="32"/>
        </w:rPr>
        <w:t>年初预算为22.05万元，支出决算为21.40万元，完成年初预算的97.04%。决算数小于预算数的主要原因是</w:t>
      </w:r>
      <w:r>
        <w:rPr>
          <w:rFonts w:hint="eastAsia" w:ascii="仿宋_GB2312" w:hAnsi="黑体" w:eastAsia="仿宋_GB2312" w:cs="仿宋_GB2312"/>
          <w:kern w:val="0"/>
          <w:sz w:val="32"/>
          <w:szCs w:val="32"/>
          <w:lang w:eastAsia="zh-CN"/>
        </w:rPr>
        <w:t>：</w:t>
      </w:r>
      <w:r>
        <w:rPr>
          <w:rFonts w:hint="eastAsia" w:ascii="仿宋_GB2312" w:eastAsia="仿宋_GB2312" w:cs="仿宋_GB2312"/>
          <w:bCs/>
          <w:kern w:val="0"/>
          <w:sz w:val="32"/>
          <w:szCs w:val="32"/>
        </w:rPr>
        <w:t>基本养老保险</w:t>
      </w:r>
      <w:r>
        <w:rPr>
          <w:rFonts w:hint="eastAsia" w:ascii="仿宋_GB2312" w:hAnsi="黑体" w:eastAsia="仿宋_GB2312" w:cs="仿宋_GB2312"/>
          <w:kern w:val="0"/>
          <w:sz w:val="32"/>
          <w:szCs w:val="32"/>
        </w:rPr>
        <w:t>实际支出与预算略有差异</w:t>
      </w:r>
      <w:r>
        <w:rPr>
          <w:rFonts w:hint="eastAsia" w:ascii="仿宋_GB2312" w:hAnsi="黑体" w:eastAsia="仿宋_GB2312" w:cs="仿宋_GB2312"/>
          <w:kern w:val="0"/>
          <w:sz w:val="32"/>
          <w:szCs w:val="32"/>
          <w:lang w:eastAsia="zh-CN"/>
        </w:rPr>
        <w:t>。</w:t>
      </w:r>
    </w:p>
    <w:p>
      <w:pPr>
        <w:numPr>
          <w:ilvl w:val="0"/>
          <w:numId w:val="1"/>
        </w:numPr>
        <w:autoSpaceDE w:val="0"/>
        <w:autoSpaceDN w:val="0"/>
        <w:adjustRightInd w:val="0"/>
        <w:spacing w:line="560" w:lineRule="exact"/>
        <w:ind w:firstLine="627" w:firstLineChars="196"/>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社会保障和就业支出（类）行政事业单位养老支出（款） 机关事业单位职业年金缴费支出（项）。</w:t>
      </w:r>
      <w:r>
        <w:rPr>
          <w:rFonts w:hint="eastAsia" w:ascii="仿宋_GB2312" w:hAnsi="黑体" w:eastAsia="仿宋_GB2312" w:cs="仿宋_GB2312"/>
          <w:kern w:val="0"/>
          <w:sz w:val="32"/>
          <w:szCs w:val="32"/>
        </w:rPr>
        <w:t>年初预算为11.02万元，支出决算为10.70万元，完成年初预算的97.04%</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rPr>
        <w:t>决算数小于预算数的主要原因是</w:t>
      </w:r>
      <w:r>
        <w:rPr>
          <w:rFonts w:hint="eastAsia" w:ascii="仿宋_GB2312" w:hAnsi="黑体" w:eastAsia="仿宋_GB2312" w:cs="仿宋_GB2312"/>
          <w:kern w:val="0"/>
          <w:sz w:val="32"/>
          <w:szCs w:val="32"/>
          <w:lang w:eastAsia="zh-CN"/>
        </w:rPr>
        <w:t>：</w:t>
      </w:r>
      <w:r>
        <w:rPr>
          <w:rFonts w:hint="eastAsia" w:ascii="仿宋_GB2312" w:eastAsia="仿宋_GB2312" w:cs="仿宋_GB2312"/>
          <w:bCs/>
          <w:kern w:val="0"/>
          <w:sz w:val="32"/>
          <w:szCs w:val="32"/>
        </w:rPr>
        <w:t>机关事业单位职业年金</w:t>
      </w:r>
      <w:r>
        <w:rPr>
          <w:rFonts w:hint="eastAsia" w:ascii="仿宋_GB2312" w:eastAsia="仿宋_GB2312" w:cs="仿宋_GB2312"/>
          <w:bCs/>
          <w:kern w:val="0"/>
          <w:sz w:val="32"/>
          <w:szCs w:val="32"/>
          <w:lang w:eastAsia="zh-CN"/>
        </w:rPr>
        <w:t>实际支出</w:t>
      </w:r>
      <w:r>
        <w:rPr>
          <w:rFonts w:hint="eastAsia" w:ascii="仿宋_GB2312" w:hAnsi="黑体" w:eastAsia="仿宋_GB2312" w:cs="仿宋_GB2312"/>
          <w:kern w:val="0"/>
          <w:sz w:val="32"/>
          <w:szCs w:val="32"/>
        </w:rPr>
        <w:t>与预算略有差异</w:t>
      </w:r>
      <w:r>
        <w:rPr>
          <w:rFonts w:hint="eastAsia" w:ascii="仿宋_GB2312" w:hAnsi="黑体" w:eastAsia="仿宋_GB2312" w:cs="仿宋_GB2312"/>
          <w:kern w:val="0"/>
          <w:sz w:val="32"/>
          <w:szCs w:val="32"/>
          <w:lang w:eastAsia="zh-CN"/>
        </w:rPr>
        <w:t>。</w:t>
      </w:r>
    </w:p>
    <w:p>
      <w:pPr>
        <w:numPr>
          <w:ilvl w:val="0"/>
          <w:numId w:val="1"/>
        </w:numPr>
        <w:autoSpaceDE w:val="0"/>
        <w:autoSpaceDN w:val="0"/>
        <w:adjustRightInd w:val="0"/>
        <w:spacing w:line="560" w:lineRule="exact"/>
        <w:ind w:firstLine="627" w:firstLineChars="196"/>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卫生健康支出（类）行政事业单位医疗（款）事业单位医疗（项）。</w:t>
      </w:r>
      <w:r>
        <w:rPr>
          <w:rFonts w:hint="eastAsia" w:ascii="仿宋_GB2312" w:hAnsi="黑体" w:eastAsia="仿宋_GB2312" w:cs="仿宋_GB2312"/>
          <w:kern w:val="0"/>
          <w:sz w:val="32"/>
          <w:szCs w:val="32"/>
        </w:rPr>
        <w:t>年初预算为10.83万元，支出决算为9.66 万元，完成年初预算的89.19%</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rPr>
        <w:t>决算数小于预算数的主要原因是</w:t>
      </w:r>
      <w:r>
        <w:rPr>
          <w:rFonts w:hint="eastAsia" w:ascii="仿宋_GB2312" w:hAnsi="黑体" w:eastAsia="仿宋_GB2312" w:cs="仿宋_GB2312"/>
          <w:kern w:val="0"/>
          <w:sz w:val="32"/>
          <w:szCs w:val="32"/>
          <w:lang w:eastAsia="zh-CN"/>
        </w:rPr>
        <w:t>：医保基数调整，</w:t>
      </w:r>
      <w:r>
        <w:rPr>
          <w:rFonts w:hint="eastAsia" w:ascii="仿宋_GB2312" w:eastAsia="仿宋_GB2312" w:cs="仿宋_GB2312"/>
          <w:bCs/>
          <w:kern w:val="0"/>
          <w:sz w:val="32"/>
          <w:szCs w:val="32"/>
        </w:rPr>
        <w:t>事业单位医疗</w:t>
      </w:r>
      <w:r>
        <w:rPr>
          <w:rFonts w:hint="eastAsia" w:ascii="仿宋_GB2312" w:eastAsia="仿宋_GB2312" w:cs="仿宋_GB2312"/>
          <w:bCs/>
          <w:kern w:val="0"/>
          <w:sz w:val="32"/>
          <w:szCs w:val="32"/>
          <w:lang w:eastAsia="zh-CN"/>
        </w:rPr>
        <w:t>缴费实际支出</w:t>
      </w:r>
      <w:r>
        <w:rPr>
          <w:rFonts w:hint="eastAsia" w:ascii="仿宋_GB2312" w:hAnsi="黑体" w:eastAsia="仿宋_GB2312" w:cs="仿宋_GB2312"/>
          <w:kern w:val="0"/>
          <w:sz w:val="32"/>
          <w:szCs w:val="32"/>
        </w:rPr>
        <w:t>与预算有差异</w:t>
      </w:r>
      <w:r>
        <w:rPr>
          <w:rFonts w:hint="eastAsia" w:ascii="仿宋_GB2312" w:hAnsi="黑体" w:eastAsia="仿宋_GB2312" w:cs="仿宋_GB2312"/>
          <w:kern w:val="0"/>
          <w:sz w:val="32"/>
          <w:szCs w:val="32"/>
          <w:lang w:eastAsia="zh-CN"/>
        </w:rPr>
        <w:t>。</w:t>
      </w:r>
    </w:p>
    <w:p>
      <w:pPr>
        <w:numPr>
          <w:ilvl w:val="0"/>
          <w:numId w:val="1"/>
        </w:numPr>
        <w:autoSpaceDE w:val="0"/>
        <w:autoSpaceDN w:val="0"/>
        <w:adjustRightInd w:val="0"/>
        <w:spacing w:line="560" w:lineRule="exact"/>
        <w:ind w:firstLine="627" w:firstLineChars="196"/>
        <w:jc w:val="left"/>
        <w:rPr>
          <w:rFonts w:hint="eastAsia" w:ascii="仿宋_GB2312" w:eastAsia="仿宋_GB2312" w:cs="仿宋_GB2312"/>
          <w:bCs/>
          <w:kern w:val="0"/>
          <w:sz w:val="32"/>
          <w:szCs w:val="32"/>
        </w:rPr>
      </w:pPr>
      <w:r>
        <w:rPr>
          <w:rFonts w:hint="eastAsia" w:ascii="仿宋_GB2312" w:eastAsia="仿宋_GB2312" w:cs="仿宋_GB2312"/>
          <w:bCs/>
          <w:kern w:val="0"/>
          <w:sz w:val="32"/>
          <w:szCs w:val="32"/>
        </w:rPr>
        <w:t>住房保障支出（类）住房改革支出（款）住房公积金（项）。</w:t>
      </w:r>
      <w:r>
        <w:rPr>
          <w:rFonts w:hint="eastAsia" w:ascii="仿宋_GB2312" w:hAnsi="黑体" w:eastAsia="仿宋_GB2312" w:cs="仿宋_GB2312"/>
          <w:kern w:val="0"/>
          <w:sz w:val="32"/>
          <w:szCs w:val="32"/>
        </w:rPr>
        <w:t>年初预算为16.54万元，支出决算为15.07万元，完成年初预算的91.13%</w:t>
      </w:r>
      <w:r>
        <w:rPr>
          <w:rFonts w:hint="eastAsia" w:ascii="仿宋_GB2312" w:hAnsi="黑体" w:eastAsia="仿宋_GB2312" w:cs="仿宋_GB2312"/>
          <w:kern w:val="0"/>
          <w:sz w:val="32"/>
          <w:szCs w:val="32"/>
          <w:lang w:eastAsia="zh-CN"/>
        </w:rPr>
        <w:t>。</w:t>
      </w:r>
      <w:r>
        <w:rPr>
          <w:rFonts w:hint="eastAsia" w:ascii="仿宋_GB2312" w:hAnsi="黑体" w:eastAsia="仿宋_GB2312" w:cs="仿宋_GB2312"/>
          <w:kern w:val="0"/>
          <w:sz w:val="32"/>
          <w:szCs w:val="32"/>
        </w:rPr>
        <w:t>决算数小于预算数的主要原因是</w:t>
      </w:r>
      <w:r>
        <w:rPr>
          <w:rFonts w:hint="eastAsia" w:ascii="仿宋_GB2312" w:hAnsi="黑体" w:eastAsia="仿宋_GB2312" w:cs="仿宋_GB2312"/>
          <w:kern w:val="0"/>
          <w:sz w:val="32"/>
          <w:szCs w:val="32"/>
          <w:lang w:eastAsia="zh-CN"/>
        </w:rPr>
        <w:t>：缴存基数调整，</w:t>
      </w:r>
      <w:r>
        <w:rPr>
          <w:rFonts w:hint="eastAsia" w:ascii="仿宋_GB2312" w:eastAsia="仿宋_GB2312" w:cs="仿宋_GB2312"/>
          <w:bCs/>
          <w:kern w:val="0"/>
          <w:sz w:val="32"/>
          <w:szCs w:val="32"/>
        </w:rPr>
        <w:t>住房公积金</w:t>
      </w:r>
      <w:r>
        <w:rPr>
          <w:rFonts w:hint="eastAsia" w:ascii="仿宋_GB2312" w:eastAsia="仿宋_GB2312" w:cs="仿宋_GB2312"/>
          <w:bCs/>
          <w:kern w:val="0"/>
          <w:sz w:val="32"/>
          <w:szCs w:val="32"/>
          <w:lang w:eastAsia="zh-CN"/>
        </w:rPr>
        <w:t>支出</w:t>
      </w:r>
      <w:r>
        <w:rPr>
          <w:rFonts w:hint="eastAsia" w:ascii="仿宋_GB2312" w:hAnsi="黑体" w:eastAsia="仿宋_GB2312" w:cs="仿宋_GB2312"/>
          <w:kern w:val="0"/>
          <w:sz w:val="32"/>
          <w:szCs w:val="32"/>
        </w:rPr>
        <w:t>与预算有差异</w:t>
      </w:r>
      <w:r>
        <w:rPr>
          <w:rFonts w:hint="eastAsia" w:ascii="仿宋_GB2312" w:hAnsi="黑体" w:eastAsia="仿宋_GB2312" w:cs="仿宋_GB2312"/>
          <w:kern w:val="0"/>
          <w:sz w:val="32"/>
          <w:szCs w:val="32"/>
          <w:lang w:eastAsia="zh-CN"/>
        </w:rPr>
        <w:t>。</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三、</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年度一般公共预算财政拨款基本支出决算情况说明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公共预算财政拨款基本支</w:t>
      </w:r>
      <w:r>
        <w:rPr>
          <w:rFonts w:hint="eastAsia" w:ascii="仿宋_GB2312" w:eastAsia="仿宋_GB2312" w:cs="仿宋_GB2312"/>
          <w:kern w:val="0"/>
          <w:sz w:val="32"/>
          <w:szCs w:val="32"/>
          <w:lang w:eastAsia="zh-CN"/>
        </w:rPr>
        <w:t>出</w:t>
      </w:r>
      <w:r>
        <w:rPr>
          <w:rFonts w:hint="eastAsia" w:ascii="仿宋_GB2312" w:eastAsia="仿宋_GB2312" w:cs="仿宋_GB2312"/>
          <w:kern w:val="0"/>
          <w:sz w:val="32"/>
          <w:szCs w:val="32"/>
        </w:rPr>
        <w:t>265.61万元，支出具体情况如下：</w:t>
      </w:r>
    </w:p>
    <w:p>
      <w:pPr>
        <w:autoSpaceDE w:val="0"/>
        <w:autoSpaceDN w:val="0"/>
        <w:adjustRightInd w:val="0"/>
        <w:spacing w:line="560" w:lineRule="exact"/>
        <w:ind w:firstLine="640" w:firstLineChars="200"/>
        <w:jc w:val="left"/>
        <w:rPr>
          <w:rFonts w:hint="eastAsia" w:ascii="仿宋_GB2312" w:eastAsia="仿宋_GB2312"/>
          <w:bCs/>
          <w:kern w:val="0"/>
          <w:sz w:val="32"/>
          <w:szCs w:val="32"/>
        </w:rPr>
      </w:pPr>
      <w:r>
        <w:rPr>
          <w:rFonts w:hint="eastAsia" w:ascii="仿宋_GB2312" w:eastAsia="仿宋_GB2312"/>
          <w:bCs/>
          <w:kern w:val="0"/>
          <w:sz w:val="32"/>
          <w:szCs w:val="32"/>
        </w:rPr>
        <w:t>（一）工资福利支出237.34万元，完成年初预算的117.01%。</w:t>
      </w:r>
      <w:r>
        <w:rPr>
          <w:rFonts w:hint="eastAsia" w:ascii="仿宋_GB2312" w:eastAsia="仿宋_GB2312"/>
          <w:bCs/>
          <w:kern w:val="0"/>
          <w:sz w:val="32"/>
          <w:szCs w:val="32"/>
          <w:lang w:eastAsia="zh-CN"/>
        </w:rPr>
        <w:t>决算数大于预算数的主要原因是：</w:t>
      </w:r>
      <w:r>
        <w:rPr>
          <w:rFonts w:hint="eastAsia" w:ascii="仿宋_GB2312" w:eastAsia="仿宋_GB2312"/>
          <w:bCs/>
          <w:kern w:val="0"/>
          <w:sz w:val="32"/>
          <w:szCs w:val="32"/>
        </w:rPr>
        <w:t>补发了2020年12位人员绩效工资总量</w:t>
      </w:r>
      <w:r>
        <w:rPr>
          <w:rFonts w:hint="eastAsia" w:ascii="仿宋_GB2312" w:eastAsia="仿宋_GB2312"/>
          <w:bCs/>
          <w:kern w:val="0"/>
          <w:sz w:val="32"/>
          <w:szCs w:val="32"/>
          <w:lang w:eastAsia="zh-CN"/>
        </w:rPr>
        <w:t>。</w:t>
      </w:r>
    </w:p>
    <w:p>
      <w:pPr>
        <w:autoSpaceDE w:val="0"/>
        <w:autoSpaceDN w:val="0"/>
        <w:adjustRightInd w:val="0"/>
        <w:spacing w:line="560" w:lineRule="exact"/>
        <w:ind w:firstLine="640" w:firstLineChars="200"/>
        <w:jc w:val="left"/>
        <w:rPr>
          <w:rFonts w:hint="eastAsia" w:ascii="仿宋_GB2312" w:eastAsia="仿宋_GB2312"/>
          <w:bCs/>
          <w:kern w:val="0"/>
          <w:sz w:val="32"/>
          <w:szCs w:val="32"/>
        </w:rPr>
      </w:pPr>
      <w:r>
        <w:rPr>
          <w:rFonts w:hint="eastAsia" w:ascii="仿宋_GB2312" w:eastAsia="仿宋_GB2312"/>
          <w:bCs/>
          <w:kern w:val="0"/>
          <w:sz w:val="32"/>
          <w:szCs w:val="32"/>
        </w:rPr>
        <w:t>（二）商品和服务支出21.15万元，完成年初预算的101.53%。决算数大于预算数的主要原因</w:t>
      </w:r>
      <w:r>
        <w:rPr>
          <w:rFonts w:hint="eastAsia" w:ascii="仿宋_GB2312" w:eastAsia="仿宋_GB2312"/>
          <w:bCs/>
          <w:kern w:val="0"/>
          <w:sz w:val="32"/>
          <w:szCs w:val="32"/>
          <w:lang w:eastAsia="zh-CN"/>
        </w:rPr>
        <w:t>是：</w:t>
      </w:r>
      <w:r>
        <w:rPr>
          <w:rFonts w:hint="eastAsia" w:ascii="仿宋_GB2312" w:eastAsia="仿宋_GB2312"/>
          <w:bCs/>
          <w:kern w:val="0"/>
          <w:sz w:val="32"/>
          <w:szCs w:val="32"/>
        </w:rPr>
        <w:t>增加了8位退休干部春节慰问金</w:t>
      </w:r>
      <w:r>
        <w:rPr>
          <w:rFonts w:hint="eastAsia" w:ascii="仿宋_GB2312" w:eastAsia="仿宋_GB2312"/>
          <w:bCs/>
          <w:kern w:val="0"/>
          <w:sz w:val="32"/>
          <w:szCs w:val="32"/>
          <w:lang w:eastAsia="zh-CN"/>
        </w:rPr>
        <w:t>和</w:t>
      </w:r>
      <w:r>
        <w:rPr>
          <w:rFonts w:hint="eastAsia" w:ascii="仿宋_GB2312" w:eastAsia="仿宋_GB2312"/>
          <w:bCs/>
          <w:kern w:val="0"/>
          <w:sz w:val="32"/>
          <w:szCs w:val="32"/>
        </w:rPr>
        <w:t>12位职工福利费</w:t>
      </w:r>
      <w:r>
        <w:rPr>
          <w:rFonts w:hint="eastAsia" w:ascii="仿宋_GB2312" w:eastAsia="仿宋_GB2312"/>
          <w:bCs/>
          <w:kern w:val="0"/>
          <w:sz w:val="32"/>
          <w:szCs w:val="32"/>
          <w:lang w:eastAsia="zh-CN"/>
        </w:rPr>
        <w:t>。</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仿宋_GB2312" w:eastAsia="仿宋_GB2312"/>
          <w:bCs/>
          <w:kern w:val="0"/>
          <w:sz w:val="32"/>
          <w:szCs w:val="32"/>
          <w:lang w:eastAsia="zh-CN"/>
        </w:rPr>
        <w:t>（三）对个人和家庭的补助支出7.12万元，完成年初预算的</w:t>
      </w:r>
      <w:r>
        <w:rPr>
          <w:rFonts w:hint="eastAsia" w:ascii="仿宋_GB2312" w:eastAsia="仿宋_GB2312"/>
          <w:bCs/>
          <w:kern w:val="0"/>
          <w:sz w:val="32"/>
          <w:szCs w:val="32"/>
          <w:lang w:val="en-US" w:eastAsia="zh-CN"/>
        </w:rPr>
        <w:t>100%，无差异。</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四、</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年度政府性基金支出决算情况</w:t>
      </w:r>
    </w:p>
    <w:p>
      <w:pPr>
        <w:autoSpaceDE w:val="0"/>
        <w:autoSpaceDN w:val="0"/>
        <w:adjustRightInd w:val="0"/>
        <w:spacing w:line="560" w:lineRule="exact"/>
        <w:ind w:firstLine="640" w:firstLineChars="200"/>
        <w:jc w:val="left"/>
        <w:rPr>
          <w:rFonts w:hint="eastAsia" w:ascii="仿宋_GB2312" w:eastAsia="仿宋_GB2312" w:cs="仿宋_GB2312"/>
          <w:b/>
          <w:bCs/>
          <w:kern w:val="0"/>
          <w:sz w:val="32"/>
          <w:szCs w:val="32"/>
        </w:rPr>
      </w:pPr>
      <w:r>
        <w:rPr>
          <w:rFonts w:hint="eastAsia" w:ascii="仿宋_GB2312" w:eastAsia="仿宋_GB2312" w:cs="Times New Roman"/>
          <w:bCs/>
          <w:kern w:val="0"/>
          <w:sz w:val="32"/>
          <w:szCs w:val="32"/>
          <w:lang w:eastAsia="zh-CN"/>
        </w:rPr>
        <w:t>柳州市总工会职工服务中心</w:t>
      </w:r>
      <w:r>
        <w:rPr>
          <w:rFonts w:hint="eastAsia" w:ascii="仿宋_GB2312" w:eastAsia="仿宋_GB2312" w:cs="Times New Roman"/>
          <w:b w:val="0"/>
          <w:bCs/>
          <w:kern w:val="0"/>
          <w:sz w:val="32"/>
          <w:szCs w:val="32"/>
        </w:rPr>
        <w:t>202</w:t>
      </w:r>
      <w:r>
        <w:rPr>
          <w:rFonts w:hint="eastAsia" w:ascii="仿宋_GB2312" w:eastAsia="仿宋_GB2312" w:cs="Times New Roman"/>
          <w:b w:val="0"/>
          <w:bCs/>
          <w:kern w:val="0"/>
          <w:sz w:val="32"/>
          <w:szCs w:val="32"/>
          <w:lang w:val="en-US" w:eastAsia="zh-CN"/>
        </w:rPr>
        <w:t>1</w:t>
      </w:r>
      <w:r>
        <w:rPr>
          <w:rFonts w:hint="eastAsia" w:ascii="仿宋_GB2312" w:eastAsia="仿宋_GB2312" w:cs="Times New Roman"/>
          <w:b w:val="0"/>
          <w:bCs/>
          <w:kern w:val="0"/>
          <w:sz w:val="32"/>
          <w:szCs w:val="32"/>
        </w:rPr>
        <w:t>年度没有政府性基金收入，也没有政府性基金安排的支出，故无数据情况说明。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五、</w:t>
      </w:r>
      <w:r>
        <w:rPr>
          <w:rFonts w:hint="eastAsia" w:ascii="黑体" w:hAnsi="黑体" w:eastAsia="黑体" w:cs="仿宋_GB2312"/>
          <w:kern w:val="0"/>
          <w:sz w:val="32"/>
          <w:szCs w:val="32"/>
          <w:lang w:eastAsia="zh-CN"/>
        </w:rPr>
        <w:t>2021</w:t>
      </w:r>
      <w:r>
        <w:rPr>
          <w:rFonts w:hint="eastAsia" w:ascii="黑体" w:hAnsi="黑体" w:eastAsia="黑体" w:cs="仿宋_GB2312"/>
          <w:kern w:val="0"/>
          <w:sz w:val="32"/>
          <w:szCs w:val="32"/>
        </w:rPr>
        <w:t>年度国有资本经营预算支出决算情况</w:t>
      </w:r>
    </w:p>
    <w:p>
      <w:pPr>
        <w:autoSpaceDE w:val="0"/>
        <w:autoSpaceDN w:val="0"/>
        <w:adjustRightInd w:val="0"/>
        <w:spacing w:line="560" w:lineRule="exact"/>
        <w:ind w:firstLine="640" w:firstLineChars="200"/>
        <w:jc w:val="left"/>
        <w:rPr>
          <w:rFonts w:hint="eastAsia" w:ascii="仿宋_GB2312" w:eastAsia="仿宋_GB2312" w:cs="Times New Roman"/>
          <w:bCs/>
          <w:kern w:val="0"/>
          <w:sz w:val="32"/>
          <w:szCs w:val="32"/>
        </w:rPr>
      </w:pPr>
      <w:r>
        <w:rPr>
          <w:rFonts w:hint="eastAsia" w:ascii="仿宋_GB2312" w:eastAsia="仿宋_GB2312" w:cs="Times New Roman"/>
          <w:bCs/>
          <w:kern w:val="0"/>
          <w:sz w:val="32"/>
          <w:szCs w:val="32"/>
          <w:lang w:eastAsia="zh-CN"/>
        </w:rPr>
        <w:t>柳州市总工会职工服务中心</w:t>
      </w:r>
      <w:r>
        <w:rPr>
          <w:rFonts w:hint="eastAsia" w:ascii="仿宋_GB2312" w:eastAsia="仿宋_GB2312" w:cs="Times New Roman"/>
          <w:b w:val="0"/>
          <w:bCs/>
          <w:kern w:val="0"/>
          <w:sz w:val="32"/>
          <w:szCs w:val="32"/>
        </w:rPr>
        <w:t>202</w:t>
      </w:r>
      <w:r>
        <w:rPr>
          <w:rFonts w:hint="eastAsia" w:ascii="仿宋_GB2312" w:eastAsia="仿宋_GB2312" w:cs="Times New Roman"/>
          <w:b w:val="0"/>
          <w:bCs/>
          <w:kern w:val="0"/>
          <w:sz w:val="32"/>
          <w:szCs w:val="32"/>
          <w:lang w:val="en-US" w:eastAsia="zh-CN"/>
        </w:rPr>
        <w:t>1</w:t>
      </w:r>
      <w:r>
        <w:rPr>
          <w:rFonts w:hint="eastAsia" w:ascii="仿宋_GB2312" w:eastAsia="仿宋_GB2312" w:cs="Times New Roman"/>
          <w:b w:val="0"/>
          <w:bCs/>
          <w:kern w:val="0"/>
          <w:sz w:val="32"/>
          <w:szCs w:val="32"/>
        </w:rPr>
        <w:t>年度没有</w:t>
      </w:r>
      <w:r>
        <w:rPr>
          <w:rFonts w:hint="eastAsia" w:ascii="仿宋_GB2312" w:eastAsia="仿宋_GB2312"/>
          <w:b w:val="0"/>
          <w:bCs/>
          <w:kern w:val="0"/>
          <w:sz w:val="32"/>
          <w:szCs w:val="32"/>
        </w:rPr>
        <w:t>国有资本经营预算财政拨款</w:t>
      </w:r>
      <w:r>
        <w:rPr>
          <w:rFonts w:hint="eastAsia" w:ascii="仿宋_GB2312" w:eastAsia="仿宋_GB2312" w:cs="Times New Roman"/>
          <w:b w:val="0"/>
          <w:bCs/>
          <w:kern w:val="0"/>
          <w:sz w:val="32"/>
          <w:szCs w:val="32"/>
        </w:rPr>
        <w:t>收入，也没有</w:t>
      </w:r>
      <w:r>
        <w:rPr>
          <w:rFonts w:hint="eastAsia" w:ascii="仿宋_GB2312" w:eastAsia="仿宋_GB2312"/>
          <w:b w:val="0"/>
          <w:bCs/>
          <w:kern w:val="0"/>
          <w:sz w:val="32"/>
          <w:szCs w:val="32"/>
        </w:rPr>
        <w:t>国有资本经营预算财政拨款安排</w:t>
      </w:r>
      <w:r>
        <w:rPr>
          <w:rFonts w:hint="eastAsia" w:ascii="仿宋_GB2312" w:eastAsia="仿宋_GB2312" w:cs="Times New Roman"/>
          <w:b w:val="0"/>
          <w:bCs/>
          <w:kern w:val="0"/>
          <w:sz w:val="32"/>
          <w:szCs w:val="32"/>
        </w:rPr>
        <w:t>的支出，故无数据情况说明</w:t>
      </w:r>
      <w:r>
        <w:rPr>
          <w:rFonts w:hint="eastAsia" w:ascii="仿宋_GB2312" w:eastAsia="仿宋_GB2312" w:cs="Times New Roman"/>
          <w:bCs/>
          <w:kern w:val="0"/>
          <w:sz w:val="32"/>
          <w:szCs w:val="32"/>
        </w:rPr>
        <w:t>。</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六、</w:t>
      </w:r>
      <w:r>
        <w:rPr>
          <w:rFonts w:hint="eastAsia" w:ascii="黑体" w:hAnsi="黑体" w:eastAsia="黑体"/>
          <w:sz w:val="32"/>
          <w:szCs w:val="32"/>
        </w:rPr>
        <w:t>一般</w:t>
      </w:r>
      <w:r>
        <w:rPr>
          <w:rFonts w:hint="eastAsia" w:ascii="黑体" w:hAnsi="黑体" w:eastAsia="黑体" w:cs="仿宋_GB2312"/>
          <w:kern w:val="0"/>
          <w:sz w:val="32"/>
          <w:szCs w:val="32"/>
        </w:rPr>
        <w:t>公共预算财政拨款安排的“三公”经费支出决算情况说明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w:t>
      </w:r>
      <w:r>
        <w:rPr>
          <w:rFonts w:hint="eastAsia" w:ascii="仿宋_GB2312" w:eastAsia="仿宋_GB2312" w:cs="仿宋_GB2312"/>
          <w:kern w:val="0"/>
          <w:sz w:val="32"/>
          <w:szCs w:val="32"/>
          <w:lang w:eastAsia="zh-CN"/>
        </w:rPr>
        <w:t>单位2021</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w:t>
      </w:r>
      <w:r>
        <w:rPr>
          <w:rFonts w:hint="default" w:ascii="仿宋_GB2312" w:eastAsia="仿宋_GB2312" w:cs="仿宋_GB2312"/>
          <w:kern w:val="0"/>
          <w:sz w:val="32"/>
          <w:szCs w:val="32"/>
          <w:lang w:val="en-US"/>
        </w:rPr>
        <w:t>0.42</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w:t>
      </w:r>
      <w:r>
        <w:rPr>
          <w:rFonts w:hint="eastAsia" w:ascii="仿宋_GB2312" w:eastAsia="仿宋_GB2312" w:cs="仿宋_GB2312"/>
          <w:kern w:val="0"/>
          <w:sz w:val="32"/>
          <w:szCs w:val="32"/>
          <w:lang w:eastAsia="zh-CN"/>
        </w:rPr>
        <w:t>与</w:t>
      </w:r>
      <w:r>
        <w:rPr>
          <w:rFonts w:hint="eastAsia" w:ascii="仿宋_GB2312" w:eastAsia="仿宋_GB2312" w:cs="仿宋_GB2312"/>
          <w:kern w:val="0"/>
          <w:sz w:val="32"/>
          <w:szCs w:val="32"/>
        </w:rPr>
        <w:t>上年</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eastAsia="zh-CN"/>
        </w:rPr>
        <w:t>持平</w:t>
      </w:r>
      <w:r>
        <w:rPr>
          <w:rFonts w:hint="eastAsia" w:ascii="仿宋_GB2312" w:eastAsia="仿宋_GB2312" w:cs="仿宋_GB2312"/>
          <w:kern w:val="0"/>
          <w:sz w:val="32"/>
          <w:szCs w:val="32"/>
        </w:rPr>
        <w:t>，主要原因是</w:t>
      </w:r>
      <w:r>
        <w:rPr>
          <w:rFonts w:hint="eastAsia" w:ascii="仿宋_GB2312" w:eastAsia="仿宋_GB2312" w:cs="仿宋_GB2312"/>
          <w:kern w:val="0"/>
          <w:sz w:val="32"/>
          <w:szCs w:val="32"/>
          <w:lang w:eastAsia="zh-CN"/>
        </w:rPr>
        <w:t>：</w:t>
      </w:r>
      <w:r>
        <w:rPr>
          <w:rFonts w:hint="default" w:ascii="仿宋_GB2312" w:hAnsi="Times New Roman" w:eastAsia="仿宋_GB2312" w:cs="仿宋_GB2312"/>
          <w:bCs w:val="0"/>
          <w:color w:val="auto"/>
          <w:kern w:val="0"/>
          <w:sz w:val="32"/>
          <w:szCs w:val="32"/>
        </w:rPr>
        <w:t>认真贯彻落实中央八项规定精神和厉行节约要求，进一步从严控制“三公”经费开支</w:t>
      </w:r>
      <w:r>
        <w:rPr>
          <w:rFonts w:hint="eastAsia" w:ascii="仿宋_GB2312" w:eastAsia="仿宋_GB2312" w:cs="仿宋_GB2312"/>
          <w:kern w:val="0"/>
          <w:sz w:val="32"/>
          <w:szCs w:val="32"/>
        </w:rPr>
        <w:t>。其中：因公出国（境）费支出决算</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万元，公务用车购置及运行费支出决算</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万元，公务接待费支出决算</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具体情况如下：</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（一）因公出国（境）费支出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w:t>
      </w:r>
      <w:r>
        <w:rPr>
          <w:rFonts w:hint="eastAsia" w:ascii="仿宋_GB2312" w:eastAsia="仿宋_GB2312" w:cs="仿宋_GB2312"/>
          <w:kern w:val="0"/>
          <w:sz w:val="32"/>
          <w:szCs w:val="32"/>
          <w:lang w:eastAsia="zh-CN"/>
        </w:rPr>
        <w:t>与</w:t>
      </w:r>
      <w:r>
        <w:rPr>
          <w:rFonts w:hint="eastAsia" w:ascii="仿宋_GB2312" w:eastAsia="仿宋_GB2312" w:cs="仿宋_GB2312"/>
          <w:kern w:val="0"/>
          <w:sz w:val="32"/>
          <w:szCs w:val="32"/>
        </w:rPr>
        <w:t>上年</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eastAsia="zh-CN"/>
        </w:rPr>
        <w:t>持平</w:t>
      </w:r>
      <w:r>
        <w:rPr>
          <w:rFonts w:hint="eastAsia" w:ascii="仿宋_GB2312" w:eastAsia="仿宋_GB2312" w:cs="仿宋_GB2312"/>
          <w:kern w:val="0"/>
          <w:sz w:val="32"/>
          <w:szCs w:val="32"/>
        </w:rPr>
        <w:t>，原因</w:t>
      </w:r>
      <w:r>
        <w:rPr>
          <w:rFonts w:hint="eastAsia" w:ascii="仿宋_GB2312" w:eastAsia="仿宋_GB2312" w:cs="仿宋_GB2312"/>
          <w:color w:val="auto"/>
          <w:kern w:val="0"/>
          <w:sz w:val="32"/>
          <w:szCs w:val="32"/>
        </w:rPr>
        <w:t>是</w:t>
      </w:r>
      <w:r>
        <w:rPr>
          <w:rFonts w:hint="eastAsia" w:ascii="仿宋_GB2312" w:eastAsia="仿宋_GB2312" w:cs="仿宋_GB2312"/>
          <w:color w:val="auto"/>
          <w:kern w:val="0"/>
          <w:sz w:val="32"/>
          <w:szCs w:val="32"/>
          <w:lang w:eastAsia="zh-CN"/>
        </w:rPr>
        <w:t>：</w:t>
      </w:r>
      <w:r>
        <w:rPr>
          <w:rFonts w:hint="eastAsia" w:ascii="仿宋_GB2312" w:eastAsia="仿宋_GB2312" w:cs="仿宋_GB2312"/>
          <w:color w:val="auto"/>
          <w:kern w:val="0"/>
          <w:sz w:val="32"/>
          <w:szCs w:val="32"/>
          <w:lang w:eastAsia="zh-CN"/>
        </w:rPr>
        <w:t>2</w:t>
      </w:r>
      <w:r>
        <w:rPr>
          <w:rFonts w:hint="eastAsia" w:ascii="仿宋_GB2312" w:eastAsia="仿宋_GB2312" w:cs="仿宋_GB2312"/>
          <w:color w:val="auto"/>
          <w:kern w:val="0"/>
          <w:sz w:val="32"/>
          <w:szCs w:val="32"/>
          <w:lang w:val="en-US" w:eastAsia="zh-CN"/>
        </w:rPr>
        <w:t>021</w:t>
      </w:r>
      <w:r>
        <w:rPr>
          <w:rFonts w:hint="eastAsia" w:ascii="仿宋_GB2312" w:eastAsia="仿宋_GB2312" w:cs="仿宋_GB2312"/>
          <w:color w:val="auto"/>
          <w:kern w:val="0"/>
          <w:sz w:val="32"/>
          <w:szCs w:val="32"/>
          <w:lang w:eastAsia="zh-CN"/>
        </w:rPr>
        <w:t>年未安</w:t>
      </w:r>
      <w:bookmarkStart w:id="0" w:name="_GoBack"/>
      <w:bookmarkEnd w:id="0"/>
      <w:r>
        <w:rPr>
          <w:rFonts w:hint="eastAsia" w:ascii="仿宋_GB2312" w:eastAsia="仿宋_GB2312" w:cs="仿宋_GB2312"/>
          <w:color w:val="auto"/>
          <w:kern w:val="0"/>
          <w:sz w:val="32"/>
          <w:szCs w:val="32"/>
          <w:lang w:eastAsia="zh-CN"/>
        </w:rPr>
        <w:t>排该项工作</w:t>
      </w:r>
      <w:r>
        <w:rPr>
          <w:rFonts w:hint="eastAsia" w:ascii="仿宋_GB2312" w:eastAsia="仿宋_GB2312" w:cs="仿宋_GB2312"/>
          <w:color w:val="auto"/>
          <w:kern w:val="0"/>
          <w:sz w:val="32"/>
          <w:szCs w:val="32"/>
        </w:rPr>
        <w:t>。</w:t>
      </w:r>
      <w:r>
        <w:rPr>
          <w:rFonts w:hint="eastAsia" w:ascii="仿宋_GB2312" w:eastAsia="仿宋_GB2312" w:cs="仿宋_GB2312"/>
          <w:kern w:val="0"/>
          <w:sz w:val="32"/>
          <w:szCs w:val="32"/>
        </w:rPr>
        <w:t>全年使用财政拨款安排</w:t>
      </w:r>
      <w:r>
        <w:rPr>
          <w:rFonts w:hint="eastAsia" w:ascii="仿宋_GB2312" w:hAnsi="Times New Roman" w:eastAsia="仿宋_GB2312" w:cs="仿宋_GB2312"/>
          <w:bCs w:val="0"/>
          <w:color w:val="000000"/>
          <w:kern w:val="0"/>
          <w:sz w:val="32"/>
          <w:szCs w:val="32"/>
          <w:u w:val="none"/>
          <w:lang w:eastAsia="zh-CN"/>
        </w:rPr>
        <w:t>柳州市总工会职工服务中心</w:t>
      </w:r>
      <w:r>
        <w:rPr>
          <w:rFonts w:hint="eastAsia" w:ascii="仿宋_GB2312" w:hAnsi="黑体" w:eastAsia="仿宋_GB2312"/>
          <w:bCs/>
          <w:color w:val="000000"/>
          <w:sz w:val="32"/>
          <w:szCs w:val="32"/>
        </w:rPr>
        <w:t>出国团组</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个，参加其他单位组织的出国团组</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个，全年因公出国（境）团组共计</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个，累计</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人次</w:t>
      </w:r>
      <w:r>
        <w:rPr>
          <w:rFonts w:hint="eastAsia" w:ascii="仿宋_GB2312" w:hAnsi="黑体" w:eastAsia="仿宋_GB2312"/>
          <w:bCs/>
          <w:color w:val="000000"/>
          <w:sz w:val="32"/>
          <w:szCs w:val="32"/>
          <w:lang w:eastAsia="zh-CN"/>
        </w:rPr>
        <w:t>，</w:t>
      </w:r>
      <w:r>
        <w:rPr>
          <w:rFonts w:hint="eastAsia" w:ascii="仿宋_GB2312" w:hAnsi="黑体" w:eastAsia="仿宋_GB2312"/>
          <w:bCs/>
          <w:color w:val="auto"/>
          <w:sz w:val="32"/>
          <w:szCs w:val="32"/>
          <w:lang w:eastAsia="zh-CN"/>
        </w:rPr>
        <w:t>2</w:t>
      </w:r>
      <w:r>
        <w:rPr>
          <w:rFonts w:hint="eastAsia" w:ascii="仿宋_GB2312" w:hAnsi="黑体" w:eastAsia="仿宋_GB2312"/>
          <w:bCs/>
          <w:color w:val="auto"/>
          <w:sz w:val="32"/>
          <w:szCs w:val="32"/>
          <w:lang w:val="en-US" w:eastAsia="zh-CN"/>
        </w:rPr>
        <w:t>021</w:t>
      </w:r>
      <w:r>
        <w:rPr>
          <w:rFonts w:hint="eastAsia" w:ascii="仿宋_GB2312" w:hAnsi="黑体" w:eastAsia="仿宋_GB2312"/>
          <w:bCs/>
          <w:color w:val="000000"/>
          <w:sz w:val="32"/>
          <w:szCs w:val="32"/>
          <w:lang w:eastAsia="zh-CN"/>
        </w:rPr>
        <w:t>年未安排该项工作</w:t>
      </w:r>
      <w:r>
        <w:rPr>
          <w:rFonts w:hint="eastAsia" w:ascii="仿宋_GB2312" w:hAnsi="黑体" w:eastAsia="仿宋_GB2312"/>
          <w:bCs/>
          <w:color w:val="000000"/>
          <w:sz w:val="32"/>
          <w:szCs w:val="32"/>
        </w:rPr>
        <w:t>。</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（二）公务用车购置及运行费支出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万元。其中：</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公务用车购置支出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w:t>
      </w:r>
      <w:r>
        <w:rPr>
          <w:rFonts w:hint="eastAsia" w:ascii="仿宋_GB2312" w:eastAsia="仿宋_GB2312" w:cs="仿宋_GB2312"/>
          <w:kern w:val="0"/>
          <w:sz w:val="32"/>
          <w:szCs w:val="32"/>
          <w:lang w:val="en-US" w:eastAsia="zh-CN"/>
        </w:rPr>
        <w:t>与</w:t>
      </w:r>
      <w:r>
        <w:rPr>
          <w:rFonts w:hint="eastAsia" w:ascii="仿宋_GB2312" w:eastAsia="仿宋_GB2312" w:cs="仿宋_GB2312"/>
          <w:kern w:val="0"/>
          <w:sz w:val="32"/>
          <w:szCs w:val="32"/>
        </w:rPr>
        <w:t>上年</w:t>
      </w:r>
      <w:r>
        <w:rPr>
          <w:rFonts w:hint="eastAsia" w:ascii="仿宋_GB2312" w:eastAsia="仿宋_GB2312" w:cs="仿宋_GB2312"/>
          <w:kern w:val="0"/>
          <w:sz w:val="32"/>
          <w:szCs w:val="32"/>
          <w:lang w:eastAsia="zh-CN"/>
        </w:rPr>
        <w:t>持平</w:t>
      </w:r>
      <w:r>
        <w:rPr>
          <w:rFonts w:hint="eastAsia" w:ascii="仿宋_GB2312" w:eastAsia="仿宋_GB2312" w:cs="仿宋_GB2312"/>
          <w:kern w:val="0"/>
          <w:sz w:val="32"/>
          <w:szCs w:val="32"/>
        </w:rPr>
        <w:t>，原因是</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公车改革后，本单位没有保留公务用车。</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公务用车运行支出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w:t>
      </w:r>
      <w:r>
        <w:rPr>
          <w:rFonts w:hint="eastAsia" w:ascii="仿宋_GB2312" w:eastAsia="仿宋_GB2312" w:cs="仿宋_GB2312"/>
          <w:kern w:val="0"/>
          <w:sz w:val="32"/>
          <w:szCs w:val="32"/>
          <w:lang w:eastAsia="zh-CN"/>
        </w:rPr>
        <w:t>与</w:t>
      </w:r>
      <w:r>
        <w:rPr>
          <w:rFonts w:hint="eastAsia" w:ascii="仿宋_GB2312" w:eastAsia="仿宋_GB2312" w:cs="仿宋_GB2312"/>
          <w:kern w:val="0"/>
          <w:sz w:val="32"/>
          <w:szCs w:val="32"/>
        </w:rPr>
        <w:t>上年</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eastAsia="zh-CN"/>
        </w:rPr>
        <w:t>持平</w:t>
      </w:r>
      <w:r>
        <w:rPr>
          <w:rFonts w:hint="eastAsia" w:ascii="仿宋_GB2312" w:eastAsia="仿宋_GB2312" w:cs="仿宋_GB2312"/>
          <w:kern w:val="0"/>
          <w:sz w:val="32"/>
          <w:szCs w:val="32"/>
        </w:rPr>
        <w:t>，原因是</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rPr>
        <w:t>公车改革后，本单位没有保留公务用车。</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w:t>
      </w:r>
      <w:r>
        <w:rPr>
          <w:rFonts w:hint="eastAsia" w:ascii="仿宋_GB2312" w:hAnsi="Times New Roman" w:eastAsia="仿宋_GB2312" w:cs="仿宋_GB2312"/>
          <w:bCs w:val="0"/>
          <w:color w:val="000000"/>
          <w:kern w:val="0"/>
          <w:sz w:val="32"/>
          <w:szCs w:val="32"/>
          <w:u w:val="none"/>
          <w:lang w:eastAsia="zh-CN"/>
        </w:rPr>
        <w:t>柳州市总工会职工服务中心</w:t>
      </w:r>
      <w:r>
        <w:rPr>
          <w:rFonts w:hint="eastAsia" w:ascii="仿宋_GB2312" w:hAnsi="Times New Roman" w:eastAsia="仿宋_GB2312" w:cs="仿宋_GB2312"/>
          <w:bCs w:val="0"/>
          <w:color w:val="000000"/>
          <w:kern w:val="0"/>
          <w:sz w:val="32"/>
          <w:szCs w:val="32"/>
        </w:rPr>
        <w:t>开</w:t>
      </w:r>
      <w:r>
        <w:rPr>
          <w:rFonts w:hint="eastAsia" w:ascii="仿宋_GB2312" w:hAnsi="黑体" w:eastAsia="仿宋_GB2312"/>
          <w:bCs/>
          <w:color w:val="000000"/>
          <w:sz w:val="32"/>
          <w:szCs w:val="32"/>
        </w:rPr>
        <w:t>支财政拨款的公务用车保有量为</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辆</w:t>
      </w:r>
      <w:r>
        <w:rPr>
          <w:rFonts w:hint="eastAsia" w:ascii="仿宋_GB2312" w:hAnsi="黑体" w:eastAsia="仿宋_GB2312"/>
          <w:b/>
          <w:bCs w:val="0"/>
          <w:color w:val="000000"/>
          <w:sz w:val="32"/>
          <w:szCs w:val="32"/>
        </w:rPr>
        <w:t>，</w:t>
      </w:r>
      <w:r>
        <w:rPr>
          <w:rFonts w:hint="eastAsia" w:ascii="仿宋_GB2312" w:hAnsi="黑体" w:eastAsia="仿宋_GB2312"/>
          <w:bCs/>
          <w:color w:val="000000"/>
          <w:sz w:val="32"/>
          <w:szCs w:val="32"/>
        </w:rPr>
        <w:t>全年运行费支出</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万元，平均每辆</w:t>
      </w:r>
      <w:r>
        <w:rPr>
          <w:rFonts w:hint="eastAsia" w:ascii="仿宋_GB2312" w:hAnsi="黑体" w:eastAsia="仿宋_GB2312"/>
          <w:bCs/>
          <w:color w:val="000000"/>
          <w:sz w:val="32"/>
          <w:szCs w:val="32"/>
          <w:lang w:val="en-US" w:eastAsia="zh-CN"/>
        </w:rPr>
        <w:t>0</w:t>
      </w:r>
      <w:r>
        <w:rPr>
          <w:rFonts w:hint="eastAsia" w:ascii="仿宋_GB2312" w:hAnsi="黑体" w:eastAsia="仿宋_GB2312"/>
          <w:bCs/>
          <w:color w:val="000000"/>
          <w:sz w:val="32"/>
          <w:szCs w:val="32"/>
        </w:rPr>
        <w:t>万元。</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（三）公务接待费支出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万元，完成年初预算的</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w:t>
      </w:r>
      <w:r>
        <w:rPr>
          <w:rFonts w:hint="eastAsia" w:ascii="仿宋_GB2312" w:eastAsia="仿宋_GB2312" w:cs="仿宋_GB2312"/>
          <w:kern w:val="0"/>
          <w:sz w:val="32"/>
          <w:szCs w:val="32"/>
          <w:lang w:eastAsia="zh-CN"/>
        </w:rPr>
        <w:t>，与</w:t>
      </w:r>
      <w:r>
        <w:rPr>
          <w:rFonts w:hint="eastAsia" w:ascii="仿宋_GB2312" w:eastAsia="仿宋_GB2312" w:cs="仿宋_GB2312"/>
          <w:kern w:val="0"/>
          <w:sz w:val="32"/>
          <w:szCs w:val="32"/>
        </w:rPr>
        <w:t>上年</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eastAsia="zh-CN"/>
        </w:rPr>
        <w:t>持平</w:t>
      </w:r>
      <w:r>
        <w:rPr>
          <w:rFonts w:hint="eastAsia" w:ascii="仿宋_GB2312" w:eastAsia="仿宋_GB2312" w:cs="仿宋_GB2312"/>
          <w:kern w:val="0"/>
          <w:sz w:val="32"/>
          <w:szCs w:val="32"/>
        </w:rPr>
        <w:t>，原因是2021年</w:t>
      </w:r>
      <w:r>
        <w:rPr>
          <w:rFonts w:hint="eastAsia" w:ascii="仿宋_GB2312" w:eastAsia="仿宋_GB2312" w:cs="仿宋_GB2312"/>
          <w:kern w:val="0"/>
          <w:sz w:val="32"/>
          <w:szCs w:val="32"/>
          <w:lang w:eastAsia="zh-CN"/>
        </w:rPr>
        <w:t>无</w:t>
      </w:r>
      <w:r>
        <w:rPr>
          <w:rFonts w:hint="eastAsia" w:ascii="仿宋_GB2312" w:eastAsia="仿宋_GB2312" w:cs="仿宋_GB2312"/>
          <w:kern w:val="0"/>
          <w:sz w:val="32"/>
          <w:szCs w:val="32"/>
        </w:rPr>
        <w:t>此项开支。国内公务接待批次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次，人次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次，国（境）外公务接待批次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次，人次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次</w:t>
      </w:r>
    </w:p>
    <w:p>
      <w:pPr>
        <w:autoSpaceDE w:val="0"/>
        <w:autoSpaceDN w:val="0"/>
        <w:adjustRightInd w:val="0"/>
        <w:spacing w:line="560" w:lineRule="exact"/>
        <w:ind w:firstLine="627" w:firstLineChars="196"/>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（一）</w:t>
      </w:r>
      <w:r>
        <w:rPr>
          <w:rFonts w:hint="eastAsia" w:ascii="楷体_GB2312" w:eastAsia="楷体_GB2312"/>
          <w:sz w:val="32"/>
          <w:szCs w:val="32"/>
        </w:rPr>
        <w:t xml:space="preserve"> </w:t>
      </w:r>
      <w:r>
        <w:rPr>
          <w:rFonts w:hint="eastAsia" w:ascii="楷体_GB2312" w:eastAsia="楷体_GB2312" w:cs="仿宋_GB2312"/>
          <w:kern w:val="0"/>
          <w:sz w:val="32"/>
          <w:szCs w:val="32"/>
        </w:rPr>
        <w:t>机关运行经费支出情况说明。</w:t>
      </w:r>
    </w:p>
    <w:p>
      <w:pPr>
        <w:autoSpaceDE w:val="0"/>
        <w:autoSpaceDN w:val="0"/>
        <w:adjustRightInd w:val="0"/>
        <w:spacing w:line="560" w:lineRule="exact"/>
        <w:ind w:firstLine="960" w:firstLineChars="300"/>
        <w:jc w:val="left"/>
        <w:rPr>
          <w:rFonts w:hint="eastAsia" w:ascii="仿宋_GB2312" w:eastAsia="仿宋_GB2312" w:cs="仿宋_GB2312"/>
          <w:b w:val="0"/>
          <w:color w:val="auto"/>
          <w:kern w:val="0"/>
          <w:sz w:val="32"/>
          <w:szCs w:val="32"/>
        </w:rPr>
      </w:pPr>
      <w:r>
        <w:rPr>
          <w:rFonts w:hint="eastAsia" w:ascii="仿宋_GB2312" w:eastAsia="仿宋_GB2312" w:cs="仿宋_GB2312"/>
          <w:b w:val="0"/>
          <w:color w:val="auto"/>
          <w:kern w:val="0"/>
          <w:sz w:val="32"/>
          <w:szCs w:val="32"/>
        </w:rPr>
        <w:t>本</w:t>
      </w:r>
      <w:r>
        <w:rPr>
          <w:rFonts w:hint="eastAsia" w:ascii="仿宋_GB2312" w:eastAsia="仿宋_GB2312" w:cs="仿宋_GB2312"/>
          <w:b w:val="0"/>
          <w:color w:val="auto"/>
          <w:kern w:val="0"/>
          <w:sz w:val="32"/>
          <w:szCs w:val="32"/>
          <w:lang w:eastAsia="zh-CN"/>
        </w:rPr>
        <w:t>单位</w:t>
      </w:r>
      <w:r>
        <w:rPr>
          <w:rFonts w:hint="eastAsia" w:ascii="仿宋_GB2312" w:eastAsia="仿宋_GB2312" w:cs="仿宋_GB2312"/>
          <w:b w:val="0"/>
          <w:color w:val="auto"/>
          <w:kern w:val="0"/>
          <w:sz w:val="32"/>
          <w:szCs w:val="32"/>
        </w:rPr>
        <w:t>无机关运行经费支出。</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（二）政府采购支出情况说明。</w:t>
      </w:r>
    </w:p>
    <w:p>
      <w:pPr>
        <w:autoSpaceDE w:val="0"/>
        <w:autoSpaceDN w:val="0"/>
        <w:adjustRightInd w:val="0"/>
        <w:spacing w:line="560" w:lineRule="exact"/>
        <w:ind w:firstLine="960" w:firstLineChars="300"/>
        <w:jc w:val="left"/>
        <w:rPr>
          <w:rFonts w:hint="eastAsia" w:ascii="仿宋_GB2312" w:eastAsia="仿宋_GB2312" w:cs="仿宋_GB2312"/>
          <w:color w:val="auto"/>
          <w:kern w:val="0"/>
          <w:sz w:val="32"/>
          <w:szCs w:val="32"/>
        </w:rPr>
      </w:pPr>
      <w:r>
        <w:rPr>
          <w:rFonts w:hint="eastAsia" w:ascii="仿宋_GB2312" w:eastAsia="仿宋_GB2312" w:cs="仿宋_GB2312"/>
          <w:b w:val="0"/>
          <w:color w:val="auto"/>
          <w:kern w:val="0"/>
          <w:sz w:val="32"/>
          <w:szCs w:val="32"/>
        </w:rPr>
        <w:t>本</w:t>
      </w:r>
      <w:r>
        <w:rPr>
          <w:rFonts w:hint="eastAsia" w:ascii="仿宋_GB2312" w:eastAsia="仿宋_GB2312" w:cs="仿宋_GB2312"/>
          <w:b w:val="0"/>
          <w:color w:val="auto"/>
          <w:kern w:val="0"/>
          <w:sz w:val="32"/>
          <w:szCs w:val="32"/>
          <w:lang w:eastAsia="zh-CN"/>
        </w:rPr>
        <w:t>单位</w:t>
      </w:r>
      <w:r>
        <w:rPr>
          <w:rFonts w:hint="eastAsia" w:ascii="仿宋_GB2312" w:eastAsia="仿宋_GB2312" w:cs="仿宋_GB2312"/>
          <w:b w:val="0"/>
          <w:color w:val="auto"/>
          <w:kern w:val="0"/>
          <w:sz w:val="32"/>
          <w:szCs w:val="32"/>
        </w:rPr>
        <w:t>无政府采购支出。</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（三）国有资产占用情况说明。</w:t>
      </w:r>
    </w:p>
    <w:p>
      <w:pPr>
        <w:autoSpaceDE w:val="0"/>
        <w:autoSpaceDN w:val="0"/>
        <w:adjustRightInd w:val="0"/>
        <w:spacing w:line="58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截至</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年12月31日，本</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共有车辆</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辆，其中：公务用车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 辆；执法执勤用车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辆；专业技术用车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 辆；其他用车</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辆；单价50万元 以上通用设备</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台（套），单价100 万元以上专用设备</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 xml:space="preserve">台（套）。 </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（四）预算绩效管理工作开展情况。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1.绩效管理工作开展情况。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rPr>
        <w:t>根据财政预算管理要求，我</w:t>
      </w:r>
      <w:r>
        <w:rPr>
          <w:rFonts w:hint="eastAsia" w:ascii="仿宋_GB2312" w:eastAsia="仿宋_GB2312" w:cs="仿宋_GB2312"/>
          <w:kern w:val="0"/>
          <w:sz w:val="32"/>
          <w:szCs w:val="32"/>
          <w:lang w:eastAsia="zh-CN"/>
        </w:rPr>
        <w:t>单位</w:t>
      </w:r>
      <w:r>
        <w:rPr>
          <w:rFonts w:hint="eastAsia" w:ascii="仿宋_GB2312" w:eastAsia="仿宋_GB2312" w:cs="仿宋_GB2312"/>
          <w:kern w:val="0"/>
          <w:sz w:val="32"/>
          <w:szCs w:val="32"/>
        </w:rPr>
        <w:t>组织对</w:t>
      </w:r>
      <w:r>
        <w:rPr>
          <w:rFonts w:hint="eastAsia" w:ascii="仿宋_GB2312" w:eastAsia="仿宋_GB2312" w:cs="仿宋_GB2312"/>
          <w:kern w:val="0"/>
          <w:sz w:val="32"/>
          <w:szCs w:val="32"/>
          <w:lang w:eastAsia="zh-CN"/>
        </w:rPr>
        <w:t>本单位</w:t>
      </w:r>
      <w:r>
        <w:rPr>
          <w:rFonts w:hint="eastAsia" w:ascii="仿宋_GB2312" w:eastAsia="仿宋_GB2312" w:cs="仿宋_GB2312"/>
          <w:kern w:val="0"/>
          <w:sz w:val="32"/>
          <w:szCs w:val="32"/>
        </w:rPr>
        <w:t>开展整体支出绩效评价试点，涉及一般公共预算支出265.61万元，政府性基金预算支出</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万元。从评价情况来看，</w:t>
      </w:r>
      <w:r>
        <w:rPr>
          <w:rFonts w:hint="eastAsia" w:ascii="仿宋_GB2312" w:eastAsia="仿宋_GB2312" w:cs="仿宋_GB2312"/>
          <w:kern w:val="0"/>
          <w:sz w:val="32"/>
          <w:szCs w:val="32"/>
          <w:lang w:eastAsia="zh-CN"/>
        </w:rPr>
        <w:t>我单位严格按照预算执行，绩效目标完成情况整体良好，各项工作都取得良好成效。资金的支付符合国家财经法规和财务管理制度，资金使用无截留、挪用、虚列支出等情况，经综合评价，我单位</w:t>
      </w:r>
      <w:r>
        <w:rPr>
          <w:rFonts w:hint="eastAsia" w:ascii="仿宋_GB2312" w:eastAsia="仿宋_GB2312" w:cs="仿宋_GB2312"/>
          <w:kern w:val="0"/>
          <w:sz w:val="32"/>
          <w:szCs w:val="32"/>
          <w:lang w:val="en-US" w:eastAsia="zh-CN"/>
        </w:rPr>
        <w:t>2021年度整体支出绩效评价得分97分。</w:t>
      </w:r>
    </w:p>
    <w:p>
      <w:pPr>
        <w:autoSpaceDE w:val="0"/>
        <w:autoSpaceDN w:val="0"/>
        <w:adjustRightInd w:val="0"/>
        <w:spacing w:line="58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 xml:space="preserve"> </w:t>
      </w:r>
    </w:p>
    <w:p>
      <w:pPr>
        <w:spacing w:line="580" w:lineRule="exact"/>
        <w:ind w:firstLine="645"/>
        <w:rPr>
          <w:rFonts w:ascii="仿宋_GB2312" w:eastAsia="仿宋_GB2312"/>
          <w:b/>
          <w:sz w:val="32"/>
          <w:szCs w:val="32"/>
        </w:rPr>
      </w:pPr>
      <w:r>
        <w:rPr>
          <w:rFonts w:hint="eastAsia" w:ascii="仿宋_GB2312" w:eastAsia="仿宋_GB2312"/>
          <w:b/>
          <w:sz w:val="32"/>
          <w:szCs w:val="32"/>
        </w:rPr>
        <w:t>第四部分：名词解释</w:t>
      </w:r>
    </w:p>
    <w:p>
      <w:pPr>
        <w:ind w:firstLine="640"/>
        <w:rPr>
          <w:rFonts w:hint="eastAsia" w:ascii="仿宋_GB2312" w:eastAsia="仿宋_GB2312"/>
          <w:sz w:val="32"/>
          <w:szCs w:val="32"/>
        </w:rPr>
      </w:pPr>
      <w:r>
        <w:rPr>
          <w:rFonts w:hint="eastAsia" w:ascii="仿宋_GB2312" w:eastAsia="仿宋_GB2312"/>
          <w:sz w:val="32"/>
          <w:szCs w:val="32"/>
        </w:rPr>
        <w:t>一、财政拨款收入：指</w:t>
      </w:r>
      <w:r>
        <w:rPr>
          <w:rFonts w:hint="eastAsia" w:ascii="仿宋_GB2312" w:eastAsia="仿宋_GB2312"/>
          <w:sz w:val="32"/>
          <w:szCs w:val="32"/>
          <w:lang w:eastAsia="zh-CN"/>
        </w:rPr>
        <w:t>柳州市</w:t>
      </w:r>
      <w:r>
        <w:rPr>
          <w:rFonts w:hint="eastAsia" w:ascii="仿宋_GB2312" w:eastAsia="仿宋_GB2312"/>
          <w:sz w:val="32"/>
          <w:szCs w:val="32"/>
        </w:rPr>
        <w:t xml:space="preserve">财政部门当年拨付的资金。 </w:t>
      </w:r>
    </w:p>
    <w:p>
      <w:pPr>
        <w:ind w:firstLine="640" w:firstLineChars="200"/>
        <w:rPr>
          <w:rFonts w:hint="eastAsia" w:ascii="仿宋_GB2312" w:eastAsia="仿宋_GB2312"/>
          <w:sz w:val="32"/>
          <w:szCs w:val="32"/>
        </w:rPr>
      </w:pPr>
      <w:r>
        <w:rPr>
          <w:rFonts w:hint="eastAsia" w:ascii="仿宋_GB2312" w:eastAsia="仿宋_GB2312"/>
          <w:sz w:val="32"/>
          <w:szCs w:val="32"/>
        </w:rPr>
        <w:t>二、事业收入：指事业单位开展专业业务活动及辅助活动所取得的收入。</w:t>
      </w:r>
    </w:p>
    <w:p>
      <w:pPr>
        <w:ind w:firstLine="640" w:firstLineChars="200"/>
        <w:rPr>
          <w:rFonts w:hint="eastAsia" w:ascii="仿宋_GB2312" w:eastAsia="仿宋_GB2312"/>
          <w:sz w:val="32"/>
          <w:szCs w:val="32"/>
        </w:rPr>
      </w:pPr>
      <w:r>
        <w:rPr>
          <w:rFonts w:hint="eastAsia" w:ascii="仿宋_GB2312" w:eastAsia="仿宋_GB2312"/>
          <w:sz w:val="32"/>
          <w:szCs w:val="32"/>
        </w:rPr>
        <w:t>三、经营收入：指事业单位在专业业务活动及其辅助活动之外开展非独立核算经营活动取得的收入。</w:t>
      </w:r>
    </w:p>
    <w:p>
      <w:pPr>
        <w:ind w:firstLine="640"/>
        <w:rPr>
          <w:rFonts w:hint="eastAsia" w:ascii="仿宋_GB2312" w:eastAsia="仿宋_GB2312"/>
          <w:sz w:val="32"/>
          <w:szCs w:val="32"/>
        </w:rPr>
      </w:pPr>
      <w:r>
        <w:rPr>
          <w:rFonts w:hint="eastAsia" w:ascii="仿宋_GB2312" w:eastAsia="仿宋_GB2312"/>
          <w:sz w:val="32"/>
          <w:szCs w:val="32"/>
        </w:rPr>
        <w:t>四、其他收入：指除上述“财政拨款收入”“事业收入”“经营收入”等以外的收入。</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五、用事业基金弥补收支差额指事业单位在当年的“财政拨款收入”“事业收入”“经营收入”“其他收入”不足以安排当年支出的情况下，使用非财政拨款结余弥补本年度收支缺口的资金。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六、年初结转和结余：指以前年度尚未完成、结转到本年 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七、结余分配：指事业单位按规定提取的职工福利基金、事业基金和缴纳的所得税，以及建设单位按规定应交回的基本建设竣工项目结余资金。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八、年末结转和结余：指本年度或以前年度预算安排、因客观条件发生变化无法按原计划实施，需要延迟到以后年度按有关规定继续使用的资金。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九、基本支出：指为保障机构正常运转、完成日常工作任务而发生的人员支出和公用支出。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十、项目支出：指在基本支出之外为完成特定行政任务和事业发展目标所发生的支出。 </w:t>
      </w:r>
    </w:p>
    <w:p>
      <w:pPr>
        <w:ind w:firstLine="640"/>
        <w:rPr>
          <w:rFonts w:hint="eastAsia" w:ascii="仿宋_GB2312" w:eastAsia="仿宋_GB2312"/>
          <w:sz w:val="32"/>
          <w:szCs w:val="32"/>
        </w:rPr>
      </w:pPr>
      <w:r>
        <w:rPr>
          <w:rFonts w:hint="eastAsia" w:ascii="仿宋_GB2312" w:eastAsia="仿宋_GB2312"/>
          <w:sz w:val="32"/>
          <w:szCs w:val="32"/>
        </w:rPr>
        <w:t>十一、经营支出：指事业单位在专业业务活动及其辅助活动之外开展非独立核算经营活动发生的支出。</w:t>
      </w:r>
    </w:p>
    <w:p>
      <w:pPr>
        <w:ind w:firstLine="640" w:firstLineChars="200"/>
        <w:rPr>
          <w:rFonts w:hint="eastAsia" w:ascii="仿宋_GB2312" w:eastAsia="仿宋_GB2312"/>
          <w:sz w:val="32"/>
          <w:szCs w:val="32"/>
        </w:rPr>
      </w:pPr>
      <w:r>
        <w:rPr>
          <w:rFonts w:hint="eastAsia" w:ascii="仿宋_GB2312" w:eastAsia="仿宋_GB2312"/>
          <w:sz w:val="32"/>
          <w:szCs w:val="32"/>
        </w:rPr>
        <w:t>十二、“三公”经费：纳入</w:t>
      </w:r>
      <w:r>
        <w:rPr>
          <w:rFonts w:hint="eastAsia" w:ascii="仿宋_GB2312" w:eastAsia="仿宋_GB2312"/>
          <w:sz w:val="32"/>
          <w:szCs w:val="32"/>
          <w:lang w:eastAsia="zh-CN"/>
        </w:rPr>
        <w:t>柳州市</w:t>
      </w:r>
      <w:r>
        <w:rPr>
          <w:rFonts w:hint="eastAsia" w:ascii="仿宋_GB2312" w:eastAsia="仿宋_GB2312"/>
          <w:sz w:val="32"/>
          <w:szCs w:val="32"/>
        </w:rPr>
        <w:t>财政预决算管理的“三公”经费，是指</w:t>
      </w:r>
      <w:r>
        <w:rPr>
          <w:rFonts w:hint="eastAsia" w:ascii="仿宋_GB2312" w:eastAsia="仿宋_GB2312"/>
          <w:sz w:val="32"/>
          <w:szCs w:val="32"/>
          <w:lang w:eastAsia="zh-CN"/>
        </w:rPr>
        <w:t>柳州市</w:t>
      </w:r>
      <w:r>
        <w:rPr>
          <w:rFonts w:hint="eastAsia" w:ascii="仿宋_GB2312" w:eastAsia="仿宋_GB2312"/>
          <w:sz w:val="32"/>
          <w:szCs w:val="32"/>
        </w:rPr>
        <w:t xml:space="preserve">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ind w:firstLine="640" w:firstLineChars="200"/>
        <w:rPr>
          <w:rFonts w:hint="eastAsia" w:ascii="仿宋_GB2312" w:eastAsia="仿宋_GB2312"/>
          <w:sz w:val="32"/>
          <w:szCs w:val="32"/>
        </w:rPr>
      </w:pPr>
      <w:r>
        <w:rPr>
          <w:rFonts w:hint="eastAsia" w:ascii="仿宋_GB2312"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hint="eastAsia" w:ascii="仿宋_GB2312" w:eastAsia="仿宋_GB2312" w:cs="仿宋_GB2312"/>
          <w:kern w:val="0"/>
          <w:sz w:val="32"/>
          <w:szCs w:val="32"/>
        </w:rPr>
      </w:pPr>
    </w:p>
    <w:sectPr>
      <w:headerReference r:id="rId3" w:type="default"/>
      <w:footerReference r:id="rId4" w:type="default"/>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sz w:val="30"/>
        <w:szCs w:val="30"/>
      </w:rPr>
    </w:pPr>
    <w:r>
      <w:rPr>
        <w:sz w:val="30"/>
        <w:szCs w:val="30"/>
      </w:rPr>
      <w:fldChar w:fldCharType="begin"/>
    </w:r>
    <w:r>
      <w:rPr>
        <w:rStyle w:val="7"/>
        <w:sz w:val="30"/>
        <w:szCs w:val="30"/>
      </w:rPr>
      <w:instrText xml:space="preserve">PAGE  </w:instrText>
    </w:r>
    <w:r>
      <w:rPr>
        <w:sz w:val="30"/>
        <w:szCs w:val="30"/>
      </w:rPr>
      <w:fldChar w:fldCharType="separate"/>
    </w:r>
    <w:r>
      <w:rPr>
        <w:rStyle w:val="7"/>
        <w:sz w:val="30"/>
        <w:szCs w:val="30"/>
      </w:rPr>
      <w:t>- 13 -</w:t>
    </w:r>
    <w:r>
      <w:rPr>
        <w:sz w:val="30"/>
        <w:szCs w:val="30"/>
      </w:rP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3448DF"/>
    <w:multiLevelType w:val="singleLevel"/>
    <w:tmpl w:val="553448DF"/>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jNDNkODRjZTUyODY5NDBlZDQxOWMwN2RjODhiODIifQ=="/>
  </w:docVars>
  <w:rsids>
    <w:rsidRoot w:val="4C256E3D"/>
    <w:rsid w:val="00066CA3"/>
    <w:rsid w:val="00606EFC"/>
    <w:rsid w:val="006C1367"/>
    <w:rsid w:val="00715385"/>
    <w:rsid w:val="00861ED5"/>
    <w:rsid w:val="00926563"/>
    <w:rsid w:val="00E00850"/>
    <w:rsid w:val="00F66C5B"/>
    <w:rsid w:val="0129651A"/>
    <w:rsid w:val="01956B63"/>
    <w:rsid w:val="01F143D4"/>
    <w:rsid w:val="02547CF5"/>
    <w:rsid w:val="028041DC"/>
    <w:rsid w:val="03BC7FAE"/>
    <w:rsid w:val="040F695E"/>
    <w:rsid w:val="04A43402"/>
    <w:rsid w:val="04F2370A"/>
    <w:rsid w:val="05352423"/>
    <w:rsid w:val="06B07B82"/>
    <w:rsid w:val="075376BB"/>
    <w:rsid w:val="077C29DF"/>
    <w:rsid w:val="07A1672F"/>
    <w:rsid w:val="07AB390A"/>
    <w:rsid w:val="08802A84"/>
    <w:rsid w:val="08944689"/>
    <w:rsid w:val="092B30A3"/>
    <w:rsid w:val="094B45FA"/>
    <w:rsid w:val="0970715B"/>
    <w:rsid w:val="09F66A99"/>
    <w:rsid w:val="0A0C33E4"/>
    <w:rsid w:val="0B424B1D"/>
    <w:rsid w:val="0CCF50AD"/>
    <w:rsid w:val="0DA86951"/>
    <w:rsid w:val="0DE066C7"/>
    <w:rsid w:val="0E074DDF"/>
    <w:rsid w:val="0EE61D6A"/>
    <w:rsid w:val="0F0F5ED6"/>
    <w:rsid w:val="118076B7"/>
    <w:rsid w:val="123F16C0"/>
    <w:rsid w:val="124204B5"/>
    <w:rsid w:val="129151EB"/>
    <w:rsid w:val="12F221EB"/>
    <w:rsid w:val="12F41C05"/>
    <w:rsid w:val="1397343B"/>
    <w:rsid w:val="13DE1125"/>
    <w:rsid w:val="13EC4DB6"/>
    <w:rsid w:val="14032BC2"/>
    <w:rsid w:val="14647F6C"/>
    <w:rsid w:val="14F016D4"/>
    <w:rsid w:val="15436065"/>
    <w:rsid w:val="15823E15"/>
    <w:rsid w:val="158C5C68"/>
    <w:rsid w:val="1612602D"/>
    <w:rsid w:val="161C7457"/>
    <w:rsid w:val="16B90A0F"/>
    <w:rsid w:val="172F3357"/>
    <w:rsid w:val="18236FC4"/>
    <w:rsid w:val="182962AB"/>
    <w:rsid w:val="18656DA5"/>
    <w:rsid w:val="199C06A2"/>
    <w:rsid w:val="19D073EB"/>
    <w:rsid w:val="1A650904"/>
    <w:rsid w:val="1A826F31"/>
    <w:rsid w:val="1BA7451C"/>
    <w:rsid w:val="1BE82380"/>
    <w:rsid w:val="1CC31F67"/>
    <w:rsid w:val="1D100B0E"/>
    <w:rsid w:val="1D8E2556"/>
    <w:rsid w:val="1DCA7323"/>
    <w:rsid w:val="1FC11A0B"/>
    <w:rsid w:val="1FFF0482"/>
    <w:rsid w:val="20E30792"/>
    <w:rsid w:val="221B36B5"/>
    <w:rsid w:val="2249565E"/>
    <w:rsid w:val="239F6EA1"/>
    <w:rsid w:val="23D339FF"/>
    <w:rsid w:val="24D337DC"/>
    <w:rsid w:val="251B7EA5"/>
    <w:rsid w:val="25D345F5"/>
    <w:rsid w:val="26460DBA"/>
    <w:rsid w:val="264962AA"/>
    <w:rsid w:val="283103FC"/>
    <w:rsid w:val="28363C8D"/>
    <w:rsid w:val="29C638CF"/>
    <w:rsid w:val="29E31AB5"/>
    <w:rsid w:val="2A667F32"/>
    <w:rsid w:val="2AD800F5"/>
    <w:rsid w:val="2B6F74EB"/>
    <w:rsid w:val="2C1F0B15"/>
    <w:rsid w:val="2C4219FE"/>
    <w:rsid w:val="3057427E"/>
    <w:rsid w:val="31F10967"/>
    <w:rsid w:val="32755CA1"/>
    <w:rsid w:val="335718FE"/>
    <w:rsid w:val="34020F86"/>
    <w:rsid w:val="341361ED"/>
    <w:rsid w:val="355D46C7"/>
    <w:rsid w:val="36B44D9F"/>
    <w:rsid w:val="3886665B"/>
    <w:rsid w:val="38EA319B"/>
    <w:rsid w:val="39A63F06"/>
    <w:rsid w:val="3ACB1BD5"/>
    <w:rsid w:val="3BDC28F8"/>
    <w:rsid w:val="3BEA7E2C"/>
    <w:rsid w:val="3BFF5BF9"/>
    <w:rsid w:val="3C017E2C"/>
    <w:rsid w:val="3C3F074B"/>
    <w:rsid w:val="3C5F327D"/>
    <w:rsid w:val="3C6C4C75"/>
    <w:rsid w:val="3CC76BAA"/>
    <w:rsid w:val="3D093A14"/>
    <w:rsid w:val="3D3E1C9F"/>
    <w:rsid w:val="3DCC22D2"/>
    <w:rsid w:val="3E6F4772"/>
    <w:rsid w:val="3EA872B2"/>
    <w:rsid w:val="3ED1439F"/>
    <w:rsid w:val="3EE73F16"/>
    <w:rsid w:val="42235D58"/>
    <w:rsid w:val="43964534"/>
    <w:rsid w:val="44500BF5"/>
    <w:rsid w:val="44560C84"/>
    <w:rsid w:val="44A2221F"/>
    <w:rsid w:val="45EE20FD"/>
    <w:rsid w:val="45FC308A"/>
    <w:rsid w:val="47171C6D"/>
    <w:rsid w:val="47F43786"/>
    <w:rsid w:val="48303E0B"/>
    <w:rsid w:val="48374EDC"/>
    <w:rsid w:val="4856577B"/>
    <w:rsid w:val="488350E4"/>
    <w:rsid w:val="493C74A1"/>
    <w:rsid w:val="4A10764E"/>
    <w:rsid w:val="4A3A3814"/>
    <w:rsid w:val="4A8726B2"/>
    <w:rsid w:val="4A9371B5"/>
    <w:rsid w:val="4AB54D9A"/>
    <w:rsid w:val="4B2761B7"/>
    <w:rsid w:val="4C256E3D"/>
    <w:rsid w:val="4C700A1A"/>
    <w:rsid w:val="4CB52F0F"/>
    <w:rsid w:val="4DD82C0F"/>
    <w:rsid w:val="4E2875DF"/>
    <w:rsid w:val="4EDD2BAE"/>
    <w:rsid w:val="4F58633D"/>
    <w:rsid w:val="50C04C3A"/>
    <w:rsid w:val="520149F7"/>
    <w:rsid w:val="52C42894"/>
    <w:rsid w:val="531C104E"/>
    <w:rsid w:val="532F1F9A"/>
    <w:rsid w:val="548A22EF"/>
    <w:rsid w:val="54A07FC9"/>
    <w:rsid w:val="54A71DFE"/>
    <w:rsid w:val="553D3A07"/>
    <w:rsid w:val="559117FB"/>
    <w:rsid w:val="5599268B"/>
    <w:rsid w:val="56E258EE"/>
    <w:rsid w:val="56EA2CF2"/>
    <w:rsid w:val="56FB259B"/>
    <w:rsid w:val="57931D57"/>
    <w:rsid w:val="57BB6C49"/>
    <w:rsid w:val="5A374284"/>
    <w:rsid w:val="5B800A46"/>
    <w:rsid w:val="5C5F3C52"/>
    <w:rsid w:val="5D420FD6"/>
    <w:rsid w:val="5D59492B"/>
    <w:rsid w:val="5D746B4A"/>
    <w:rsid w:val="5DBB25AC"/>
    <w:rsid w:val="5E995A3E"/>
    <w:rsid w:val="5F132D70"/>
    <w:rsid w:val="5F1C5799"/>
    <w:rsid w:val="5F933EA7"/>
    <w:rsid w:val="5F95061E"/>
    <w:rsid w:val="5FA21119"/>
    <w:rsid w:val="5FC1266C"/>
    <w:rsid w:val="5FD12E71"/>
    <w:rsid w:val="61312D34"/>
    <w:rsid w:val="617E254E"/>
    <w:rsid w:val="61F532C5"/>
    <w:rsid w:val="62163194"/>
    <w:rsid w:val="624D024D"/>
    <w:rsid w:val="638D3523"/>
    <w:rsid w:val="643011B2"/>
    <w:rsid w:val="64542243"/>
    <w:rsid w:val="650E086A"/>
    <w:rsid w:val="656F6993"/>
    <w:rsid w:val="65C14046"/>
    <w:rsid w:val="667E64FC"/>
    <w:rsid w:val="6A692361"/>
    <w:rsid w:val="6BAA0708"/>
    <w:rsid w:val="6D0433E0"/>
    <w:rsid w:val="6F601825"/>
    <w:rsid w:val="70046E9D"/>
    <w:rsid w:val="70A22E06"/>
    <w:rsid w:val="711D2098"/>
    <w:rsid w:val="715F5C5C"/>
    <w:rsid w:val="72231A60"/>
    <w:rsid w:val="72F401D2"/>
    <w:rsid w:val="7333795E"/>
    <w:rsid w:val="73890FAF"/>
    <w:rsid w:val="741324C7"/>
    <w:rsid w:val="743631A3"/>
    <w:rsid w:val="75604532"/>
    <w:rsid w:val="75871EBD"/>
    <w:rsid w:val="75A30765"/>
    <w:rsid w:val="75AF6C8B"/>
    <w:rsid w:val="77474C4B"/>
    <w:rsid w:val="77EB582D"/>
    <w:rsid w:val="78A66587"/>
    <w:rsid w:val="794E78EE"/>
    <w:rsid w:val="79E37AA7"/>
    <w:rsid w:val="7A0A467D"/>
    <w:rsid w:val="7A1E50F5"/>
    <w:rsid w:val="7AAC226F"/>
    <w:rsid w:val="7C147018"/>
    <w:rsid w:val="7D04184D"/>
    <w:rsid w:val="7D685157"/>
    <w:rsid w:val="7D867E34"/>
    <w:rsid w:val="7E025AC6"/>
    <w:rsid w:val="7E3D3DE4"/>
    <w:rsid w:val="7F7050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批注框文本 Char"/>
    <w:basedOn w:val="6"/>
    <w:link w:val="2"/>
    <w:qFormat/>
    <w:uiPriority w:val="0"/>
    <w:rPr>
      <w:kern w:val="2"/>
      <w:sz w:val="18"/>
      <w:szCs w:val="18"/>
    </w:rPr>
  </w:style>
  <w:style w:type="character" w:customStyle="1" w:styleId="9">
    <w:name w:val="font11"/>
    <w:basedOn w:val="6"/>
    <w:qFormat/>
    <w:uiPriority w:val="0"/>
    <w:rPr>
      <w:rFonts w:hint="eastAsia" w:ascii="宋体" w:hAnsi="宋体" w:eastAsia="宋体" w:cs="宋体"/>
      <w:color w:val="000000"/>
      <w:sz w:val="22"/>
      <w:szCs w:val="22"/>
      <w:u w:val="none"/>
    </w:rPr>
  </w:style>
  <w:style w:type="character" w:customStyle="1" w:styleId="10">
    <w:name w:val="font01"/>
    <w:basedOn w:val="6"/>
    <w:qFormat/>
    <w:uiPriority w:val="0"/>
    <w:rPr>
      <w:rFonts w:hint="eastAsia" w:ascii="宋体" w:hAnsi="宋体" w:eastAsia="宋体" w:cs="宋体"/>
      <w:color w:val="000000"/>
      <w:sz w:val="24"/>
      <w:szCs w:val="24"/>
      <w:u w:val="none"/>
    </w:rPr>
  </w:style>
  <w:style w:type="character" w:customStyle="1" w:styleId="11">
    <w:name w:val="font2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13</Pages>
  <Words>5136</Words>
  <Characters>5611</Characters>
  <Lines>60</Lines>
  <Paragraphs>17</Paragraphs>
  <TotalTime>18</TotalTime>
  <ScaleCrop>false</ScaleCrop>
  <LinksUpToDate>false</LinksUpToDate>
  <CharactersWithSpaces>5642</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2020-07-15T08:43:00Z</dcterms:created>
  <dc:creator>陈冬雪</dc:creator>
  <cp:lastModifiedBy>哒哒陳</cp:lastModifiedBy>
  <cp:lastPrinted>2022-08-05T10:48:00Z</cp:lastPrinted>
  <dcterms:modified xsi:type="dcterms:W3CDTF">2022-09-02T03:57:41Z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9527AE64C13B404AA47A834F4CA609E5</vt:lpwstr>
  </property>
</Properties>
</file>