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bookmarkStart w:id="0" w:name="_GoBack"/>
      <w:bookmarkEnd w:id="0"/>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柳州市生态环境技术保障中心</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w:t>
      </w:r>
      <w:r>
        <w:rPr>
          <w:rFonts w:hint="eastAsia" w:ascii="黑体" w:eastAsia="黑体" w:cs="ArialUnicodeMS"/>
          <w:kern w:val="0"/>
          <w:sz w:val="52"/>
          <w:szCs w:val="52"/>
          <w:lang w:eastAsia="zh-CN"/>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第一部分：柳州市生态环境技术保障中心概况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二、机构设置情况</w:t>
      </w:r>
    </w:p>
    <w:p>
      <w:pPr>
        <w:ind w:firstLine="645"/>
        <w:rPr>
          <w:rFonts w:ascii="仿宋_GB2312" w:eastAsia="仿宋_GB2312"/>
          <w:b/>
          <w:sz w:val="32"/>
          <w:szCs w:val="32"/>
        </w:rPr>
      </w:pPr>
      <w:r>
        <w:rPr>
          <w:rFonts w:hint="eastAsia" w:ascii="仿宋_GB2312" w:eastAsia="仿宋_GB2312"/>
          <w:b/>
          <w:sz w:val="32"/>
          <w:szCs w:val="32"/>
        </w:rPr>
        <w:t>第二部分：柳州市生态环境技术保障中心</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pPr>
        <w:ind w:firstLine="645"/>
        <w:rPr>
          <w:rFonts w:ascii="仿宋_GB2312" w:eastAsia="仿宋_GB2312"/>
          <w:b/>
          <w:sz w:val="32"/>
          <w:szCs w:val="32"/>
        </w:rPr>
      </w:pPr>
      <w:r>
        <w:rPr>
          <w:rFonts w:hint="eastAsia" w:ascii="仿宋_GB2312" w:eastAsia="仿宋_GB2312"/>
          <w:b/>
          <w:sz w:val="32"/>
          <w:szCs w:val="32"/>
        </w:rPr>
        <w:t>第三部分：柳州市生态环境技术保障中心</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第一部分：柳州市生态环境技术保障中心概况</w:t>
      </w:r>
    </w:p>
    <w:p>
      <w:pPr>
        <w:ind w:firstLine="646"/>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一、主要职能</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（一）负责对社会公众开展生态环境科普教育，推动社会参与环境保护。</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（二）负责策划和实施各类生态环境保护宣传活动，对重大环保活动进行宣传报道。</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（三）负责编制全市环境状况公报，组织生态环境保护相关的网络舆情处置。</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（四）负责固体废物管理的事务性和技术性工作，协助开展固体废物污染防治和综合利用的技术研究、推广应用。</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 xml:space="preserve">（五）负责主管部门信息化的日常维护和网络安全保障工作，为主管部门信息数据库建设等信息化工作提供技术支持。 </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（六）负责为机动车尾气污染防治提供技术支持，协助开展机动车和非道路移动机械的污染防治研究以及清洁机动车的推广应用工作。</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（七）负责区域生态环境的规划研究，组织开展生态环境保护科技项目、标准、科技成果的申报工作。</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（八）负责为生态环境保护区域的合作与交流、基础环境科研、环境监测以及辐射安全管理提供技术支持。</w:t>
      </w:r>
    </w:p>
    <w:p>
      <w:pPr>
        <w:pStyle w:val="6"/>
        <w:spacing w:beforeAutospacing="0" w:afterAutospacing="0" w:line="560" w:lineRule="exact"/>
        <w:ind w:firstLine="640" w:firstLineChars="200"/>
        <w:rPr>
          <w:rFonts w:ascii="仿宋_GB2312" w:hAnsi="华文仿宋" w:eastAsia="仿宋_GB2312"/>
          <w:bCs/>
          <w:color w:val="000000"/>
          <w:sz w:val="32"/>
          <w:szCs w:val="32"/>
        </w:rPr>
      </w:pPr>
      <w:r>
        <w:rPr>
          <w:rFonts w:hint="eastAsia" w:ascii="仿宋_GB2312" w:hAnsi="华文仿宋" w:eastAsia="仿宋_GB2312"/>
          <w:bCs/>
          <w:color w:val="000000"/>
          <w:sz w:val="32"/>
          <w:szCs w:val="32"/>
        </w:rPr>
        <w:t>（九）协助管理辖区内从事生态环境监测和环境影响评价的机构和人员。</w:t>
      </w:r>
    </w:p>
    <w:p>
      <w:pPr>
        <w:ind w:firstLine="645"/>
        <w:rPr>
          <w:rFonts w:hint="eastAsia" w:ascii="仿宋_GB2312" w:eastAsia="仿宋_GB2312"/>
          <w:sz w:val="32"/>
          <w:szCs w:val="32"/>
          <w:lang w:val="en-US" w:eastAsia="zh-CN"/>
        </w:rPr>
      </w:pPr>
      <w:r>
        <w:rPr>
          <w:rFonts w:hint="eastAsia" w:ascii="仿宋_GB2312" w:hAnsi="华文仿宋" w:eastAsia="仿宋_GB2312"/>
          <w:bCs/>
          <w:color w:val="000000"/>
          <w:sz w:val="32"/>
          <w:szCs w:val="32"/>
        </w:rPr>
        <w:t>（十）完成主管部门交办的其他任务。</w:t>
      </w:r>
    </w:p>
    <w:p>
      <w:pPr>
        <w:ind w:firstLine="645"/>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二、单位机构设置情况</w:t>
      </w:r>
    </w:p>
    <w:p>
      <w:pPr>
        <w:ind w:firstLine="646"/>
        <w:rPr>
          <w:rFonts w:ascii="仿宋_GB2312" w:eastAsia="仿宋_GB2312"/>
          <w:sz w:val="32"/>
          <w:szCs w:val="32"/>
        </w:rPr>
      </w:pPr>
    </w:p>
    <w:p>
      <w:pPr>
        <w:numPr>
          <w:ilvl w:val="0"/>
          <w:numId w:val="0"/>
        </w:numPr>
        <w:snapToGrid w:val="0"/>
        <w:spacing w:line="520" w:lineRule="exact"/>
        <w:ind w:firstLine="640" w:firstLineChars="200"/>
        <w:rPr>
          <w:rFonts w:hint="eastAsia" w:ascii="仿宋_GB2312" w:hAnsi="仿宋" w:eastAsia="仿宋_GB2312"/>
          <w:sz w:val="32"/>
          <w:szCs w:val="32"/>
        </w:rPr>
      </w:pPr>
      <w:r>
        <w:rPr>
          <w:rFonts w:hint="eastAsia" w:ascii="仿宋_GB2312" w:hAnsi="华文仿宋" w:eastAsia="仿宋_GB2312"/>
          <w:sz w:val="32"/>
          <w:szCs w:val="32"/>
        </w:rPr>
        <w:t>柳州市生态环境技术保障中心为柳州市生态环境局管理的正科级公益一类全额拨款事业单位。编制人数68人</w:t>
      </w:r>
      <w:r>
        <w:rPr>
          <w:rFonts w:hint="eastAsia" w:ascii="仿宋_GB2312" w:hAnsi="华文仿宋" w:eastAsia="仿宋_GB2312"/>
          <w:sz w:val="32"/>
          <w:szCs w:val="32"/>
          <w:lang w:eastAsia="zh-CN"/>
        </w:rPr>
        <w:t>，</w:t>
      </w:r>
      <w:r>
        <w:rPr>
          <w:rFonts w:hint="eastAsia" w:ascii="仿宋_GB2312" w:hAnsi="华文仿宋" w:eastAsia="仿宋_GB2312"/>
          <w:sz w:val="32"/>
          <w:szCs w:val="32"/>
        </w:rPr>
        <w:t>实有在职人数</w:t>
      </w:r>
      <w:r>
        <w:rPr>
          <w:rFonts w:hint="eastAsia" w:ascii="仿宋_GB2312" w:hAnsi="华文仿宋" w:eastAsia="仿宋_GB2312"/>
          <w:sz w:val="32"/>
          <w:szCs w:val="32"/>
          <w:lang w:val="en-US" w:eastAsia="zh-CN"/>
        </w:rPr>
        <w:t>43</w:t>
      </w:r>
      <w:r>
        <w:rPr>
          <w:rFonts w:hint="eastAsia" w:ascii="仿宋_GB2312" w:hAnsi="华文仿宋" w:eastAsia="仿宋_GB2312"/>
          <w:sz w:val="32"/>
          <w:szCs w:val="32"/>
        </w:rPr>
        <w:t>人</w:t>
      </w:r>
      <w:r>
        <w:rPr>
          <w:rFonts w:hint="eastAsia" w:ascii="仿宋_GB2312" w:hAnsi="华文仿宋" w:eastAsia="仿宋_GB2312"/>
          <w:sz w:val="32"/>
          <w:szCs w:val="32"/>
          <w:lang w:eastAsia="zh-CN"/>
        </w:rPr>
        <w:t>，</w:t>
      </w:r>
      <w:r>
        <w:rPr>
          <w:rFonts w:hint="eastAsia" w:ascii="仿宋_GB2312" w:hAnsi="华文仿宋" w:eastAsia="仿宋_GB2312"/>
          <w:sz w:val="32"/>
          <w:szCs w:val="32"/>
        </w:rPr>
        <w:t>退休人数8人</w:t>
      </w:r>
      <w:r>
        <w:rPr>
          <w:rFonts w:hint="eastAsia" w:ascii="仿宋_GB2312" w:hAnsi="华文仿宋" w:eastAsia="仿宋_GB2312"/>
          <w:sz w:val="32"/>
          <w:szCs w:val="32"/>
          <w:lang w:eastAsia="zh-CN"/>
        </w:rPr>
        <w:t>，</w:t>
      </w:r>
      <w:r>
        <w:rPr>
          <w:rFonts w:hint="eastAsia" w:ascii="仿宋_GB2312" w:hAnsi="华文仿宋" w:eastAsia="仿宋_GB2312"/>
          <w:sz w:val="32"/>
          <w:szCs w:val="32"/>
        </w:rPr>
        <w:t>保留车辆数3辆。</w:t>
      </w:r>
    </w:p>
    <w:p>
      <w:pPr>
        <w:ind w:firstLine="645"/>
        <w:rPr>
          <w:rFonts w:ascii="仿宋_GB2312" w:eastAsia="仿宋_GB2312"/>
          <w:sz w:val="32"/>
          <w:szCs w:val="32"/>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jc w:val="center"/>
      </w:pPr>
    </w:p>
    <w:p>
      <w:pPr>
        <w:pStyle w:val="2"/>
      </w:pPr>
    </w:p>
    <w:p>
      <w:pPr>
        <w:pStyle w:val="2"/>
      </w:pPr>
    </w:p>
    <w:p>
      <w:pPr>
        <w:pStyle w:val="2"/>
      </w:pPr>
    </w:p>
    <w:p>
      <w:pPr>
        <w:jc w:val="center"/>
      </w:pPr>
    </w:p>
    <w:p>
      <w:pPr>
        <w:jc w:val="center"/>
      </w:pPr>
    </w:p>
    <w:p>
      <w:pPr>
        <w:jc w:val="center"/>
        <w:sectPr>
          <w:headerReference r:id="rId3" w:type="default"/>
          <w:footerReference r:id="rId4" w:type="default"/>
          <w:footerReference r:id="rId5" w:type="even"/>
          <w:pgSz w:w="11906" w:h="16838"/>
          <w:pgMar w:top="1440" w:right="1417" w:bottom="1440" w:left="1417" w:header="851" w:footer="992" w:gutter="0"/>
          <w:pgNumType w:fmt="numberInDash"/>
          <w:cols w:space="720" w:num="1"/>
          <w:docGrid w:type="lines" w:linePitch="312" w:charSpace="0"/>
        </w:sectPr>
      </w:pPr>
    </w:p>
    <w:p>
      <w:pPr>
        <w:rPr>
          <w:rFonts w:ascii="仿宋_GB2312" w:eastAsia="仿宋_GB2312"/>
          <w:b/>
          <w:sz w:val="32"/>
          <w:szCs w:val="32"/>
        </w:rPr>
      </w:pPr>
      <w:r>
        <w:rPr>
          <w:rFonts w:hint="eastAsia" w:ascii="仿宋_GB2312" w:eastAsia="仿宋_GB2312"/>
          <w:b/>
          <w:sz w:val="32"/>
          <w:szCs w:val="32"/>
        </w:rPr>
        <w:t>第二部分：柳州市生态环境技术保障中心</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tbl>
      <w:tblPr>
        <w:tblStyle w:val="7"/>
        <w:tblW w:w="140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566"/>
        <w:gridCol w:w="472"/>
        <w:gridCol w:w="693"/>
        <w:gridCol w:w="3345"/>
        <w:gridCol w:w="472"/>
        <w:gridCol w:w="5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4070" w:type="dxa"/>
            <w:gridSpan w:val="6"/>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255" w:hRule="atLeast"/>
        </w:trPr>
        <w:tc>
          <w:tcPr>
            <w:tcW w:w="3566"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47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9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7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52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255" w:hRule="atLeast"/>
        </w:trPr>
        <w:tc>
          <w:tcPr>
            <w:tcW w:w="356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p>
        </w:tc>
        <w:tc>
          <w:tcPr>
            <w:tcW w:w="47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9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7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52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4731"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9339" w:type="dxa"/>
            <w:gridSpan w:val="3"/>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6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552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2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892.96</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0.56</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893.52</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17.02</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Before w:w="0" w:type="auto"/>
          <w:trHeight w:val="308" w:hRule="atLeast"/>
        </w:trPr>
        <w:tc>
          <w:tcPr>
            <w:tcW w:w="3566"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6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910.54</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7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55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070"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070"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2.本套报表金额单位转换时可能存在尾数误差。</w:t>
            </w:r>
          </w:p>
        </w:tc>
      </w:tr>
    </w:tbl>
    <w:p>
      <w:pPr>
        <w:ind w:firstLine="640" w:firstLineChars="200"/>
        <w:rPr>
          <w:rFonts w:hint="eastAsia" w:ascii="仿宋_GB2312" w:hAnsi="黑体" w:eastAsia="仿宋_GB2312"/>
          <w:sz w:val="32"/>
          <w:szCs w:val="32"/>
        </w:rPr>
      </w:pPr>
    </w:p>
    <w:tbl>
      <w:tblPr>
        <w:tblStyle w:val="7"/>
        <w:tblW w:w="140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37"/>
        <w:gridCol w:w="2955"/>
        <w:gridCol w:w="1500"/>
        <w:gridCol w:w="1560"/>
        <w:gridCol w:w="1620"/>
        <w:gridCol w:w="1335"/>
        <w:gridCol w:w="1320"/>
        <w:gridCol w:w="1485"/>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087"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087"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087"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9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5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56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62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33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32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148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27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2955"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5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5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9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5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9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893.52</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892.96</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2080502</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事业单位离退休</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75.13</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75.13</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37.57</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37.57</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2101102</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事业单位医疗</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678.18</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678.18</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环境保护管理事务</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13.58</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13.58</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2110104</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生态环境保护宣传</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11.11</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2110199</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其他环境保护管理事务支出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2.47</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2.47</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污染防治</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2110399</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污染减排</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539.58</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539.58</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2111101</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生态环境监测与信息</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539.58</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539.58</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0.56</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22999</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0.56</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2299999</w:t>
            </w:r>
          </w:p>
        </w:tc>
        <w:tc>
          <w:tcPr>
            <w:tcW w:w="29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0.56</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087"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注：本表反映部门本年度取得的各项收入情况。</w:t>
            </w:r>
          </w:p>
        </w:tc>
      </w:tr>
    </w:tbl>
    <w:p>
      <w:pPr>
        <w:ind w:firstLine="640" w:firstLineChars="200"/>
        <w:jc w:val="left"/>
        <w:rPr>
          <w:sz w:val="32"/>
          <w:szCs w:val="32"/>
        </w:rPr>
      </w:pPr>
    </w:p>
    <w:tbl>
      <w:tblPr>
        <w:tblStyle w:val="7"/>
        <w:tblW w:w="140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2"/>
        <w:gridCol w:w="3510"/>
        <w:gridCol w:w="1785"/>
        <w:gridCol w:w="1395"/>
        <w:gridCol w:w="1380"/>
        <w:gridCol w:w="1800"/>
        <w:gridCol w:w="1395"/>
        <w:gridCol w:w="1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087"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After w:w="0" w:type="auto"/>
          <w:trHeight w:val="255" w:hRule="atLeast"/>
        </w:trPr>
        <w:tc>
          <w:tcPr>
            <w:tcW w:w="14087"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After w:w="0" w:type="auto"/>
          <w:trHeight w:val="255" w:hRule="atLeast"/>
        </w:trPr>
        <w:tc>
          <w:tcPr>
            <w:tcW w:w="14087"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59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78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39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38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39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74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351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7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1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1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59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4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59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892.96</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743.29</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149.68</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2080502</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事业单位离退休</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75.13</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75.13</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37.57</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37.57</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2101102</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事业单位医疗</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678.18</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528.51</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149.68</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环境保护管理事务</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13.58</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13.58</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2110104</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生态环境保护宣传</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11.11</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11.11</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2110199</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其他环境保护管理事务支出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2.47</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污染防治</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2110399</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污染减排</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539.58</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528.51</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2111101</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生态环境监测与信息</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539.58</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528.51</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35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087"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注：本表反映部门本年度各项支出情况。</w:t>
            </w:r>
          </w:p>
        </w:tc>
      </w:tr>
    </w:tbl>
    <w:p>
      <w:pPr>
        <w:ind w:firstLine="640" w:firstLineChars="200"/>
        <w:jc w:val="left"/>
        <w:rPr>
          <w:sz w:val="32"/>
          <w:szCs w:val="32"/>
        </w:rPr>
      </w:pPr>
    </w:p>
    <w:tbl>
      <w:tblPr>
        <w:tblStyle w:val="7"/>
        <w:tblW w:w="140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732"/>
        <w:gridCol w:w="630"/>
        <w:gridCol w:w="1245"/>
        <w:gridCol w:w="3345"/>
        <w:gridCol w:w="630"/>
        <w:gridCol w:w="1200"/>
        <w:gridCol w:w="1305"/>
        <w:gridCol w:w="1440"/>
        <w:gridCol w:w="1560"/>
        <w:tblGridChange w:id="0">
          <w:tblGrid>
            <w:gridCol w:w="2732"/>
            <w:gridCol w:w="538"/>
            <w:gridCol w:w="92"/>
            <w:gridCol w:w="1245"/>
            <w:gridCol w:w="3345"/>
            <w:gridCol w:w="630"/>
            <w:gridCol w:w="1200"/>
            <w:gridCol w:w="1305"/>
            <w:gridCol w:w="1440"/>
            <w:gridCol w:w="1560"/>
          </w:tblGrid>
        </w:tblGridChange>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4087"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After w:w="0" w:type="auto"/>
          <w:trHeight w:val="255" w:hRule="atLeast"/>
        </w:trPr>
        <w:tc>
          <w:tcPr>
            <w:tcW w:w="14087"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After w:w="0" w:type="auto"/>
          <w:trHeight w:val="255" w:hRule="atLeast"/>
        </w:trPr>
        <w:tc>
          <w:tcPr>
            <w:tcW w:w="14087"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607"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9480"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2" w:hRule="atLeast"/>
        </w:trPr>
        <w:tc>
          <w:tcPr>
            <w:tcW w:w="273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2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3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20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0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4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15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273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0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5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892.96</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三、国有资本经营财政拨款</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678.18</w:t>
            </w: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678.18</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892.96</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892.96</w:t>
            </w: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892.96</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10.54</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10.54</w:t>
            </w: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10.54</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10.54</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73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903.51</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903.51</w:t>
            </w:r>
          </w:p>
        </w:tc>
        <w:tc>
          <w:tcPr>
            <w:tcW w:w="13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903.51</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087" w:type="dxa"/>
            <w:gridSpan w:val="9"/>
            <w:tcBorders>
              <w:top w:val="nil"/>
              <w:left w:val="nil"/>
              <w:bottom w:val="nil"/>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r>
    </w:tbl>
    <w:p>
      <w:pPr>
        <w:rPr>
          <w:sz w:val="32"/>
          <w:szCs w:val="32"/>
        </w:rPr>
      </w:pPr>
    </w:p>
    <w:tbl>
      <w:tblPr>
        <w:tblStyle w:val="7"/>
        <w:tblW w:w="14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40"/>
        <w:gridCol w:w="4632"/>
        <w:gridCol w:w="2208"/>
        <w:gridCol w:w="2415"/>
        <w:gridCol w:w="23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08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08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08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07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7008"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4632"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20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24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38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7" w:hRule="atLeast"/>
        </w:trPr>
        <w:tc>
          <w:tcPr>
            <w:tcW w:w="2440"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32"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0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8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632"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0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8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07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20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3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07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892.96</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743.29</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121.62</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2080502</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事业单位离退休</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8.92</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75.13</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75.13</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37.57</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37.57</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2101102</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事业单位医疗</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36.81</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678.18</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528.51</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环境保护管理事务</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13.58</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2110104</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生态环境保护宣传</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11.11</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2110199</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其他环境保护管理事务支出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2.47</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污染防治</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2110399</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污染减排</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539.58</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528.51</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2111101</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生态环境监测与信息</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539.58</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528.51</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4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46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2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23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080"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注：本表反映部门本年度一般公共预算财政拨款支出情况。</w:t>
            </w:r>
          </w:p>
        </w:tc>
      </w:tr>
    </w:tbl>
    <w:p>
      <w:pPr>
        <w:rPr>
          <w:sz w:val="32"/>
          <w:szCs w:val="32"/>
        </w:rPr>
      </w:pPr>
    </w:p>
    <w:tbl>
      <w:tblPr>
        <w:tblStyle w:val="7"/>
        <w:tblW w:w="14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30"/>
        <w:gridCol w:w="2565"/>
        <w:gridCol w:w="1215"/>
        <w:gridCol w:w="1020"/>
        <w:gridCol w:w="2085"/>
        <w:gridCol w:w="1200"/>
        <w:gridCol w:w="1035"/>
        <w:gridCol w:w="276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4080"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After w:w="0" w:type="auto"/>
          <w:trHeight w:val="255" w:hRule="atLeast"/>
        </w:trPr>
        <w:tc>
          <w:tcPr>
            <w:tcW w:w="14080"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After w:w="0" w:type="auto"/>
          <w:trHeight w:val="255" w:hRule="atLeast"/>
        </w:trPr>
        <w:tc>
          <w:tcPr>
            <w:tcW w:w="14080"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810"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9270"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5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0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08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0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7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17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8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689.42</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46.77</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114.32</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3.73</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8.26</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0.06</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353.94</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0.19</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75.13</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37.57</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0.76</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36.72</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3.61</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7.14</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8.94</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56.35</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0.03</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7.09</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0.44</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7.09</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0.40</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赠与</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6.19</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2.09</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0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17.73</w:t>
            </w:r>
          </w:p>
        </w:tc>
        <w:tc>
          <w:tcPr>
            <w:tcW w:w="10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7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595"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696.52</w:t>
            </w:r>
          </w:p>
        </w:tc>
        <w:tc>
          <w:tcPr>
            <w:tcW w:w="8100"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08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pPr>
        <w:rPr>
          <w:sz w:val="32"/>
          <w:szCs w:val="32"/>
        </w:rPr>
      </w:pPr>
    </w:p>
    <w:tbl>
      <w:tblPr>
        <w:tblStyle w:val="7"/>
        <w:tblW w:w="14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5"/>
        <w:gridCol w:w="1215"/>
        <w:gridCol w:w="870"/>
        <w:gridCol w:w="1530"/>
        <w:gridCol w:w="1470"/>
        <w:gridCol w:w="1155"/>
        <w:gridCol w:w="810"/>
        <w:gridCol w:w="1170"/>
        <w:gridCol w:w="915"/>
        <w:gridCol w:w="1455"/>
        <w:gridCol w:w="1365"/>
        <w:gridCol w:w="1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080" w:type="dxa"/>
            <w:gridSpan w:val="1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14080" w:type="dxa"/>
            <w:gridSpan w:val="1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14080" w:type="dxa"/>
            <w:gridSpan w:val="1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7075" w:type="dxa"/>
            <w:gridSpan w:val="6"/>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005"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35"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870"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15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8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7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35"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2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835"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5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4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15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45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36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2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35"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5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5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5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6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18.41</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17.50</w:t>
            </w:r>
          </w:p>
        </w:tc>
        <w:tc>
          <w:tcPr>
            <w:tcW w:w="15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11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0.91</w:t>
            </w: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14080"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pPr>
        <w:rPr>
          <w:sz w:val="32"/>
          <w:szCs w:val="32"/>
        </w:rPr>
      </w:pPr>
    </w:p>
    <w:tbl>
      <w:tblPr>
        <w:tblStyle w:val="7"/>
        <w:tblW w:w="14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30"/>
        <w:gridCol w:w="2025"/>
        <w:gridCol w:w="2205"/>
        <w:gridCol w:w="1439"/>
        <w:gridCol w:w="1288"/>
        <w:gridCol w:w="1288"/>
        <w:gridCol w:w="1288"/>
        <w:gridCol w:w="20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08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After w:w="0" w:type="auto"/>
          <w:trHeight w:val="255" w:hRule="atLeast"/>
        </w:trPr>
        <w:tc>
          <w:tcPr>
            <w:tcW w:w="1408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wAfter w:w="0" w:type="auto"/>
          <w:trHeight w:val="255" w:hRule="atLeast"/>
        </w:trPr>
        <w:tc>
          <w:tcPr>
            <w:tcW w:w="1408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555"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220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143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386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2017"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2025"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20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3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8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28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2017"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2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0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3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7"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2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0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3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7"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555"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2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3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8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8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8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0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555"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4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20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0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0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0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0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0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0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08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注：本表反映部门本年度政府性基金预算财政拨款收入、支出及结转和结余情况。</w:t>
            </w:r>
          </w:p>
        </w:tc>
      </w:tr>
    </w:tbl>
    <w:p>
      <w:pPr>
        <w:pStyle w:val="2"/>
        <w:spacing w:before="0" w:beforeAutospacing="0" w:after="0" w:afterAutospacing="0"/>
        <w:rPr>
          <w:sz w:val="32"/>
          <w:szCs w:val="32"/>
        </w:rPr>
      </w:pPr>
    </w:p>
    <w:tbl>
      <w:tblPr>
        <w:tblStyle w:val="7"/>
        <w:tblW w:w="14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920"/>
        <w:gridCol w:w="2532"/>
        <w:gridCol w:w="2598"/>
        <w:gridCol w:w="2895"/>
        <w:gridCol w:w="31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08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08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08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部门：柳州市生态环境技术保障中心</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545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8628"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20"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2532"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59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8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31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20"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2"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9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1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20"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2"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9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1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545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59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89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1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545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59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28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31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9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9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9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9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9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9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4080"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注：本表反映部门本年度国有资本经营预算财政拨款支出情况。</w:t>
            </w:r>
          </w:p>
        </w:tc>
      </w:tr>
    </w:tbl>
    <w:p/>
    <w:p>
      <w:pPr>
        <w:sectPr>
          <w:pgSz w:w="16783" w:h="11850" w:orient="landscape"/>
          <w:pgMar w:top="1417" w:right="1417" w:bottom="1417" w:left="1417" w:header="851" w:footer="992" w:gutter="0"/>
          <w:pgNumType w:fmt="numberInDash"/>
          <w:cols w:space="0" w:num="1"/>
          <w:rtlGutter w:val="0"/>
          <w:docGrid w:type="lines" w:linePitch="312" w:charSpace="0"/>
        </w:sectPr>
      </w:pPr>
    </w:p>
    <w:p>
      <w:pPr>
        <w:spacing w:line="580" w:lineRule="exact"/>
        <w:rPr>
          <w:rFonts w:ascii="仿宋_GB2312" w:eastAsia="仿宋_GB2312"/>
          <w:b/>
          <w:sz w:val="32"/>
          <w:szCs w:val="32"/>
        </w:rPr>
      </w:pPr>
      <w:r>
        <w:rPr>
          <w:rFonts w:hint="eastAsia" w:ascii="仿宋_GB2312" w:eastAsia="仿宋_GB2312"/>
          <w:b/>
          <w:sz w:val="32"/>
          <w:szCs w:val="32"/>
        </w:rPr>
        <w:t>第三部分：柳州市生态环境技术保障中心</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 xml:space="preserve">年度总收入910.54万元，其中本年收入893.52万元,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415.23</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83.38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.一般公共预算财政拨款收入892.96万元，为财政当年拨付的资金。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397.65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80.28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：人员增加。</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lang w:val="en-US" w:eastAsia="zh-CN"/>
        </w:rPr>
        <w:t>。</w:t>
      </w:r>
    </w:p>
    <w:p>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0.56</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0.34</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154.55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：利息收入增加。</w:t>
      </w:r>
    </w:p>
    <w:p>
      <w:pPr>
        <w:autoSpaceDE w:val="0"/>
        <w:autoSpaceDN w:val="0"/>
        <w:adjustRightInd w:val="0"/>
        <w:spacing w:line="560" w:lineRule="exact"/>
        <w:ind w:firstLine="627" w:firstLineChars="196"/>
        <w:jc w:val="left"/>
        <w:rPr>
          <w:rFonts w:hint="eastAsia" w:ascii="仿宋_GB2312" w:eastAsia="仿宋_GB2312"/>
          <w:bCs/>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bCs/>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17.02</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50.68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74.86</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：年度支出预算执行率提高。</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910.54</w:t>
      </w:r>
      <w:r>
        <w:rPr>
          <w:rFonts w:hint="eastAsia" w:ascii="仿宋_GB2312" w:eastAsia="仿宋_GB2312" w:cs="仿宋_GB2312"/>
          <w:kern w:val="0"/>
          <w:sz w:val="32"/>
          <w:szCs w:val="32"/>
        </w:rPr>
        <w:t xml:space="preserve">万元，其中本年支出892.96万元,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415.23</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83.38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社会保障和就业支出</w:t>
      </w:r>
      <w:r>
        <w:rPr>
          <w:rFonts w:hint="eastAsia" w:ascii="仿宋_GB2312" w:eastAsia="仿宋_GB2312" w:cs="仿宋_GB2312"/>
          <w:kern w:val="0"/>
          <w:sz w:val="32"/>
          <w:szCs w:val="32"/>
          <w:lang w:val="en-US" w:eastAsia="zh-CN"/>
        </w:rPr>
        <w:t>121.62</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人员社保支出，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highlight w:val="none"/>
          <w:lang w:val="en-US" w:eastAsia="zh-CN"/>
        </w:rPr>
        <w:t>92.21</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313.53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：新增编制人员。</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卫生健康支出</w:t>
      </w:r>
      <w:r>
        <w:rPr>
          <w:rFonts w:hint="eastAsia" w:ascii="仿宋_GB2312" w:eastAsia="仿宋_GB2312" w:cs="仿宋_GB2312"/>
          <w:kern w:val="0"/>
          <w:sz w:val="32"/>
          <w:szCs w:val="32"/>
          <w:lang w:val="en-US" w:eastAsia="zh-CN"/>
        </w:rPr>
        <w:t>36.81</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人员医保支出，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26.92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272.19</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：新增编制人员。</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节能环保支出678.18万元：主要用于</w:t>
      </w:r>
      <w:r>
        <w:rPr>
          <w:rFonts w:hint="eastAsia" w:ascii="仿宋_GB2312" w:eastAsia="仿宋_GB2312" w:cs="仿宋_GB2312"/>
          <w:kern w:val="0"/>
          <w:sz w:val="32"/>
          <w:szCs w:val="32"/>
          <w:lang w:eastAsia="zh-CN"/>
        </w:rPr>
        <w:t>人员经费、环保项目支出，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254.88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60.21</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：新增编制人员。</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住房保障支出56.35</w:t>
      </w:r>
      <w:r>
        <w:rPr>
          <w:rFonts w:hint="eastAsia" w:ascii="仿宋_GB2312" w:eastAsia="仿宋_GB2312" w:cs="仿宋_GB2312"/>
          <w:kern w:val="0"/>
          <w:sz w:val="32"/>
          <w:szCs w:val="32"/>
          <w:lang w:eastAsia="zh-CN"/>
        </w:rPr>
        <w:t>万元，</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住房公积金，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40.66</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259.15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：新增编制人员。</w:t>
      </w:r>
    </w:p>
    <w:p>
      <w:pPr>
        <w:autoSpaceDE w:val="0"/>
        <w:autoSpaceDN w:val="0"/>
        <w:adjustRightInd w:val="0"/>
        <w:spacing w:line="560" w:lineRule="exact"/>
        <w:ind w:firstLine="627" w:firstLineChars="196"/>
        <w:jc w:val="left"/>
        <w:rPr>
          <w:rFonts w:hint="eastAsia" w:ascii="仿宋_GB2312" w:eastAsia="仿宋_GB2312"/>
          <w:bCs/>
          <w:kern w:val="0"/>
          <w:sz w:val="32"/>
          <w:szCs w:val="32"/>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.年末结转和结余17.58万元，为本年度或以前年度预算安排、因客观条件发生变化无法按原计划实施，需要延迟到以后年度按有关规定继续使用的资金。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0.56</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3.19</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：增加利息收入。</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rPr>
        <w:t>892.96</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414.67</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86.70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rPr>
        <w:t>743.29</w:t>
      </w:r>
      <w:r>
        <w:rPr>
          <w:rFonts w:hint="eastAsia" w:ascii="仿宋_GB2312" w:eastAsia="仿宋_GB2312" w:cs="仿宋_GB2312"/>
          <w:kern w:val="0"/>
          <w:sz w:val="32"/>
          <w:szCs w:val="32"/>
        </w:rPr>
        <w:t>万元，项目支出</w:t>
      </w:r>
      <w:r>
        <w:rPr>
          <w:rFonts w:hint="eastAsia" w:ascii="仿宋_GB2312" w:eastAsia="仿宋_GB2312"/>
          <w:kern w:val="0"/>
          <w:sz w:val="32"/>
          <w:szCs w:val="32"/>
        </w:rPr>
        <w:t>149.68</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公共预算财政拨款支出年初预算为571</w:t>
      </w:r>
      <w:r>
        <w:rPr>
          <w:rFonts w:hint="eastAsia" w:ascii="仿宋_GB2312" w:hAnsi="黑体" w:eastAsia="仿宋_GB2312" w:cs="仿宋_GB2312"/>
          <w:kern w:val="0"/>
          <w:sz w:val="32"/>
          <w:szCs w:val="32"/>
          <w:lang w:val="en-US" w:eastAsia="zh-CN"/>
        </w:rPr>
        <w:t>.</w:t>
      </w:r>
      <w:r>
        <w:rPr>
          <w:rFonts w:hint="eastAsia" w:ascii="仿宋_GB2312" w:hAnsi="黑体" w:eastAsia="仿宋_GB2312" w:cs="仿宋_GB2312"/>
          <w:kern w:val="0"/>
          <w:sz w:val="32"/>
          <w:szCs w:val="32"/>
        </w:rPr>
        <w:t>9</w:t>
      </w:r>
      <w:r>
        <w:rPr>
          <w:rFonts w:hint="eastAsia" w:ascii="仿宋_GB2312" w:hAnsi="黑体" w:eastAsia="仿宋_GB2312" w:cs="仿宋_GB2312"/>
          <w:kern w:val="0"/>
          <w:sz w:val="32"/>
          <w:szCs w:val="32"/>
          <w:lang w:val="en-US" w:eastAsia="zh-CN"/>
        </w:rPr>
        <w:t>1</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rPr>
        <w:t>892.96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156.14</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highlight w:val="none"/>
        </w:rPr>
      </w:pPr>
      <w:r>
        <w:rPr>
          <w:rFonts w:hint="eastAsia" w:ascii="仿宋_GB2312" w:eastAsia="仿宋_GB2312" w:cs="仿宋_GB2312"/>
          <w:bCs/>
          <w:kern w:val="0"/>
          <w:sz w:val="32"/>
          <w:szCs w:val="32"/>
          <w:highlight w:val="none"/>
        </w:rPr>
        <w:t>社会保障和就业支出（类）行政事业单位养老支出（款）</w:t>
      </w:r>
      <w:r>
        <w:rPr>
          <w:rFonts w:hint="eastAsia" w:ascii="仿宋_GB2312" w:eastAsia="仿宋_GB2312" w:cs="仿宋_GB2312"/>
          <w:bCs/>
          <w:kern w:val="0"/>
          <w:sz w:val="32"/>
          <w:szCs w:val="32"/>
          <w:highlight w:val="none"/>
        </w:rPr>
        <w:t>事业单位离退休</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年初预算为7.96万元，支出决算为</w:t>
      </w:r>
      <w:r>
        <w:rPr>
          <w:rFonts w:hint="eastAsia" w:ascii="仿宋_GB2312" w:hAnsi="黑体" w:eastAsia="仿宋_GB2312" w:cs="仿宋_GB2312"/>
          <w:kern w:val="0"/>
          <w:sz w:val="32"/>
          <w:szCs w:val="32"/>
          <w:highlight w:val="none"/>
          <w:lang w:val="en-US" w:eastAsia="zh-CN"/>
        </w:rPr>
        <w:t>8.92</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12.06</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主要</w:t>
      </w:r>
      <w:r>
        <w:rPr>
          <w:rFonts w:hint="eastAsia" w:ascii="仿宋_GB2312" w:eastAsia="仿宋_GB2312" w:cs="仿宋_GB2312"/>
          <w:kern w:val="0"/>
          <w:sz w:val="32"/>
          <w:szCs w:val="32"/>
          <w:highlight w:val="none"/>
          <w:lang w:eastAsia="zh-CN"/>
        </w:rPr>
        <w:t>原因是追加退休人员经费。</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rPr>
        <w:t>社会保障和就业支出（类）行政事业单位养老支出（款）机关事业单位基本养老保险缴费支出（项）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年初预算为49.55万元，支出决算为75.13万元，完成年初预算的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51.62</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主要原因是追加人员变动养老保险缴费支出。</w:t>
      </w:r>
    </w:p>
    <w:p>
      <w:pPr>
        <w:numPr>
          <w:ilvl w:val="0"/>
          <w:numId w:val="1"/>
        </w:numPr>
        <w:autoSpaceDE w:val="0"/>
        <w:autoSpaceDN w:val="0"/>
        <w:adjustRightInd w:val="0"/>
        <w:spacing w:line="560" w:lineRule="exact"/>
        <w:ind w:left="0" w:leftChars="0" w:firstLine="420" w:firstLineChars="0"/>
        <w:jc w:val="left"/>
        <w:rPr>
          <w:rFonts w:hint="eastAsia" w:ascii="仿宋_GB2312" w:hAnsi="黑体" w:eastAsia="仿宋_GB2312" w:cs="仿宋_GB2312"/>
          <w:kern w:val="0"/>
          <w:sz w:val="32"/>
          <w:szCs w:val="32"/>
          <w:highlight w:val="none"/>
        </w:rPr>
      </w:pPr>
      <w:r>
        <w:rPr>
          <w:rFonts w:hint="eastAsia" w:ascii="仿宋_GB2312" w:eastAsia="仿宋_GB2312" w:cs="仿宋_GB2312"/>
          <w:bCs/>
          <w:kern w:val="0"/>
          <w:sz w:val="32"/>
          <w:szCs w:val="32"/>
          <w:highlight w:val="none"/>
        </w:rPr>
        <w:t>社会保障和就业支出（类）行政事业单位养老支出（款）机关事业单位职业年金缴费支出（项）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年初预算为24.77万元，支出决算为37.57万元，完成年初预算的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51.68</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主要原因是追加人员变动职业年金缴费支出。</w:t>
      </w:r>
    </w:p>
    <w:p>
      <w:pPr>
        <w:numPr>
          <w:ilvl w:val="0"/>
          <w:numId w:val="1"/>
        </w:numPr>
        <w:autoSpaceDE w:val="0"/>
        <w:autoSpaceDN w:val="0"/>
        <w:adjustRightInd w:val="0"/>
        <w:spacing w:line="560" w:lineRule="exact"/>
        <w:ind w:left="0" w:leftChars="0" w:firstLine="420" w:firstLineChars="0"/>
        <w:jc w:val="left"/>
        <w:rPr>
          <w:rFonts w:hint="eastAsia" w:ascii="仿宋_GB2312" w:hAnsi="黑体" w:eastAsia="仿宋_GB2312" w:cs="仿宋_GB2312"/>
          <w:kern w:val="0"/>
          <w:sz w:val="32"/>
          <w:szCs w:val="32"/>
          <w:highlight w:val="none"/>
        </w:rPr>
      </w:pPr>
      <w:r>
        <w:rPr>
          <w:rFonts w:hint="eastAsia" w:ascii="仿宋_GB2312" w:eastAsia="仿宋_GB2312" w:cs="仿宋_GB2312"/>
          <w:kern w:val="0"/>
          <w:sz w:val="32"/>
          <w:szCs w:val="32"/>
        </w:rPr>
        <w:t>卫生健康支出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行政事业单位医疗</w:t>
      </w:r>
      <w:r>
        <w:rPr>
          <w:rFonts w:hint="eastAsia" w:ascii="仿宋_GB2312" w:eastAsia="仿宋_GB2312" w:cs="仿宋_GB2312"/>
          <w:bCs/>
          <w:kern w:val="0"/>
          <w:sz w:val="32"/>
          <w:szCs w:val="32"/>
          <w:highlight w:val="none"/>
        </w:rPr>
        <w:t>（款）</w:t>
      </w:r>
      <w:r>
        <w:rPr>
          <w:rFonts w:hint="eastAsia" w:ascii="仿宋_GB2312" w:eastAsia="仿宋_GB2312" w:cs="仿宋_GB2312"/>
          <w:bCs/>
          <w:kern w:val="0"/>
          <w:sz w:val="32"/>
          <w:szCs w:val="32"/>
          <w:highlight w:val="none"/>
          <w:lang w:eastAsia="zh-CN"/>
        </w:rPr>
        <w:t>事业</w:t>
      </w:r>
      <w:r>
        <w:rPr>
          <w:rFonts w:hint="eastAsia" w:ascii="仿宋_GB2312" w:eastAsia="仿宋_GB2312" w:cs="仿宋_GB2312"/>
          <w:kern w:val="0"/>
          <w:sz w:val="32"/>
          <w:szCs w:val="32"/>
        </w:rPr>
        <w:t>单位医疗</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年初预算为24.34万元，支出决算为36.81 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00</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主要原因是追加人员变动医疗保险缴费支出。</w:t>
      </w:r>
    </w:p>
    <w:p>
      <w:pPr>
        <w:numPr>
          <w:ilvl w:val="0"/>
          <w:numId w:val="1"/>
        </w:numPr>
        <w:autoSpaceDE w:val="0"/>
        <w:autoSpaceDN w:val="0"/>
        <w:adjustRightInd w:val="0"/>
        <w:spacing w:line="560" w:lineRule="exact"/>
        <w:ind w:left="0" w:leftChars="0" w:firstLine="420" w:firstLineChars="0"/>
        <w:jc w:val="left"/>
        <w:rPr>
          <w:rFonts w:hint="eastAsia" w:ascii="仿宋_GB2312" w:hAnsi="黑体" w:eastAsia="仿宋_GB2312" w:cs="仿宋_GB2312"/>
          <w:kern w:val="0"/>
          <w:sz w:val="32"/>
          <w:szCs w:val="32"/>
          <w:highlight w:val="none"/>
          <w:lang w:eastAsia="zh-CN"/>
        </w:rPr>
      </w:pPr>
      <w:r>
        <w:rPr>
          <w:rFonts w:hint="eastAsia" w:ascii="仿宋_GB2312" w:hAnsi="黑体" w:eastAsia="仿宋_GB2312" w:cs="仿宋_GB2312"/>
          <w:kern w:val="0"/>
          <w:sz w:val="32"/>
          <w:szCs w:val="32"/>
          <w:highlight w:val="none"/>
          <w:lang w:eastAsia="zh-CN"/>
        </w:rPr>
        <w:t>节能环保支出</w:t>
      </w:r>
      <w:r>
        <w:rPr>
          <w:rFonts w:hint="eastAsia" w:ascii="仿宋_GB2312" w:eastAsia="仿宋_GB2312" w:cs="仿宋_GB2312"/>
          <w:bCs/>
          <w:kern w:val="0"/>
          <w:sz w:val="32"/>
          <w:szCs w:val="32"/>
          <w:highlight w:val="none"/>
        </w:rPr>
        <w:t>（类）</w:t>
      </w:r>
      <w:r>
        <w:rPr>
          <w:rFonts w:hint="eastAsia" w:ascii="仿宋_GB2312" w:hAnsi="黑体" w:eastAsia="仿宋_GB2312" w:cs="仿宋_GB2312"/>
          <w:kern w:val="0"/>
          <w:sz w:val="32"/>
          <w:szCs w:val="32"/>
          <w:highlight w:val="none"/>
          <w:lang w:eastAsia="zh-CN"/>
        </w:rPr>
        <w:t>环境保护管理事务</w:t>
      </w:r>
      <w:r>
        <w:rPr>
          <w:rFonts w:hint="eastAsia" w:ascii="仿宋_GB2312" w:eastAsia="仿宋_GB2312" w:cs="仿宋_GB2312"/>
          <w:bCs/>
          <w:kern w:val="0"/>
          <w:sz w:val="32"/>
          <w:szCs w:val="32"/>
          <w:highlight w:val="none"/>
        </w:rPr>
        <w:t>（款）</w:t>
      </w:r>
      <w:r>
        <w:rPr>
          <w:rFonts w:hint="eastAsia" w:ascii="仿宋_GB2312" w:hAnsi="黑体" w:eastAsia="仿宋_GB2312" w:cs="仿宋_GB2312"/>
          <w:kern w:val="0"/>
          <w:sz w:val="32"/>
          <w:szCs w:val="32"/>
          <w:highlight w:val="none"/>
          <w:lang w:eastAsia="zh-CN"/>
        </w:rPr>
        <w:t>生态环境保护宣传</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年初预算为18.83万元，支出决算为11.11万元，完成年初预算的</w:t>
      </w:r>
      <w:r>
        <w:rPr>
          <w:rFonts w:hint="eastAsia" w:ascii="仿宋_GB2312" w:hAnsi="黑体" w:eastAsia="仿宋_GB2312" w:cs="仿宋_GB2312"/>
          <w:kern w:val="0"/>
          <w:sz w:val="32"/>
          <w:szCs w:val="32"/>
          <w:highlight w:val="none"/>
          <w:lang w:val="en-US" w:eastAsia="zh-CN"/>
        </w:rPr>
        <w:t>59.00</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主要原因是疫情原因，减少开展大规模宣传活动。</w:t>
      </w:r>
    </w:p>
    <w:p>
      <w:pPr>
        <w:numPr>
          <w:ilvl w:val="0"/>
          <w:numId w:val="1"/>
        </w:numPr>
        <w:autoSpaceDE w:val="0"/>
        <w:autoSpaceDN w:val="0"/>
        <w:adjustRightInd w:val="0"/>
        <w:spacing w:line="560" w:lineRule="exact"/>
        <w:ind w:left="0" w:leftChars="0" w:firstLine="420" w:firstLineChars="0"/>
        <w:jc w:val="left"/>
        <w:rPr>
          <w:rFonts w:hint="eastAsia" w:ascii="仿宋_GB2312" w:hAnsi="黑体" w:eastAsia="仿宋_GB2312" w:cs="仿宋_GB2312"/>
          <w:b w:val="0"/>
          <w:bCs w:val="0"/>
          <w:color w:val="auto"/>
          <w:kern w:val="0"/>
          <w:sz w:val="32"/>
          <w:szCs w:val="32"/>
          <w:highlight w:val="none"/>
          <w:lang w:eastAsia="zh-CN"/>
        </w:rPr>
      </w:pPr>
      <w:r>
        <w:rPr>
          <w:rFonts w:hint="eastAsia" w:ascii="仿宋_GB2312" w:hAnsi="黑体" w:eastAsia="仿宋_GB2312" w:cs="仿宋_GB2312"/>
          <w:kern w:val="0"/>
          <w:sz w:val="32"/>
          <w:szCs w:val="32"/>
          <w:highlight w:val="none"/>
          <w:lang w:eastAsia="zh-CN"/>
        </w:rPr>
        <w:t>节能环保支出</w:t>
      </w:r>
      <w:r>
        <w:rPr>
          <w:rFonts w:hint="eastAsia" w:ascii="仿宋_GB2312" w:eastAsia="仿宋_GB2312" w:cs="仿宋_GB2312"/>
          <w:bCs/>
          <w:kern w:val="0"/>
          <w:sz w:val="32"/>
          <w:szCs w:val="32"/>
          <w:highlight w:val="none"/>
        </w:rPr>
        <w:t>（类）</w:t>
      </w:r>
      <w:r>
        <w:rPr>
          <w:rFonts w:hint="eastAsia" w:ascii="仿宋_GB2312" w:hAnsi="黑体" w:eastAsia="仿宋_GB2312" w:cs="仿宋_GB2312"/>
          <w:kern w:val="0"/>
          <w:sz w:val="32"/>
          <w:szCs w:val="32"/>
          <w:highlight w:val="none"/>
          <w:lang w:eastAsia="zh-CN"/>
        </w:rPr>
        <w:t>环境保护管理事务</w:t>
      </w:r>
      <w:r>
        <w:rPr>
          <w:rFonts w:hint="eastAsia" w:ascii="仿宋_GB2312" w:eastAsia="仿宋_GB2312" w:cs="仿宋_GB2312"/>
          <w:bCs/>
          <w:kern w:val="0"/>
          <w:sz w:val="32"/>
          <w:szCs w:val="32"/>
          <w:highlight w:val="none"/>
        </w:rPr>
        <w:t>（款）其他环境保护管理事务支出（项）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8.08</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2.47</w:t>
      </w:r>
      <w:r>
        <w:rPr>
          <w:rFonts w:hint="eastAsia" w:ascii="仿宋_GB2312" w:hAnsi="黑体" w:eastAsia="仿宋_GB2312" w:cs="仿宋_GB2312"/>
          <w:kern w:val="0"/>
          <w:sz w:val="32"/>
          <w:szCs w:val="32"/>
          <w:highlight w:val="none"/>
        </w:rPr>
        <w:t>万元，完成年初预算的30.57%。</w:t>
      </w:r>
      <w:r>
        <w:rPr>
          <w:rFonts w:hint="eastAsia" w:ascii="仿宋_GB2312" w:hAnsi="黑体" w:eastAsia="仿宋_GB2312" w:cs="仿宋_GB2312"/>
          <w:kern w:val="0"/>
          <w:sz w:val="32"/>
          <w:szCs w:val="32"/>
          <w:highlight w:val="none"/>
          <w:lang w:eastAsia="zh-CN"/>
        </w:rPr>
        <w:t>主要原因是疫情原因，</w:t>
      </w:r>
      <w:r>
        <w:rPr>
          <w:rFonts w:hint="eastAsia" w:ascii="仿宋_GB2312" w:hAnsi="黑体" w:eastAsia="仿宋_GB2312" w:cs="仿宋_GB2312"/>
          <w:b w:val="0"/>
          <w:bCs w:val="0"/>
          <w:color w:val="FF0000"/>
          <w:kern w:val="0"/>
          <w:sz w:val="32"/>
          <w:szCs w:val="32"/>
        </w:rPr>
        <w:t>没有开展</w:t>
      </w:r>
      <w:r>
        <w:rPr>
          <w:rFonts w:hint="eastAsia" w:ascii="仿宋_GB2312" w:hAnsi="仿宋_GB2312" w:eastAsia="仿宋_GB2312"/>
          <w:b w:val="0"/>
          <w:bCs w:val="0"/>
          <w:color w:val="FF0000"/>
          <w:kern w:val="0"/>
          <w:sz w:val="32"/>
          <w:szCs w:val="20"/>
          <w:lang w:val="zh-CN"/>
        </w:rPr>
        <w:t>专家咨询及评审、成果申报等</w:t>
      </w:r>
      <w:r>
        <w:rPr>
          <w:rFonts w:hint="eastAsia" w:ascii="仿宋_GB2312" w:hAnsi="黑体" w:eastAsia="仿宋_GB2312" w:cs="仿宋_GB2312"/>
          <w:b w:val="0"/>
          <w:bCs w:val="0"/>
          <w:color w:val="FF0000"/>
          <w:kern w:val="0"/>
          <w:sz w:val="32"/>
          <w:szCs w:val="32"/>
        </w:rPr>
        <w:t>环境科研活动</w:t>
      </w:r>
      <w:r>
        <w:rPr>
          <w:rFonts w:hint="eastAsia" w:ascii="仿宋_GB2312" w:hAnsi="黑体" w:eastAsia="仿宋_GB2312" w:cs="仿宋_GB2312"/>
          <w:b w:val="0"/>
          <w:bCs w:val="0"/>
          <w:color w:val="auto"/>
          <w:kern w:val="0"/>
          <w:sz w:val="32"/>
          <w:szCs w:val="32"/>
          <w:highlight w:val="none"/>
          <w:lang w:eastAsia="zh-CN"/>
        </w:rPr>
        <w:t>。</w:t>
      </w:r>
    </w:p>
    <w:p>
      <w:pPr>
        <w:numPr>
          <w:ilvl w:val="0"/>
          <w:numId w:val="1"/>
        </w:numPr>
        <w:autoSpaceDE w:val="0"/>
        <w:autoSpaceDN w:val="0"/>
        <w:adjustRightInd w:val="0"/>
        <w:spacing w:line="560" w:lineRule="exact"/>
        <w:ind w:firstLine="420" w:firstLineChars="0"/>
        <w:jc w:val="left"/>
        <w:rPr>
          <w:rFonts w:hint="eastAsia" w:ascii="仿宋_GB2312" w:eastAsia="仿宋_GB2312" w:cs="仿宋_GB2312"/>
          <w:kern w:val="0"/>
          <w:sz w:val="32"/>
          <w:szCs w:val="32"/>
        </w:rPr>
      </w:pPr>
      <w:r>
        <w:rPr>
          <w:rFonts w:hint="eastAsia" w:ascii="仿宋_GB2312" w:hAnsi="黑体" w:eastAsia="仿宋_GB2312" w:cs="仿宋_GB2312"/>
          <w:kern w:val="0"/>
          <w:sz w:val="32"/>
          <w:szCs w:val="32"/>
          <w:highlight w:val="none"/>
          <w:lang w:eastAsia="zh-CN"/>
        </w:rPr>
        <w:t>节能环保支出</w:t>
      </w:r>
      <w:r>
        <w:rPr>
          <w:rFonts w:hint="eastAsia" w:ascii="仿宋_GB2312" w:eastAsia="仿宋_GB2312" w:cs="仿宋_GB2312"/>
          <w:bCs/>
          <w:kern w:val="0"/>
          <w:sz w:val="32"/>
          <w:szCs w:val="32"/>
          <w:highlight w:val="none"/>
        </w:rPr>
        <w:t>（类）</w:t>
      </w:r>
      <w:r>
        <w:rPr>
          <w:rFonts w:hint="eastAsia" w:ascii="仿宋_GB2312" w:hAnsi="黑体" w:eastAsia="仿宋_GB2312" w:cs="仿宋_GB2312"/>
          <w:kern w:val="0"/>
          <w:sz w:val="32"/>
          <w:szCs w:val="32"/>
          <w:highlight w:val="none"/>
          <w:lang w:eastAsia="zh-CN"/>
        </w:rPr>
        <w:t>污染防治</w:t>
      </w:r>
      <w:r>
        <w:rPr>
          <w:rFonts w:hint="eastAsia" w:ascii="仿宋_GB2312" w:eastAsia="仿宋_GB2312" w:cs="仿宋_GB2312"/>
          <w:bCs/>
          <w:kern w:val="0"/>
          <w:sz w:val="32"/>
          <w:szCs w:val="32"/>
          <w:highlight w:val="none"/>
        </w:rPr>
        <w:t>（款）</w:t>
      </w:r>
      <w:r>
        <w:rPr>
          <w:rFonts w:hint="eastAsia" w:ascii="仿宋_GB2312" w:hAnsi="黑体" w:eastAsia="仿宋_GB2312" w:cs="仿宋_GB2312"/>
          <w:kern w:val="0"/>
          <w:sz w:val="32"/>
          <w:szCs w:val="32"/>
          <w:highlight w:val="none"/>
          <w:lang w:eastAsia="zh-CN"/>
        </w:rPr>
        <w:t>其他污染防治支出</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0</w:t>
      </w:r>
      <w:r>
        <w:rPr>
          <w:rFonts w:hint="eastAsia" w:ascii="仿宋_GB2312" w:hAnsi="黑体" w:eastAsia="仿宋_GB2312" w:cs="仿宋_GB2312"/>
          <w:kern w:val="0"/>
          <w:sz w:val="32"/>
          <w:szCs w:val="32"/>
          <w:highlight w:val="none"/>
        </w:rPr>
        <w:t>万元，支出决算为125.02万元</w:t>
      </w:r>
      <w:r>
        <w:rPr>
          <w:rFonts w:hint="eastAsia" w:ascii="仿宋_GB2312" w:hAnsi="黑体" w:eastAsia="仿宋_GB2312" w:cs="仿宋_GB2312"/>
          <w:kern w:val="0"/>
          <w:sz w:val="32"/>
          <w:szCs w:val="32"/>
          <w:highlight w:val="none"/>
          <w:lang w:eastAsia="zh-CN"/>
        </w:rPr>
        <w:t>。主要原因是年中追加环保专项资金及减排专项资金。</w:t>
      </w:r>
    </w:p>
    <w:p>
      <w:pPr>
        <w:numPr>
          <w:ilvl w:val="0"/>
          <w:numId w:val="1"/>
        </w:numPr>
        <w:autoSpaceDE w:val="0"/>
        <w:autoSpaceDN w:val="0"/>
        <w:adjustRightInd w:val="0"/>
        <w:spacing w:line="560" w:lineRule="exact"/>
        <w:ind w:firstLine="420" w:firstLineChars="0"/>
        <w:jc w:val="left"/>
        <w:rPr>
          <w:rFonts w:hint="eastAsia" w:ascii="仿宋_GB2312" w:eastAsia="仿宋_GB2312"/>
          <w:bCs/>
          <w:kern w:val="0"/>
          <w:sz w:val="32"/>
          <w:szCs w:val="32"/>
          <w:lang w:val="en-US" w:eastAsia="zh-CN"/>
        </w:rPr>
      </w:pPr>
      <w:r>
        <w:rPr>
          <w:rFonts w:hint="eastAsia" w:ascii="仿宋_GB2312" w:hAnsi="黑体" w:eastAsia="仿宋_GB2312" w:cs="仿宋_GB2312"/>
          <w:kern w:val="0"/>
          <w:sz w:val="32"/>
          <w:szCs w:val="32"/>
          <w:highlight w:val="none"/>
          <w:lang w:eastAsia="zh-CN"/>
        </w:rPr>
        <w:t>节能环保支出</w:t>
      </w:r>
      <w:r>
        <w:rPr>
          <w:rFonts w:hint="eastAsia" w:ascii="仿宋_GB2312" w:eastAsia="仿宋_GB2312" w:cs="仿宋_GB2312"/>
          <w:bCs/>
          <w:kern w:val="0"/>
          <w:sz w:val="32"/>
          <w:szCs w:val="32"/>
          <w:highlight w:val="none"/>
        </w:rPr>
        <w:t>（类）</w:t>
      </w:r>
      <w:r>
        <w:rPr>
          <w:rFonts w:hint="eastAsia" w:ascii="仿宋_GB2312" w:eastAsia="仿宋_GB2312"/>
          <w:bCs/>
          <w:kern w:val="0"/>
          <w:sz w:val="32"/>
          <w:szCs w:val="32"/>
          <w:lang w:val="en-US" w:eastAsia="zh-CN"/>
        </w:rPr>
        <w:t>污染减排</w:t>
      </w:r>
      <w:r>
        <w:rPr>
          <w:rFonts w:hint="eastAsia" w:ascii="仿宋_GB2312" w:eastAsia="仿宋_GB2312" w:cs="仿宋_GB2312"/>
          <w:bCs/>
          <w:kern w:val="0"/>
          <w:sz w:val="32"/>
          <w:szCs w:val="32"/>
          <w:highlight w:val="none"/>
        </w:rPr>
        <w:t>（款）</w:t>
      </w:r>
      <w:r>
        <w:rPr>
          <w:rFonts w:hint="eastAsia" w:ascii="仿宋_GB2312" w:eastAsia="仿宋_GB2312"/>
          <w:bCs/>
          <w:kern w:val="0"/>
          <w:sz w:val="32"/>
          <w:szCs w:val="32"/>
          <w:lang w:val="en-US" w:eastAsia="zh-CN"/>
        </w:rPr>
        <w:t>生态环境监测与信息</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年初预算为401.21万元，支出决算为539.58 万元</w:t>
      </w:r>
      <w:r>
        <w:rPr>
          <w:rFonts w:hint="eastAsia" w:ascii="仿宋_GB2312" w:hAnsi="黑体" w:eastAsia="仿宋_GB2312" w:cs="仿宋_GB2312"/>
          <w:kern w:val="0"/>
          <w:sz w:val="32"/>
          <w:szCs w:val="32"/>
          <w:highlight w:val="none"/>
          <w:lang w:eastAsia="zh-CN"/>
        </w:rPr>
        <w:t>。主要原因是年中追加</w:t>
      </w:r>
      <w:r>
        <w:rPr>
          <w:rFonts w:hint="eastAsia" w:ascii="仿宋_GB2312" w:hAnsi="黑体" w:eastAsia="仿宋_GB2312" w:cs="仿宋_GB2312"/>
          <w:kern w:val="0"/>
          <w:sz w:val="32"/>
          <w:szCs w:val="32"/>
          <w:highlight w:val="none"/>
          <w:lang w:val="en-US" w:eastAsia="zh-CN"/>
        </w:rPr>
        <w:t>人员变动绩效工资总量。</w:t>
      </w:r>
    </w:p>
    <w:p>
      <w:pPr>
        <w:numPr>
          <w:ilvl w:val="0"/>
          <w:numId w:val="1"/>
        </w:numPr>
        <w:autoSpaceDE w:val="0"/>
        <w:autoSpaceDN w:val="0"/>
        <w:adjustRightInd w:val="0"/>
        <w:spacing w:line="560" w:lineRule="exact"/>
        <w:ind w:left="0" w:firstLine="420" w:firstLineChars="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住房保障支出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住房改革支出</w:t>
      </w:r>
      <w:r>
        <w:rPr>
          <w:rFonts w:hint="eastAsia" w:ascii="仿宋_GB2312" w:eastAsia="仿宋_GB2312" w:cs="仿宋_GB2312"/>
          <w:bCs/>
          <w:kern w:val="0"/>
          <w:sz w:val="32"/>
          <w:szCs w:val="32"/>
          <w:highlight w:val="none"/>
        </w:rPr>
        <w:t>（款）</w:t>
      </w:r>
      <w:r>
        <w:rPr>
          <w:rFonts w:hint="eastAsia" w:ascii="仿宋_GB2312" w:eastAsia="仿宋_GB2312" w:cs="仿宋_GB2312"/>
          <w:kern w:val="0"/>
          <w:sz w:val="32"/>
          <w:szCs w:val="32"/>
        </w:rPr>
        <w:t>住房公积金</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年初预算为37.16万元，支出决算为56.35 万元。完成年初预算的</w:t>
      </w:r>
      <w:r>
        <w:rPr>
          <w:rFonts w:hint="eastAsia" w:ascii="仿宋_GB2312" w:hAnsi="黑体" w:eastAsia="仿宋_GB2312" w:cs="仿宋_GB2312"/>
          <w:kern w:val="0"/>
          <w:sz w:val="32"/>
          <w:szCs w:val="32"/>
          <w:highlight w:val="none"/>
          <w:lang w:val="en-US" w:eastAsia="zh-CN"/>
        </w:rPr>
        <w:t>151.64</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。主要原因是年中追加</w:t>
      </w:r>
      <w:r>
        <w:rPr>
          <w:rFonts w:hint="eastAsia" w:ascii="仿宋_GB2312" w:hAnsi="黑体" w:eastAsia="仿宋_GB2312" w:cs="仿宋_GB2312"/>
          <w:kern w:val="0"/>
          <w:sz w:val="32"/>
          <w:szCs w:val="32"/>
          <w:highlight w:val="none"/>
          <w:lang w:val="en-US" w:eastAsia="zh-CN"/>
        </w:rPr>
        <w:t>人员变动公积金。</w:t>
      </w:r>
    </w:p>
    <w:p>
      <w:pPr>
        <w:numPr>
          <w:ilvl w:val="-1"/>
          <w:numId w:val="0"/>
        </w:numPr>
        <w:autoSpaceDE w:val="0"/>
        <w:autoSpaceDN w:val="0"/>
        <w:adjustRightInd w:val="0"/>
        <w:spacing w:line="240" w:lineRule="auto"/>
        <w:ind w:left="0"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743.29</w:t>
      </w:r>
      <w:r>
        <w:rPr>
          <w:rFonts w:hint="eastAsia" w:ascii="仿宋_GB2312" w:eastAsia="仿宋_GB2312" w:cs="仿宋_GB2312"/>
          <w:kern w:val="0"/>
          <w:sz w:val="32"/>
          <w:szCs w:val="32"/>
        </w:rPr>
        <w:t>万元，支出具体情况如下：</w:t>
      </w:r>
    </w:p>
    <w:p>
      <w:pPr>
        <w:numPr>
          <w:ilvl w:val="0"/>
          <w:numId w:val="2"/>
        </w:numPr>
        <w:autoSpaceDE w:val="0"/>
        <w:autoSpaceDN w:val="0"/>
        <w:adjustRightInd w:val="0"/>
        <w:spacing w:line="560" w:lineRule="exact"/>
        <w:ind w:left="0" w:leftChars="0" w:firstLine="420" w:firstLineChars="0"/>
        <w:jc w:val="left"/>
        <w:rPr>
          <w:rFonts w:hint="eastAsia" w:ascii="仿宋_GB2312" w:eastAsia="仿宋_GB2312"/>
          <w:bCs/>
          <w:kern w:val="0"/>
          <w:sz w:val="32"/>
          <w:szCs w:val="32"/>
        </w:rPr>
      </w:pPr>
      <w:r>
        <w:rPr>
          <w:rFonts w:hint="eastAsia" w:ascii="仿宋_GB2312" w:eastAsia="仿宋_GB2312"/>
          <w:bCs/>
          <w:kern w:val="0"/>
          <w:sz w:val="32"/>
          <w:szCs w:val="32"/>
        </w:rPr>
        <w:t>工资福利支出689.42万元，完成年初预算的</w:t>
      </w:r>
      <w:r>
        <w:rPr>
          <w:rFonts w:hint="eastAsia" w:ascii="仿宋_GB2312" w:eastAsia="仿宋_GB2312"/>
          <w:bCs/>
          <w:kern w:val="0"/>
          <w:sz w:val="32"/>
          <w:szCs w:val="32"/>
          <w:lang w:val="en-US" w:eastAsia="zh-CN"/>
        </w:rPr>
        <w:t>151.22</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的主要原因是：人员增加，追加</w:t>
      </w:r>
      <w:r>
        <w:rPr>
          <w:rFonts w:hint="eastAsia" w:ascii="仿宋_GB2312" w:eastAsia="仿宋_GB2312"/>
          <w:bCs/>
          <w:kern w:val="0"/>
          <w:sz w:val="32"/>
          <w:szCs w:val="32"/>
          <w:lang w:val="en-US" w:eastAsia="zh-CN"/>
        </w:rPr>
        <w:t>2020年</w:t>
      </w:r>
      <w:r>
        <w:rPr>
          <w:rFonts w:hint="eastAsia" w:ascii="仿宋_GB2312" w:eastAsia="仿宋_GB2312"/>
          <w:bCs/>
          <w:kern w:val="0"/>
          <w:sz w:val="32"/>
          <w:szCs w:val="32"/>
          <w:lang w:eastAsia="zh-CN"/>
        </w:rPr>
        <w:t>人员变动工资。</w:t>
      </w:r>
    </w:p>
    <w:p>
      <w:pPr>
        <w:numPr>
          <w:ilvl w:val="0"/>
          <w:numId w:val="2"/>
        </w:numPr>
        <w:autoSpaceDE w:val="0"/>
        <w:autoSpaceDN w:val="0"/>
        <w:adjustRightInd w:val="0"/>
        <w:spacing w:line="560" w:lineRule="exact"/>
        <w:ind w:firstLine="420" w:firstLineChars="0"/>
        <w:jc w:val="left"/>
        <w:rPr>
          <w:rFonts w:hint="eastAsia" w:ascii="仿宋_GB2312" w:eastAsia="仿宋_GB2312"/>
          <w:bCs/>
          <w:kern w:val="0"/>
          <w:sz w:val="32"/>
          <w:szCs w:val="32"/>
        </w:rPr>
      </w:pPr>
      <w:r>
        <w:rPr>
          <w:rFonts w:hint="eastAsia" w:ascii="仿宋_GB2312" w:eastAsia="仿宋_GB2312"/>
          <w:bCs/>
          <w:kern w:val="0"/>
          <w:sz w:val="32"/>
          <w:szCs w:val="32"/>
        </w:rPr>
        <w:t>商品和服务支出46.77万元，完成年初预算的</w:t>
      </w:r>
      <w:r>
        <w:rPr>
          <w:rFonts w:hint="eastAsia" w:ascii="仿宋_GB2312" w:eastAsia="仿宋_GB2312"/>
          <w:bCs/>
          <w:kern w:val="0"/>
          <w:sz w:val="32"/>
          <w:szCs w:val="32"/>
          <w:lang w:val="en-US" w:eastAsia="zh-CN"/>
        </w:rPr>
        <w:t>97.13</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的主要原因是：压减公用经费开支。</w:t>
      </w:r>
    </w:p>
    <w:p>
      <w:pPr>
        <w:numPr>
          <w:ilvl w:val="0"/>
          <w:numId w:val="2"/>
        </w:numPr>
        <w:autoSpaceDE w:val="0"/>
        <w:autoSpaceDN w:val="0"/>
        <w:adjustRightInd w:val="0"/>
        <w:spacing w:line="560" w:lineRule="exact"/>
        <w:ind w:firstLine="420" w:firstLineChars="0"/>
        <w:jc w:val="left"/>
        <w:rPr>
          <w:rFonts w:hint="eastAsia" w:ascii="仿宋_GB2312" w:eastAsia="仿宋_GB2312" w:cs="仿宋_GB2312"/>
          <w:kern w:val="0"/>
          <w:sz w:val="32"/>
          <w:szCs w:val="32"/>
        </w:rPr>
      </w:pPr>
      <w:r>
        <w:rPr>
          <w:rFonts w:hint="eastAsia" w:ascii="仿宋_GB2312" w:eastAsia="仿宋_GB2312"/>
          <w:bCs/>
          <w:kern w:val="0"/>
          <w:sz w:val="32"/>
          <w:szCs w:val="32"/>
        </w:rPr>
        <w:t>对个人和家庭的补助</w:t>
      </w:r>
      <w:r>
        <w:rPr>
          <w:rFonts w:hint="eastAsia" w:ascii="仿宋_GB2312" w:eastAsia="仿宋_GB2312"/>
          <w:bCs/>
          <w:kern w:val="0"/>
          <w:sz w:val="32"/>
          <w:szCs w:val="32"/>
          <w:lang w:val="en-US" w:eastAsia="zh-CN"/>
        </w:rPr>
        <w:t>7.09</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102.46</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的主要原因是：财政追加离退休人员经费。</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kern w:val="0"/>
          <w:sz w:val="32"/>
          <w:szCs w:val="32"/>
        </w:rPr>
      </w:pPr>
      <w:r>
        <w:rPr>
          <w:rFonts w:hint="eastAsia" w:ascii="仿宋_GB2312" w:eastAsia="仿宋_GB2312" w:cs="仿宋_GB2312"/>
          <w:b w:val="0"/>
          <w:bCs w:val="0"/>
          <w:kern w:val="0"/>
          <w:sz w:val="32"/>
          <w:szCs w:val="32"/>
        </w:rPr>
        <w:t>柳州市生态环境技术保障中心</w:t>
      </w:r>
      <w:r>
        <w:rPr>
          <w:rFonts w:hint="eastAsia" w:ascii="仿宋_GB2312" w:eastAsia="仿宋_GB2312" w:cs="仿宋_GB2312"/>
          <w:b w:val="0"/>
          <w:bCs w:val="0"/>
          <w:kern w:val="0"/>
          <w:sz w:val="32"/>
          <w:szCs w:val="32"/>
        </w:rPr>
        <w:t>2</w:t>
      </w:r>
      <w:r>
        <w:rPr>
          <w:rFonts w:ascii="仿宋_GB2312" w:eastAsia="仿宋_GB2312" w:cs="仿宋_GB2312"/>
          <w:b w:val="0"/>
          <w:bCs w:val="0"/>
          <w:kern w:val="0"/>
          <w:sz w:val="32"/>
          <w:szCs w:val="32"/>
        </w:rPr>
        <w:t>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kern w:val="0"/>
          <w:sz w:val="32"/>
          <w:szCs w:val="32"/>
        </w:rPr>
      </w:pPr>
      <w:r>
        <w:rPr>
          <w:rFonts w:hint="eastAsia" w:ascii="仿宋_GB2312" w:eastAsia="仿宋_GB2312" w:cs="仿宋_GB2312"/>
          <w:b w:val="0"/>
          <w:bCs w:val="0"/>
          <w:kern w:val="0"/>
          <w:sz w:val="32"/>
          <w:szCs w:val="32"/>
        </w:rPr>
        <w:t>柳州市生态环境技术保障中心</w:t>
      </w:r>
      <w:r>
        <w:rPr>
          <w:rFonts w:hint="eastAsia" w:ascii="仿宋_GB2312" w:eastAsia="仿宋_GB2312" w:cs="仿宋_GB2312"/>
          <w:b w:val="0"/>
          <w:bCs w:val="0"/>
          <w:kern w:val="0"/>
          <w:sz w:val="32"/>
          <w:szCs w:val="32"/>
        </w:rPr>
        <w:t>2</w:t>
      </w:r>
      <w:r>
        <w:rPr>
          <w:rFonts w:ascii="仿宋_GB2312" w:eastAsia="仿宋_GB2312" w:cs="仿宋_GB2312"/>
          <w:b w:val="0"/>
          <w:bCs w:val="0"/>
          <w:kern w:val="0"/>
          <w:sz w:val="32"/>
          <w:szCs w:val="32"/>
        </w:rPr>
        <w:t>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w:t>
      </w:r>
      <w:r>
        <w:rPr>
          <w:rFonts w:hint="eastAsia" w:ascii="仿宋_GB2312" w:eastAsia="仿宋_GB2312"/>
          <w:b w:val="0"/>
          <w:bCs w:val="0"/>
          <w:kern w:val="0"/>
          <w:sz w:val="32"/>
          <w:szCs w:val="32"/>
        </w:rPr>
        <w:t>国有资本经营预算财政拨款</w:t>
      </w:r>
      <w:r>
        <w:rPr>
          <w:rFonts w:hint="eastAsia" w:ascii="仿宋_GB2312" w:eastAsia="仿宋_GB2312" w:cs="仿宋_GB2312"/>
          <w:b w:val="0"/>
          <w:bCs w:val="0"/>
          <w:kern w:val="0"/>
          <w:sz w:val="32"/>
          <w:szCs w:val="32"/>
        </w:rPr>
        <w:t>收入，也没有</w:t>
      </w:r>
      <w:r>
        <w:rPr>
          <w:rFonts w:hint="eastAsia" w:ascii="仿宋_GB2312" w:eastAsia="仿宋_GB2312"/>
          <w:b w:val="0"/>
          <w:bCs w:val="0"/>
          <w:kern w:val="0"/>
          <w:sz w:val="32"/>
          <w:szCs w:val="32"/>
        </w:rPr>
        <w:t>国有资本经营预算财政拨款安排</w:t>
      </w:r>
      <w:r>
        <w:rPr>
          <w:rFonts w:hint="eastAsia" w:ascii="仿宋_GB2312" w:eastAsia="仿宋_GB2312" w:cs="仿宋_GB2312"/>
          <w:b w:val="0"/>
          <w:bCs w:val="0"/>
          <w:kern w:val="0"/>
          <w:sz w:val="32"/>
          <w:szCs w:val="32"/>
        </w:rPr>
        <w:t>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1.77</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9.61</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1.08</w:t>
      </w:r>
      <w:r>
        <w:rPr>
          <w:rFonts w:hint="eastAsia" w:ascii="仿宋_GB2312" w:eastAsia="仿宋_GB2312" w:cs="仿宋_GB2312"/>
          <w:kern w:val="0"/>
          <w:sz w:val="32"/>
          <w:szCs w:val="32"/>
        </w:rPr>
        <w:t>万元，主要原因是</w:t>
      </w:r>
      <w:r>
        <w:rPr>
          <w:rFonts w:hint="eastAsia" w:ascii="仿宋_GB2312" w:eastAsia="仿宋_GB2312" w:cs="仿宋_GB2312"/>
          <w:kern w:val="0"/>
          <w:sz w:val="32"/>
          <w:szCs w:val="32"/>
          <w:lang w:eastAsia="zh-CN"/>
        </w:rPr>
        <w:t>机构改革，人员增加，车辆编制增加</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1.36</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0.4</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万元，比上年增减</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万元。全年使用财政拨款安排</w:t>
      </w:r>
      <w:r>
        <w:rPr>
          <w:rFonts w:hint="eastAsia" w:ascii="仿宋_GB2312" w:hAnsi="黑体" w:eastAsia="仿宋_GB2312"/>
          <w:bCs/>
          <w:color w:val="000000"/>
          <w:sz w:val="32"/>
          <w:szCs w:val="32"/>
        </w:rPr>
        <w:t>机关、个所属单位出国团组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 xml:space="preserve">  人次</w:t>
      </w:r>
      <w:r>
        <w:rPr>
          <w:rFonts w:hint="eastAsia" w:ascii="仿宋_GB2312" w:hAnsi="黑体" w:eastAsia="仿宋_GB2312"/>
          <w:bCs/>
          <w:color w:val="000000"/>
          <w:sz w:val="32"/>
          <w:szCs w:val="32"/>
          <w:lang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1.36</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公务用车购置使用的是往年结转结余资金，列入当年预算</w:t>
      </w:r>
      <w:r>
        <w:rPr>
          <w:rFonts w:hint="eastAsia" w:ascii="仿宋_GB2312" w:eastAsia="仿宋_GB2312" w:cs="仿宋_GB2312"/>
          <w:kern w:val="0"/>
          <w:sz w:val="32"/>
          <w:szCs w:val="32"/>
        </w:rPr>
        <w:t>。购置了</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辆公务用车，主要用于</w:t>
      </w:r>
      <w:r>
        <w:rPr>
          <w:rFonts w:hint="eastAsia" w:ascii="仿宋_GB2312" w:eastAsia="仿宋_GB2312" w:cs="仿宋_GB2312"/>
          <w:kern w:val="0"/>
          <w:sz w:val="32"/>
          <w:szCs w:val="32"/>
          <w:lang w:eastAsia="zh-CN"/>
        </w:rPr>
        <w:t>日常公务出行。</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1.36</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34</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0.74</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新增一辆公务车辆</w:t>
      </w:r>
      <w:r>
        <w:rPr>
          <w:rFonts w:hint="eastAsia" w:ascii="仿宋_GB2312" w:eastAsia="仿宋_GB2312" w:cs="仿宋_GB2312"/>
          <w:kern w:val="0"/>
          <w:sz w:val="32"/>
          <w:szCs w:val="32"/>
        </w:rPr>
        <w:t>。主要用于机要文件交换、市内因公出行以及开展业务所需车辆燃料费、维修费、过路过桥费、保险费等。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eastAsia="仿宋_GB2312" w:cs="仿宋_GB2312"/>
          <w:b w:val="0"/>
          <w:bCs w:val="0"/>
          <w:kern w:val="0"/>
          <w:sz w:val="32"/>
          <w:szCs w:val="32"/>
        </w:rPr>
        <w:t>柳州市生态环境技术保障中心</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3</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1.36</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0.45</w:t>
      </w:r>
      <w:r>
        <w:rPr>
          <w:rFonts w:hint="eastAsia" w:ascii="仿宋_GB2312" w:hAnsi="黑体" w:eastAsia="仿宋_GB2312"/>
          <w:bCs/>
          <w:color w:val="00000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0.4</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43.96</w:t>
      </w:r>
      <w:r>
        <w:rPr>
          <w:rFonts w:hint="eastAsia" w:ascii="仿宋_GB2312" w:eastAsia="仿宋_GB2312" w:cs="仿宋_GB2312"/>
          <w:kern w:val="0"/>
          <w:sz w:val="32"/>
          <w:szCs w:val="32"/>
        </w:rPr>
        <w:t>%， 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0.33</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接待上级检查次数增加</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30</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b w:val="0"/>
          <w:bCs w:val="0"/>
          <w:kern w:val="0"/>
          <w:sz w:val="32"/>
          <w:szCs w:val="32"/>
        </w:rPr>
        <w:t>柳州市生态环境技术保障中心</w:t>
      </w:r>
      <w:r>
        <w:rPr>
          <w:rFonts w:hint="eastAsia" w:ascii="仿宋_GB2312" w:eastAsia="仿宋_GB2312" w:cs="仿宋_GB2312"/>
          <w:kern w:val="0"/>
          <w:sz w:val="32"/>
          <w:szCs w:val="32"/>
          <w:lang w:eastAsia="zh-CN"/>
        </w:rPr>
        <w:t>是全额拨款事业单位，无机关运行经费开支</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年度政府采购支出总额1430</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81万元，其中：政府采购货物支出25</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37万元、政府采购工程支出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万元、政府采购服务支出1405</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44万元。授予中小企业合同金额1430</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81万元，占政府采购支出总额的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%，其中：授予小微企业合同金额1430</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81万元，占政府采购支出总额的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辆，其他用车主要是</w:t>
      </w:r>
      <w:r>
        <w:rPr>
          <w:rFonts w:hint="eastAsia" w:ascii="仿宋_GB2312" w:eastAsia="仿宋_GB2312" w:cs="仿宋_GB2312"/>
          <w:kern w:val="0"/>
          <w:sz w:val="32"/>
          <w:szCs w:val="32"/>
          <w:lang w:eastAsia="zh-CN"/>
        </w:rPr>
        <w:t>日常公务出行</w:t>
      </w:r>
      <w:r>
        <w:rPr>
          <w:rFonts w:hint="eastAsia" w:ascii="仿宋_GB2312" w:eastAsia="仿宋_GB2312" w:cs="仿宋_GB2312"/>
          <w:kern w:val="0"/>
          <w:sz w:val="32"/>
          <w:szCs w:val="32"/>
        </w:rPr>
        <w:t>；单价50万元以上通用设备</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2021年度</w:t>
      </w:r>
      <w:r>
        <w:rPr>
          <w:rFonts w:hint="eastAsia" w:ascii="仿宋_GB2312" w:eastAsia="仿宋_GB2312" w:cs="仿宋_GB2312"/>
          <w:kern w:val="0"/>
          <w:sz w:val="32"/>
          <w:szCs w:val="32"/>
          <w:lang w:eastAsia="zh-CN"/>
        </w:rPr>
        <w:t>无</w:t>
      </w:r>
      <w:r>
        <w:rPr>
          <w:rFonts w:hint="eastAsia" w:ascii="仿宋_GB2312" w:eastAsia="仿宋_GB2312" w:cs="仿宋_GB2312"/>
          <w:kern w:val="0"/>
          <w:sz w:val="32"/>
          <w:szCs w:val="32"/>
        </w:rPr>
        <w:t>一般公共预算项目支出绩效自评。</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组织对柳州市生态环境技术保障中心1个单位开展整体支出绩效评价试点，涉及一般公共预算支出892.96万元，政府性基金预算支出0万元。其中，柳州市生态环境技术保障中心单位整体支出由</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柳州市</w:t>
      </w:r>
      <w:r>
        <w:rPr>
          <w:rFonts w:hint="eastAsia" w:ascii="仿宋_GB2312" w:eastAsia="仿宋_GB2312" w:cs="仿宋_GB2312"/>
          <w:kern w:val="0"/>
          <w:sz w:val="32"/>
          <w:szCs w:val="32"/>
          <w:lang w:eastAsia="zh-CN"/>
        </w:rPr>
        <w:t>财政预算</w:t>
      </w:r>
      <w:r>
        <w:rPr>
          <w:rFonts w:hint="eastAsia" w:ascii="仿宋_GB2312" w:eastAsia="仿宋_GB2312" w:cs="仿宋_GB2312"/>
          <w:kern w:val="0"/>
          <w:sz w:val="32"/>
          <w:szCs w:val="32"/>
        </w:rPr>
        <w:t>绩效管理</w:t>
      </w:r>
      <w:r>
        <w:rPr>
          <w:rFonts w:hint="eastAsia" w:ascii="仿宋_GB2312" w:eastAsia="仿宋_GB2312" w:cs="仿宋_GB2312"/>
          <w:kern w:val="0"/>
          <w:sz w:val="32"/>
          <w:szCs w:val="32"/>
          <w:lang w:eastAsia="zh-CN"/>
        </w:rPr>
        <w:t>中心”</w:t>
      </w:r>
      <w:r>
        <w:rPr>
          <w:rFonts w:hint="eastAsia" w:ascii="仿宋_GB2312" w:eastAsia="仿宋_GB2312" w:cs="仿宋_GB2312"/>
          <w:kern w:val="0"/>
          <w:sz w:val="32"/>
          <w:szCs w:val="32"/>
        </w:rPr>
        <w:t>开展绩效评价。</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从评价情况来看，我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2021年单位整体绩效自评分93.6分，为“优”等级。从整体情况来看，我单位严格按照年初预算进行部门整体支出。在支出过程中，能严格遵守各项规章制度，所有项目都详细制定了方案，严格按方案组织实施，并加强了内部控制和监督。尤其是在专项经费支出上，</w:t>
      </w:r>
      <w:r>
        <w:rPr>
          <w:rFonts w:hint="eastAsia" w:ascii="仿宋_GB2312" w:eastAsia="仿宋_GB2312" w:cs="仿宋_GB2312"/>
          <w:kern w:val="0"/>
          <w:sz w:val="32"/>
          <w:szCs w:val="32"/>
          <w:lang w:eastAsia="zh-CN"/>
        </w:rPr>
        <w:t>做到</w:t>
      </w:r>
      <w:r>
        <w:rPr>
          <w:rFonts w:hint="eastAsia" w:ascii="仿宋_GB2312" w:eastAsia="仿宋_GB2312" w:cs="仿宋_GB2312"/>
          <w:kern w:val="0"/>
          <w:sz w:val="32"/>
          <w:szCs w:val="32"/>
        </w:rPr>
        <w:t>专款专用，按项目实施计划的进度情况进行资金拨付，无截留、无挪用等现象。存在的问题是：1、资金使用效益有待进一步提高；2、绩效目标设立不够全面、不够细化和量化。部分指标年初指标值设置明细偏低，造成实际得分值被扣分。</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b w:val="0"/>
          <w:bCs w:val="0"/>
          <w:kern w:val="0"/>
          <w:sz w:val="32"/>
          <w:szCs w:val="32"/>
        </w:rPr>
        <w:t>本</w:t>
      </w:r>
      <w:r>
        <w:rPr>
          <w:rFonts w:hint="eastAsia" w:ascii="仿宋_GB2312" w:eastAsia="仿宋_GB2312" w:cs="仿宋_GB2312"/>
          <w:b w:val="0"/>
          <w:bCs w:val="0"/>
          <w:kern w:val="0"/>
          <w:sz w:val="32"/>
          <w:szCs w:val="32"/>
          <w:lang w:eastAsia="zh-CN"/>
        </w:rPr>
        <w:t>单位</w:t>
      </w:r>
      <w:r>
        <w:rPr>
          <w:rFonts w:hint="eastAsia" w:ascii="仿宋_GB2312" w:eastAsia="仿宋_GB2312" w:cs="仿宋_GB2312"/>
          <w:b w:val="0"/>
          <w:bCs w:val="0"/>
          <w:kern w:val="0"/>
          <w:sz w:val="32"/>
          <w:szCs w:val="32"/>
        </w:rPr>
        <w:t>未开展</w:t>
      </w:r>
      <w:r>
        <w:rPr>
          <w:rFonts w:hint="eastAsia" w:ascii="仿宋_GB2312" w:eastAsia="仿宋_GB2312" w:cs="仿宋_GB2312"/>
          <w:b w:val="0"/>
          <w:bCs w:val="0"/>
          <w:kern w:val="0"/>
          <w:sz w:val="32"/>
          <w:szCs w:val="32"/>
          <w:lang w:eastAsia="zh-CN"/>
        </w:rPr>
        <w:t>项目</w:t>
      </w:r>
      <w:r>
        <w:rPr>
          <w:rFonts w:hint="eastAsia" w:ascii="仿宋_GB2312" w:eastAsia="仿宋_GB2312" w:cs="仿宋_GB2312"/>
          <w:b w:val="0"/>
          <w:bCs w:val="0"/>
          <w:kern w:val="0"/>
          <w:sz w:val="32"/>
          <w:szCs w:val="32"/>
        </w:rPr>
        <w:t>预算绩效管理工作</w:t>
      </w:r>
      <w:r>
        <w:rPr>
          <w:rFonts w:hint="eastAsia" w:ascii="仿宋_GB2312" w:eastAsia="仿宋_GB2312" w:cs="仿宋_GB2312"/>
          <w:b w:val="0"/>
          <w:bCs w:val="0"/>
          <w:kern w:val="0"/>
          <w:sz w:val="32"/>
          <w:szCs w:val="32"/>
          <w:lang w:eastAsia="zh-CN"/>
        </w:rPr>
        <w:t>。</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 xml:space="preserve"> </w:t>
      </w:r>
    </w:p>
    <w:p>
      <w:pPr>
        <w:pStyle w:val="2"/>
        <w:rPr>
          <w:rFonts w:hint="eastAsia" w:ascii="仿宋_GB2312" w:eastAsia="仿宋_GB2312" w:cs="仿宋_GB2312"/>
          <w:kern w:val="0"/>
          <w:sz w:val="32"/>
          <w:szCs w:val="32"/>
        </w:rPr>
      </w:pPr>
    </w:p>
    <w:p>
      <w:pPr>
        <w:pStyle w:val="2"/>
        <w:rPr>
          <w:rFonts w:hint="eastAsia" w:ascii="仿宋_GB2312" w:eastAsia="仿宋_GB2312" w:cs="仿宋_GB2312"/>
          <w:kern w:val="0"/>
          <w:sz w:val="32"/>
          <w:szCs w:val="32"/>
        </w:rPr>
      </w:pPr>
    </w:p>
    <w:p>
      <w:pPr>
        <w:pStyle w:val="2"/>
        <w:rPr>
          <w:rFonts w:hint="eastAsia" w:ascii="仿宋_GB2312" w:eastAsia="仿宋_GB2312" w:cs="仿宋_GB2312"/>
          <w:kern w:val="0"/>
          <w:sz w:val="32"/>
          <w:szCs w:val="32"/>
        </w:rPr>
      </w:pP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pgSz w:w="11849" w:h="16781"/>
      <w:pgMar w:top="1417" w:right="1417" w:bottom="1417"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sz w:val="30"/>
        <w:szCs w:val="30"/>
      </w:rPr>
    </w:pPr>
    <w:r>
      <w:rPr>
        <w:sz w:val="30"/>
        <w:szCs w:val="30"/>
      </w:rPr>
      <w:fldChar w:fldCharType="begin"/>
    </w:r>
    <w:r>
      <w:rPr>
        <w:rStyle w:val="9"/>
        <w:sz w:val="30"/>
        <w:szCs w:val="30"/>
      </w:rPr>
      <w:instrText xml:space="preserve">PAGE  </w:instrText>
    </w:r>
    <w:r>
      <w:rPr>
        <w:sz w:val="30"/>
        <w:szCs w:val="30"/>
      </w:rPr>
      <w:fldChar w:fldCharType="separate"/>
    </w:r>
    <w:r>
      <w:rPr>
        <w:rStyle w:val="9"/>
        <w:sz w:val="30"/>
        <w:szCs w:val="30"/>
      </w:rPr>
      <w:t>- 13 -</w:t>
    </w:r>
    <w:r>
      <w:rPr>
        <w:sz w:val="30"/>
        <w:szCs w:val="30"/>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30F96"/>
    <w:multiLevelType w:val="singleLevel"/>
    <w:tmpl w:val="8F030F96"/>
    <w:lvl w:ilvl="0" w:tentative="0">
      <w:start w:val="1"/>
      <w:numFmt w:val="chineseCounting"/>
      <w:suff w:val="nothing"/>
      <w:lvlText w:val="（%1）"/>
      <w:lvlJc w:val="left"/>
      <w:pPr>
        <w:ind w:left="0" w:firstLine="420"/>
      </w:pPr>
      <w:rPr>
        <w:rFonts w:hint="eastAsia"/>
      </w:rPr>
    </w:lvl>
  </w:abstractNum>
  <w:abstractNum w:abstractNumId="1">
    <w:nsid w:val="D9E542C1"/>
    <w:multiLevelType w:val="singleLevel"/>
    <w:tmpl w:val="D9E542C1"/>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4A647DD"/>
    <w:rsid w:val="05352423"/>
    <w:rsid w:val="07A524FD"/>
    <w:rsid w:val="094B45FA"/>
    <w:rsid w:val="0A0C33E4"/>
    <w:rsid w:val="0B424B1D"/>
    <w:rsid w:val="0DA86951"/>
    <w:rsid w:val="0E074DDF"/>
    <w:rsid w:val="0F0F5ED6"/>
    <w:rsid w:val="124204B5"/>
    <w:rsid w:val="14F016D4"/>
    <w:rsid w:val="15823E15"/>
    <w:rsid w:val="1612602D"/>
    <w:rsid w:val="16B90A0F"/>
    <w:rsid w:val="182962AB"/>
    <w:rsid w:val="19D073EB"/>
    <w:rsid w:val="1A650904"/>
    <w:rsid w:val="1CC31F67"/>
    <w:rsid w:val="2249565E"/>
    <w:rsid w:val="24D337DC"/>
    <w:rsid w:val="24FF2210"/>
    <w:rsid w:val="26460DBA"/>
    <w:rsid w:val="2B07112C"/>
    <w:rsid w:val="2B6F74EB"/>
    <w:rsid w:val="2C1F0B15"/>
    <w:rsid w:val="2C4219FE"/>
    <w:rsid w:val="2DE04546"/>
    <w:rsid w:val="335718FE"/>
    <w:rsid w:val="34020F86"/>
    <w:rsid w:val="341361ED"/>
    <w:rsid w:val="39A63F06"/>
    <w:rsid w:val="39DB42F6"/>
    <w:rsid w:val="3C017E2C"/>
    <w:rsid w:val="3D1B6C34"/>
    <w:rsid w:val="3E6F4772"/>
    <w:rsid w:val="3EA872B2"/>
    <w:rsid w:val="3ED1439F"/>
    <w:rsid w:val="40EB6FB4"/>
    <w:rsid w:val="42235D58"/>
    <w:rsid w:val="44500BF5"/>
    <w:rsid w:val="44560C84"/>
    <w:rsid w:val="47F43786"/>
    <w:rsid w:val="48374EDC"/>
    <w:rsid w:val="48667738"/>
    <w:rsid w:val="4B4C4270"/>
    <w:rsid w:val="4C256E3D"/>
    <w:rsid w:val="4CB52F0F"/>
    <w:rsid w:val="4E2875DF"/>
    <w:rsid w:val="50C04C3A"/>
    <w:rsid w:val="532F1F9A"/>
    <w:rsid w:val="551D2366"/>
    <w:rsid w:val="559117FB"/>
    <w:rsid w:val="57931D57"/>
    <w:rsid w:val="5DBB25AC"/>
    <w:rsid w:val="5E995A3E"/>
    <w:rsid w:val="5F933EA7"/>
    <w:rsid w:val="5F95061E"/>
    <w:rsid w:val="5FC1266C"/>
    <w:rsid w:val="617E254E"/>
    <w:rsid w:val="62163194"/>
    <w:rsid w:val="624D024D"/>
    <w:rsid w:val="650E086A"/>
    <w:rsid w:val="658E4E37"/>
    <w:rsid w:val="6BAA0708"/>
    <w:rsid w:val="6EF1692D"/>
    <w:rsid w:val="70046E9D"/>
    <w:rsid w:val="702502C1"/>
    <w:rsid w:val="72231A60"/>
    <w:rsid w:val="73FA4007"/>
    <w:rsid w:val="743631A3"/>
    <w:rsid w:val="75AF6C8B"/>
    <w:rsid w:val="76325B64"/>
    <w:rsid w:val="76F30875"/>
    <w:rsid w:val="77474C4B"/>
    <w:rsid w:val="7BF63C39"/>
    <w:rsid w:val="7E3D3DE4"/>
    <w:rsid w:val="7EB32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ascii="宋体" w:hAnsi="宋体" w:cs="宋体"/>
      <w:sz w:val="24"/>
    </w:rPr>
  </w:style>
  <w:style w:type="character" w:styleId="9">
    <w:name w:val="page number"/>
    <w:basedOn w:val="8"/>
    <w:qFormat/>
    <w:uiPriority w:val="0"/>
  </w:style>
  <w:style w:type="character" w:customStyle="1" w:styleId="10">
    <w:name w:val="批注框文本 Char"/>
    <w:basedOn w:val="8"/>
    <w:link w:val="3"/>
    <w:qFormat/>
    <w:uiPriority w:val="0"/>
    <w:rPr>
      <w:kern w:val="2"/>
      <w:sz w:val="18"/>
      <w:szCs w:val="18"/>
    </w:rPr>
  </w:style>
  <w:style w:type="character" w:customStyle="1" w:styleId="11">
    <w:name w:val="font11"/>
    <w:basedOn w:val="8"/>
    <w:qFormat/>
    <w:uiPriority w:val="0"/>
    <w:rPr>
      <w:rFonts w:hint="eastAsia" w:ascii="宋体" w:hAnsi="宋体" w:eastAsia="宋体" w:cs="宋体"/>
      <w:color w:val="000000"/>
      <w:sz w:val="22"/>
      <w:szCs w:val="22"/>
      <w:u w:val="none"/>
    </w:rPr>
  </w:style>
  <w:style w:type="character" w:customStyle="1" w:styleId="12">
    <w:name w:val="font01"/>
    <w:basedOn w:val="8"/>
    <w:qFormat/>
    <w:uiPriority w:val="0"/>
    <w:rPr>
      <w:rFonts w:hint="eastAsia" w:ascii="宋体" w:hAnsi="宋体" w:eastAsia="宋体" w:cs="宋体"/>
      <w:color w:val="000000"/>
      <w:sz w:val="24"/>
      <w:szCs w:val="24"/>
      <w:u w:val="none"/>
    </w:rPr>
  </w:style>
  <w:style w:type="character" w:customStyle="1" w:styleId="13">
    <w:name w:val="font2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25</Pages>
  <Words>11013</Words>
  <Characters>13245</Characters>
  <Lines>60</Lines>
  <Paragraphs>17</Paragraphs>
  <TotalTime>6</TotalTime>
  <ScaleCrop>false</ScaleCrop>
  <LinksUpToDate>false</LinksUpToDate>
  <CharactersWithSpaces>14594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2022-08-31T01:00:00Z</cp:lastPrinted>
  <dcterms:modified xsi:type="dcterms:W3CDTF">2022-08-31T01:40:05Z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6E79FB55B67E485793686D4D391DAA86</vt:lpwstr>
  </property>
</Properties>
</file>