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u w:val="none"/>
          <w:lang w:eastAsia="zh-CN"/>
        </w:rPr>
      </w:pPr>
      <w:r>
        <w:rPr>
          <w:rFonts w:hint="eastAsia" w:ascii="黑体" w:eastAsia="黑体" w:cs="ArialUnicodeMS"/>
          <w:kern w:val="0"/>
          <w:sz w:val="52"/>
          <w:szCs w:val="52"/>
        </w:rPr>
        <w:t>柳州市</w:t>
      </w:r>
      <w:r>
        <w:rPr>
          <w:rFonts w:hint="eastAsia" w:ascii="黑体" w:hAnsi="黑体" w:eastAsia="黑体"/>
          <w:bCs/>
          <w:color w:val="000000"/>
          <w:sz w:val="52"/>
          <w:szCs w:val="52"/>
          <w:u w:val="none"/>
          <w:lang w:eastAsia="zh-CN"/>
        </w:rPr>
        <w:t>生态环境保护综合行政执法支队</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第一部分：柳州市生态环境保护综合行政执法支队概况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pPr>
        <w:ind w:firstLine="645"/>
        <w:rPr>
          <w:rFonts w:ascii="仿宋_GB2312" w:eastAsia="仿宋_GB2312"/>
          <w:b/>
          <w:sz w:val="32"/>
          <w:szCs w:val="32"/>
        </w:rPr>
      </w:pPr>
      <w:r>
        <w:rPr>
          <w:rFonts w:hint="eastAsia" w:ascii="仿宋_GB2312" w:eastAsia="仿宋_GB2312"/>
          <w:b/>
          <w:sz w:val="32"/>
          <w:szCs w:val="32"/>
        </w:rPr>
        <w:t>第二部分：柳州市生态环境保护综合行政执法支队</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仿宋_GB2312" w:eastAsia="仿宋_GB2312"/>
          <w:b/>
          <w:sz w:val="32"/>
          <w:szCs w:val="32"/>
        </w:rPr>
      </w:pPr>
      <w:r>
        <w:rPr>
          <w:rFonts w:hint="eastAsia" w:ascii="仿宋_GB2312" w:eastAsia="仿宋_GB2312"/>
          <w:b/>
          <w:sz w:val="32"/>
          <w:szCs w:val="32"/>
        </w:rPr>
        <w:t>第三部分：柳州市生态环境保护综合行政执法支队</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第一部分：柳州市生态环境保护综合行政执法支队概况</w:t>
      </w:r>
    </w:p>
    <w:p>
      <w:pPr>
        <w:ind w:firstLine="646"/>
        <w:rPr>
          <w:rFonts w:ascii="仿宋_GB2312" w:eastAsia="仿宋_GB2312"/>
          <w:sz w:val="32"/>
          <w:szCs w:val="32"/>
        </w:rPr>
      </w:pPr>
      <w:r>
        <w:rPr>
          <w:rFonts w:hint="eastAsia" w:ascii="仿宋_GB2312" w:eastAsia="仿宋_GB2312"/>
          <w:sz w:val="32"/>
          <w:szCs w:val="32"/>
        </w:rPr>
        <w:t>一、主要职能</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一）贯彻执行国家、自治区及柳州市有关生态环境保护领域的法律法规和政策规定。依法统一行使污染防治、生态环境保护、核与辐射安全的行政处罚权以及与行政处罚相关的行政检查、行政强制权等执法职能。</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（二）负责辖区内突发环境事件、环境污染纠纷的现场调查处理。参与跨县区较大等级突发环境事件的应急处置工作。指导协调县区对一般等级突发环境事件的现场调查处置工作。</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（三）会同有关城市生态环境执法机构建立健全协作机制，开展跨区域跨流域跨部门生态环境联合执法。</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（四）负责全市生态环境行政执法工作的业务指导、监督管理、组织协调、考核评价。</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（五）负责全市生态环境执法队伍思想政治建设、能力建设、作风建设和业务培训工作。</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（六）依法行使地下水污染防治执法权，对因开发土地、矿藏等造成生态破坏的执法权。</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（七）依法行使农业面源污染防治执法权。</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（八）依法行使流域水生态环境保护执法权。</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（九）依法行使对自然保护地内进行非法开矿、修路、筑坝、建设造成生态破坏的执法权。</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（十）依法行使核与辐射安全的执法权。</w:t>
      </w:r>
    </w:p>
    <w:p>
      <w:pPr>
        <w:pStyle w:val="5"/>
        <w:spacing w:beforeAutospacing="0" w:afterAutospacing="0" w:line="560" w:lineRule="exact"/>
        <w:ind w:firstLine="640" w:firstLineChars="200"/>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（十一）依法行使对机动车和非道路移动机械等违反污染防治法规的执法权。</w:t>
      </w:r>
    </w:p>
    <w:p>
      <w:pPr>
        <w:ind w:firstLine="645"/>
        <w:rPr>
          <w:rFonts w:hint="eastAsia" w:ascii="仿宋_GB2312" w:eastAsia="仿宋_GB2312"/>
          <w:sz w:val="32"/>
          <w:szCs w:val="32"/>
          <w:lang w:val="en-US" w:eastAsia="zh-CN"/>
        </w:rPr>
      </w:pPr>
      <w:r>
        <w:rPr>
          <w:rFonts w:hint="eastAsia" w:ascii="仿宋_GB2312" w:hAnsi="华文仿宋" w:eastAsia="仿宋_GB2312"/>
          <w:bCs/>
          <w:color w:val="000000"/>
          <w:sz w:val="32"/>
          <w:szCs w:val="32"/>
        </w:rPr>
        <w:t>（十二）完成主管部门交办的其他工作。</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pPr>
        <w:adjustRightInd w:val="0"/>
        <w:snapToGrid w:val="0"/>
        <w:spacing w:line="560" w:lineRule="exact"/>
        <w:ind w:right="-218" w:rightChars="-104" w:firstLine="640" w:firstLineChars="200"/>
        <w:rPr>
          <w:rFonts w:hint="eastAsia" w:ascii="仿宋_GB2312" w:hAnsi="华文仿宋" w:eastAsia="仿宋_GB2312"/>
          <w:color w:val="000000"/>
          <w:sz w:val="32"/>
          <w:szCs w:val="32"/>
        </w:rPr>
      </w:pPr>
      <w:r>
        <w:rPr>
          <w:rFonts w:hint="eastAsia" w:ascii="仿宋_GB2312" w:hAnsi="华文仿宋" w:eastAsia="仿宋_GB2312"/>
          <w:color w:val="000000"/>
          <w:sz w:val="32"/>
          <w:szCs w:val="32"/>
        </w:rPr>
        <w:t>柳州市生态环境保护综合行政执法支队为参公事业单位，编制人数</w:t>
      </w:r>
      <w:r>
        <w:rPr>
          <w:rFonts w:hint="eastAsia" w:ascii="仿宋_GB2312" w:hAnsi="华文仿宋" w:eastAsia="仿宋_GB2312"/>
          <w:color w:val="000000"/>
          <w:sz w:val="32"/>
          <w:szCs w:val="32"/>
          <w:lang w:val="en-US" w:eastAsia="zh-CN"/>
        </w:rPr>
        <w:t>164</w:t>
      </w:r>
      <w:r>
        <w:rPr>
          <w:rFonts w:hint="eastAsia" w:ascii="仿宋_GB2312" w:hAnsi="华文仿宋" w:eastAsia="仿宋_GB2312"/>
          <w:color w:val="000000"/>
          <w:sz w:val="32"/>
          <w:szCs w:val="32"/>
        </w:rPr>
        <w:t>人、实有在职人数</w:t>
      </w:r>
      <w:r>
        <w:rPr>
          <w:rFonts w:hint="eastAsia" w:ascii="仿宋_GB2312" w:hAnsi="华文仿宋" w:eastAsia="仿宋_GB2312"/>
          <w:color w:val="000000"/>
          <w:sz w:val="32"/>
          <w:szCs w:val="32"/>
          <w:lang w:val="en-US" w:eastAsia="zh-CN"/>
        </w:rPr>
        <w:t>206</w:t>
      </w:r>
      <w:r>
        <w:rPr>
          <w:rFonts w:hint="eastAsia" w:ascii="仿宋_GB2312" w:hAnsi="华文仿宋" w:eastAsia="仿宋_GB2312"/>
          <w:color w:val="000000"/>
          <w:sz w:val="32"/>
          <w:szCs w:val="32"/>
        </w:rPr>
        <w:t>人、退休人数</w:t>
      </w:r>
      <w:r>
        <w:rPr>
          <w:rFonts w:hint="eastAsia" w:ascii="仿宋_GB2312" w:hAnsi="华文仿宋" w:eastAsia="仿宋_GB2312"/>
          <w:color w:val="000000"/>
          <w:sz w:val="32"/>
          <w:szCs w:val="32"/>
          <w:lang w:val="en-US" w:eastAsia="zh-CN"/>
        </w:rPr>
        <w:t>40</w:t>
      </w:r>
      <w:r>
        <w:rPr>
          <w:rFonts w:hint="eastAsia" w:ascii="仿宋_GB2312" w:hAnsi="华文仿宋" w:eastAsia="仿宋_GB2312"/>
          <w:color w:val="000000"/>
          <w:sz w:val="32"/>
          <w:szCs w:val="32"/>
        </w:rPr>
        <w:t>人、聘用人数25人、保留车辆数3辆。</w:t>
      </w:r>
    </w:p>
    <w:p>
      <w:pPr>
        <w:ind w:firstLine="645"/>
        <w:rPr>
          <w:rFonts w:ascii="仿宋_GB2312" w:eastAsia="仿宋_GB2312"/>
          <w:sz w:val="32"/>
          <w:szCs w:val="32"/>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jc w:val="center"/>
      </w:pPr>
    </w:p>
    <w:p>
      <w:pPr>
        <w:jc w:val="center"/>
        <w:sectPr>
          <w:headerReference r:id="rId3" w:type="default"/>
          <w:footerReference r:id="rId4" w:type="default"/>
          <w:footerReference r:id="rId5" w:type="even"/>
          <w:pgSz w:w="11906" w:h="16838"/>
          <w:pgMar w:top="1440" w:right="1417" w:bottom="1440" w:left="1417" w:header="851" w:footer="992" w:gutter="0"/>
          <w:pgNumType w:fmt="numberInDash"/>
          <w:cols w:space="720" w:num="1"/>
          <w:docGrid w:type="lines" w:linePitch="312" w:charSpace="0"/>
        </w:sectPr>
      </w:pPr>
    </w:p>
    <w:p>
      <w:pPr>
        <w:rPr>
          <w:rFonts w:hint="eastAsia" w:ascii="仿宋_GB2312" w:eastAsia="仿宋_GB2312"/>
          <w:b/>
          <w:sz w:val="32"/>
          <w:szCs w:val="32"/>
        </w:rPr>
      </w:pPr>
      <w:r>
        <w:rPr>
          <w:rFonts w:hint="eastAsia" w:ascii="仿宋_GB2312" w:eastAsia="仿宋_GB2312"/>
          <w:b/>
          <w:sz w:val="32"/>
          <w:szCs w:val="32"/>
        </w:rPr>
        <w:t>第二部分：柳州市生态环境保护综合行政执法支队</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rPr>
          <w:rFonts w:hint="eastAsia" w:ascii="仿宋_GB2312" w:eastAsia="仿宋_GB2312"/>
          <w:b/>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984"/>
        <w:gridCol w:w="1215"/>
        <w:gridCol w:w="2115"/>
        <w:gridCol w:w="3735"/>
        <w:gridCol w:w="1170"/>
        <w:gridCol w:w="2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6"/>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6"/>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6"/>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31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7125"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3,809.56</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72.09</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9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3,881.65</w:t>
            </w:r>
          </w:p>
        </w:tc>
        <w:tc>
          <w:tcPr>
            <w:tcW w:w="3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22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3,881.65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4439"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2.本套报表金额单位转换时可能存在尾数误差。</w:t>
            </w:r>
          </w:p>
        </w:tc>
      </w:tr>
    </w:tbl>
    <w:p>
      <w:pPr>
        <w:rPr>
          <w:rFonts w:hint="eastAsia" w:ascii="仿宋_GB2312" w:eastAsia="仿宋_GB2312"/>
          <w:b/>
          <w:sz w:val="32"/>
          <w:szCs w:val="32"/>
        </w:rPr>
      </w:pPr>
    </w:p>
    <w:p>
      <w:pPr>
        <w:rPr>
          <w:rFonts w:hint="eastAsia" w:ascii="仿宋_GB2312" w:eastAsia="仿宋_GB2312"/>
          <w:b/>
          <w:sz w:val="32"/>
          <w:szCs w:val="32"/>
        </w:rPr>
      </w:pPr>
    </w:p>
    <w:p>
      <w:pPr>
        <w:rPr>
          <w:rFonts w:hint="eastAsia" w:ascii="仿宋_GB2312" w:eastAsia="仿宋_GB2312"/>
          <w:b/>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4"/>
        <w:gridCol w:w="2690"/>
        <w:gridCol w:w="1785"/>
        <w:gridCol w:w="1770"/>
        <w:gridCol w:w="1410"/>
        <w:gridCol w:w="1395"/>
        <w:gridCol w:w="1350"/>
        <w:gridCol w:w="1515"/>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20"/>
                <w:szCs w:val="20"/>
                <w:u w:val="none"/>
                <w:lang w:val="en-US" w:eastAsia="zh-CN" w:bidi="ar"/>
              </w:rPr>
              <w:t>公开0</w:t>
            </w:r>
            <w:r>
              <w:rPr>
                <w:rFonts w:hint="eastAsia" w:ascii="宋体" w:hAnsi="宋体" w:cs="宋体"/>
                <w:i w:val="0"/>
                <w:color w:val="000000"/>
                <w:kern w:val="0"/>
                <w:sz w:val="20"/>
                <w:szCs w:val="20"/>
                <w:u w:val="none"/>
                <w:lang w:val="en-US" w:eastAsia="zh-CN" w:bidi="ar"/>
              </w:rPr>
              <w:t>2</w:t>
            </w:r>
            <w:r>
              <w:rPr>
                <w:rFonts w:hint="eastAsia" w:ascii="宋体" w:hAnsi="宋体" w:eastAsia="宋体" w:cs="宋体"/>
                <w:i w:val="0"/>
                <w:color w:val="000000"/>
                <w:kern w:val="0"/>
                <w:sz w:val="20"/>
                <w:szCs w:val="20"/>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77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78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4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3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3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51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4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690"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8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90"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90"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774"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5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774"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3,809.56</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3,809.18</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20"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行政单位离退休</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40.45</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40.45</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20"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20"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20"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行政单位医疗</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20"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2101199</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20"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其他行政事业单位医疗支出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3,098.19</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3,098.19</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环境保护管理事务</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2,211.49</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2,211.49</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2110102</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21102</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环境监测与监察</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2110299</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其他环境监测与监察支出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污染防治</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527.71</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527.71</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2110301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大气</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93.78</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93.78</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2110399</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433.92</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433.92</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污染减排</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227.99</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227.99</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2111102</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生态环境执法监察</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210.71</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210.71</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2111103</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减排专项支出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17.27</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17.27</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22999</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2299999</w:t>
            </w:r>
          </w:p>
        </w:tc>
        <w:tc>
          <w:tcPr>
            <w:tcW w:w="26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0" w:firstLineChars="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97"/>
        <w:gridCol w:w="2992"/>
        <w:gridCol w:w="1770"/>
        <w:gridCol w:w="1800"/>
        <w:gridCol w:w="1830"/>
        <w:gridCol w:w="1620"/>
        <w:gridCol w:w="1605"/>
        <w:gridCol w:w="1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0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80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8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99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9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9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08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8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08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3,844.32</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2,896.83</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947.49</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行政单位离退休</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40.45</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40.45</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2101199</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其他行政事业单位医疗支出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3,133.33</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947.49</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环境保护管理事务</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2,211.49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2110102</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21102</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环境监测与监察</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2110299</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其他环境监测与监察支出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污染防治</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562.84</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562.84</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2110301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大气</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93.78</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93.78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2110399</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469.06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469.06</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污染减排</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227.99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227.99</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2111102</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生态环境执法监察</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210.71</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210.71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2111103</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减排专项支出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17.27</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9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0" w:firstLineChars="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965"/>
        <w:gridCol w:w="645"/>
        <w:gridCol w:w="1110"/>
        <w:gridCol w:w="3328"/>
        <w:gridCol w:w="705"/>
        <w:gridCol w:w="1261"/>
        <w:gridCol w:w="1380"/>
        <w:gridCol w:w="1440"/>
        <w:gridCol w:w="1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7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9719"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2" w:hRule="atLeast"/>
        </w:trPr>
        <w:tc>
          <w:tcPr>
            <w:tcW w:w="296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4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1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32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261"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8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4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6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296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2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三、国有资本经营财政拨款</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3,098.19</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3,098.19</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6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33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7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26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3,809.18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9"/>
            <w:tcBorders>
              <w:top w:val="nil"/>
              <w:left w:val="nil"/>
              <w:bottom w:val="nil"/>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17"/>
        <w:gridCol w:w="4302"/>
        <w:gridCol w:w="2745"/>
        <w:gridCol w:w="2770"/>
        <w:gridCol w:w="2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4439"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4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802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430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74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277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5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trPr>
        <w:tc>
          <w:tcPr>
            <w:tcW w:w="211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0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7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0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7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41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41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3,809.18</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2,896.83</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380.56</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行政单位离退休</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40.45</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40.45</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160.37</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2101199</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其他行政事业单位医疗支出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3,098.19</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环境保护管理事务</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2,211.49</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2,185.84</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2110102</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21102</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环境监测与监察</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2110299</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其他环境监测与监察支出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污染防治</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527.71</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2110301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大气</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93.78</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2110399</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其他污染防治支出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433.92</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污染减排</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227.99</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2111102</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生态环境执法监察</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210.71</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2111103</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减排专项支出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17.27</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11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3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7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25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pPr>
        <w:ind w:firstLine="640" w:firstLineChars="20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68"/>
        <w:gridCol w:w="3000"/>
        <w:gridCol w:w="1350"/>
        <w:gridCol w:w="1065"/>
        <w:gridCol w:w="1845"/>
        <w:gridCol w:w="1395"/>
        <w:gridCol w:w="1065"/>
        <w:gridCol w:w="2310"/>
        <w:gridCol w:w="13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41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9021"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00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5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84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9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31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1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2,375.26</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488.14</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648.21</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43.01</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539.49</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493.40</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226.74</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113.37</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28.85</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110.54</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49.55</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7.04</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23.91</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53.70</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170.06</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12.03</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32.99</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5.57</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32.99</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4.78</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4.86</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28.34</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7.04</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144.62</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06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8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3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118.05</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4068"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2,408.25</w:t>
            </w:r>
          </w:p>
        </w:tc>
        <w:tc>
          <w:tcPr>
            <w:tcW w:w="7680"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488.58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74"/>
        <w:gridCol w:w="1245"/>
        <w:gridCol w:w="795"/>
        <w:gridCol w:w="1425"/>
        <w:gridCol w:w="1425"/>
        <w:gridCol w:w="1425"/>
        <w:gridCol w:w="840"/>
        <w:gridCol w:w="1065"/>
        <w:gridCol w:w="870"/>
        <w:gridCol w:w="1485"/>
        <w:gridCol w:w="1560"/>
        <w:gridCol w:w="1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4439"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1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089" w:type="dxa"/>
            <w:gridSpan w:val="6"/>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350" w:type="dxa"/>
            <w:gridSpan w:val="6"/>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74" w:type="dxa"/>
            <w:vMerge w:val="restart"/>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45"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645" w:type="dxa"/>
            <w:gridSpan w:val="3"/>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425"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840"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65"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915" w:type="dxa"/>
            <w:gridSpan w:val="3"/>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530"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774" w:type="dxa"/>
            <w:vMerge w:val="continue"/>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42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2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425"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48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560"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53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74" w:type="dxa"/>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9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2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2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2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840"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06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870"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85"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60"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530" w:type="dxa"/>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7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4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4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6.88</w:t>
            </w:r>
          </w:p>
        </w:tc>
        <w:tc>
          <w:tcPr>
            <w:tcW w:w="8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10.78</w:t>
            </w:r>
          </w:p>
        </w:tc>
        <w:tc>
          <w:tcPr>
            <w:tcW w:w="1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5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14439"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Pr>
        <w:ind w:firstLine="0" w:firstLineChars="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29"/>
        <w:gridCol w:w="1650"/>
        <w:gridCol w:w="1965"/>
        <w:gridCol w:w="1665"/>
        <w:gridCol w:w="1620"/>
        <w:gridCol w:w="1740"/>
        <w:gridCol w:w="1830"/>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w:t>
            </w:r>
            <w:r>
              <w:rPr>
                <w:rFonts w:hint="eastAsia" w:ascii="宋体" w:hAnsi="宋体" w:cs="宋体"/>
                <w:i w:val="0"/>
                <w:color w:val="000000"/>
                <w:kern w:val="0"/>
                <w:sz w:val="20"/>
                <w:szCs w:val="20"/>
                <w:u w:val="none"/>
                <w:lang w:val="en-US" w:eastAsia="zh-CN" w:bidi="ar"/>
              </w:rPr>
              <w:t>8</w:t>
            </w:r>
            <w:r>
              <w:rPr>
                <w:rFonts w:hint="eastAsia" w:ascii="宋体" w:hAnsi="宋体" w:eastAsia="宋体" w:cs="宋体"/>
                <w:i w:val="0"/>
                <w:color w:val="000000"/>
                <w:kern w:val="0"/>
                <w:sz w:val="20"/>
                <w:szCs w:val="20"/>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579" w:type="dxa"/>
            <w:gridSpan w:val="2"/>
            <w:tcBorders>
              <w:top w:val="single" w:color="000000" w:sz="4" w:space="0"/>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965" w:type="dxa"/>
            <w:vMerge w:val="restart"/>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665" w:type="dxa"/>
            <w:vMerge w:val="restart"/>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5190" w:type="dxa"/>
            <w:gridSpan w:val="3"/>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2040" w:type="dxa"/>
            <w:vMerge w:val="restart"/>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vMerge w:val="restart"/>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1650" w:type="dxa"/>
            <w:vMerge w:val="restart"/>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965"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740"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830" w:type="dxa"/>
            <w:vMerge w:val="restart"/>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2040"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vMerge w:val="continue"/>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vMerge w:val="continue"/>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65"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3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40"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vMerge w:val="continue"/>
            <w:tcBorders>
              <w:top w:val="nil"/>
              <w:left w:val="single" w:color="000000" w:sz="4" w:space="0"/>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vMerge w:val="continue"/>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65"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30" w:type="dxa"/>
            <w:vMerge w:val="continue"/>
            <w:tcBorders>
              <w:top w:val="nil"/>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40" w:type="dxa"/>
            <w:vMerge w:val="continue"/>
            <w:tcBorders>
              <w:top w:val="single" w:color="000000" w:sz="4" w:space="0"/>
              <w:left w:val="nil"/>
              <w:bottom w:val="single" w:color="000000" w:sz="4" w:space="0"/>
              <w:right w:val="single" w:color="000000" w:sz="4" w:space="0"/>
            </w:tcBorders>
            <w:shd w:val="clear" w:color="FFFFFF"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579" w:type="dxa"/>
            <w:gridSpan w:val="2"/>
            <w:tcBorders>
              <w:top w:val="nil"/>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965"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65"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20"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740"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30"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040" w:type="dxa"/>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3579" w:type="dxa"/>
            <w:gridSpan w:val="2"/>
            <w:tcBorders>
              <w:top w:val="nil"/>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9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9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柳州市生态环境保护综合行政执法支队</w:t>
            </w:r>
            <w:r>
              <w:rPr>
                <w:rFonts w:hint="eastAsia" w:ascii="宋体" w:hAnsi="宋体" w:eastAsia="宋体" w:cs="宋体"/>
                <w:b w:val="0"/>
                <w:color w:val="000000"/>
                <w:kern w:val="0"/>
                <w:sz w:val="22"/>
                <w:szCs w:val="22"/>
                <w:u w:val="none"/>
                <w:lang w:bidi="ar"/>
              </w:rPr>
              <w:t>没有政府性基金预算财政收入，也没有政府性基金预算财政安排的支出，故本表无数据</w:t>
            </w:r>
            <w:r>
              <w:rPr>
                <w:rFonts w:hint="eastAsia" w:ascii="宋体" w:hAnsi="宋体" w:cs="宋体"/>
                <w:b w:val="0"/>
                <w:color w:val="000000"/>
                <w:kern w:val="0"/>
                <w:sz w:val="22"/>
                <w:szCs w:val="22"/>
                <w:u w:val="none"/>
                <w:lang w:eastAsia="zh-CN" w:bidi="ar"/>
              </w:rPr>
              <w:t>。</w:t>
            </w:r>
          </w:p>
        </w:tc>
      </w:tr>
    </w:tbl>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tbl>
      <w:tblPr>
        <w:tblStyle w:val="6"/>
        <w:tblW w:w="14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52"/>
        <w:gridCol w:w="2565"/>
        <w:gridCol w:w="2857"/>
        <w:gridCol w:w="3195"/>
        <w:gridCol w:w="3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4439"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w:t>
            </w:r>
            <w:r>
              <w:rPr>
                <w:rFonts w:hint="eastAsia" w:ascii="宋体" w:hAnsi="宋体" w:cs="宋体"/>
                <w:i w:val="0"/>
                <w:color w:val="000000"/>
                <w:kern w:val="0"/>
                <w:sz w:val="20"/>
                <w:szCs w:val="20"/>
                <w:u w:val="none"/>
                <w:lang w:val="en-US" w:eastAsia="zh-CN" w:bidi="ar"/>
              </w:rPr>
              <w:t>9</w:t>
            </w:r>
            <w:r>
              <w:rPr>
                <w:rFonts w:hint="eastAsia" w:ascii="宋体" w:hAnsi="宋体" w:eastAsia="宋体" w:cs="宋体"/>
                <w:i w:val="0"/>
                <w:color w:val="000000"/>
                <w:kern w:val="0"/>
                <w:sz w:val="20"/>
                <w:szCs w:val="20"/>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4439"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部门：柳州市生态环境保护综合行政执法支队</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1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32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565"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85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319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327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65"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5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9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65"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5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9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117"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5117"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2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14439"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柳州市生态环境保护综合行政执法支队</w:t>
            </w:r>
            <w:r>
              <w:rPr>
                <w:rFonts w:hint="eastAsia" w:ascii="宋体" w:hAnsi="宋体" w:eastAsia="宋体" w:cs="宋体"/>
                <w:b w:val="0"/>
                <w:color w:val="000000"/>
                <w:kern w:val="0"/>
                <w:sz w:val="22"/>
                <w:szCs w:val="22"/>
                <w:u w:val="none"/>
                <w:lang w:bidi="ar"/>
              </w:rPr>
              <w:t>没有国有资本经营预算财政收入，也没有国有资本经营预算财政安排的支出，故本表无数据</w:t>
            </w:r>
            <w:r>
              <w:rPr>
                <w:rFonts w:hint="eastAsia" w:ascii="宋体" w:hAnsi="宋体" w:cs="宋体"/>
                <w:b w:val="0"/>
                <w:color w:val="000000"/>
                <w:kern w:val="0"/>
                <w:sz w:val="22"/>
                <w:szCs w:val="22"/>
                <w:u w:val="none"/>
                <w:lang w:eastAsia="zh-CN" w:bidi="ar"/>
              </w:rPr>
              <w:t>。</w:t>
            </w:r>
          </w:p>
        </w:tc>
      </w:tr>
    </w:tbl>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sectPr>
          <w:pgSz w:w="16783" w:h="11850" w:orient="landscape"/>
          <w:pgMar w:top="1378" w:right="1440" w:bottom="1797" w:left="1497" w:header="851" w:footer="992" w:gutter="0"/>
          <w:pgNumType w:fmt="numberInDash"/>
          <w:cols w:space="0" w:num="1"/>
          <w:rtlGutter w:val="0"/>
          <w:docGrid w:type="lines" w:linePitch="323" w:charSpace="0"/>
        </w:sectPr>
      </w:pPr>
      <w:bookmarkStart w:id="0" w:name="_GoBack"/>
      <w:bookmarkEnd w:id="0"/>
    </w:p>
    <w:p>
      <w:pPr>
        <w:jc w:val="right"/>
        <w:rPr>
          <w:sz w:val="22"/>
          <w:szCs w:val="22"/>
        </w:rPr>
      </w:pPr>
      <w:r>
        <w:rPr>
          <w:rFonts w:hint="eastAsia"/>
          <w:sz w:val="22"/>
          <w:szCs w:val="22"/>
        </w:rPr>
        <w:t xml:space="preserve">                   </w:t>
      </w:r>
    </w:p>
    <w:p>
      <w:pPr>
        <w:spacing w:line="580" w:lineRule="exact"/>
        <w:rPr>
          <w:rFonts w:ascii="仿宋_GB2312" w:eastAsia="仿宋_GB2312"/>
          <w:b/>
          <w:sz w:val="32"/>
          <w:szCs w:val="32"/>
        </w:rPr>
      </w:pPr>
      <w:r>
        <w:rPr>
          <w:rFonts w:hint="eastAsia" w:ascii="仿宋_GB2312" w:eastAsia="仿宋_GB2312"/>
          <w:b/>
          <w:sz w:val="32"/>
          <w:szCs w:val="32"/>
        </w:rPr>
        <w:t>第三部分：柳州市生态环境保护综合行政执法支队</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 xml:space="preserve">年度总收入3881.65万元，其中本年收入3809.56万元,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1192.45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44.34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rPr>
        <w:t>3809.18</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1539.71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67.84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：上收县区执法大队，人员增加。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0.38</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0.12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46.15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：利息收入增加。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72.09</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236.37</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76.63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：年度支出预算执行率提高。</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rPr>
        <w:t>3881.65</w:t>
      </w:r>
      <w:r>
        <w:rPr>
          <w:rFonts w:hint="eastAsia" w:ascii="仿宋_GB2312" w:eastAsia="仿宋_GB2312" w:cs="仿宋_GB2312"/>
          <w:kern w:val="0"/>
          <w:sz w:val="32"/>
          <w:szCs w:val="32"/>
        </w:rPr>
        <w:t xml:space="preserve">万元，其中本年支出3844.32万元,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1192.45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44.34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社会保障和就业支出380.56万元：主要用于</w:t>
      </w:r>
      <w:r>
        <w:rPr>
          <w:rFonts w:hint="eastAsia" w:ascii="仿宋_GB2312" w:eastAsia="仿宋_GB2312" w:cs="仿宋_GB2312"/>
          <w:kern w:val="0"/>
          <w:sz w:val="32"/>
          <w:szCs w:val="32"/>
          <w:lang w:eastAsia="zh-CN"/>
        </w:rPr>
        <w:t>人员社保支出，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223.07</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141.64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：机构改革，县区上划市本级人员增加。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卫生健康支出160.37万元：主要用于</w:t>
      </w:r>
      <w:r>
        <w:rPr>
          <w:rFonts w:hint="eastAsia" w:ascii="仿宋_GB2312" w:eastAsia="仿宋_GB2312" w:cs="仿宋_GB2312"/>
          <w:kern w:val="0"/>
          <w:sz w:val="32"/>
          <w:szCs w:val="32"/>
          <w:lang w:eastAsia="zh-CN"/>
        </w:rPr>
        <w:t>人员医保支出，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24.63</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18.14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：机构改革，县区上划市本级人员增加。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节能环保支出</w:t>
      </w:r>
      <w:r>
        <w:rPr>
          <w:rFonts w:hint="eastAsia" w:ascii="仿宋_GB2312" w:eastAsia="仿宋_GB2312" w:cs="仿宋_GB2312"/>
          <w:kern w:val="0"/>
          <w:sz w:val="32"/>
          <w:szCs w:val="32"/>
        </w:rPr>
        <w:tab/>
      </w:r>
      <w:r>
        <w:rPr>
          <w:rFonts w:hint="eastAsia" w:ascii="仿宋_GB2312" w:eastAsia="仿宋_GB2312" w:cs="仿宋_GB2312"/>
          <w:kern w:val="0"/>
          <w:sz w:val="32"/>
          <w:szCs w:val="32"/>
        </w:rPr>
        <w:t>3133.33万元：主要用于</w:t>
      </w:r>
      <w:r>
        <w:rPr>
          <w:rFonts w:hint="eastAsia" w:ascii="仿宋_GB2312" w:eastAsia="仿宋_GB2312" w:cs="仿宋_GB2312"/>
          <w:kern w:val="0"/>
          <w:sz w:val="32"/>
          <w:szCs w:val="32"/>
          <w:lang w:eastAsia="zh-CN"/>
        </w:rPr>
        <w:t>行政运行和环保项目支出，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930.43</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42.24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：机构改革，县区上划市本级人员增加。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住房保障支出</w:t>
      </w:r>
      <w:r>
        <w:rPr>
          <w:rFonts w:hint="eastAsia" w:ascii="仿宋_GB2312" w:eastAsia="仿宋_GB2312" w:cs="仿宋_GB2312"/>
          <w:kern w:val="0"/>
          <w:sz w:val="32"/>
          <w:szCs w:val="32"/>
        </w:rPr>
        <w:tab/>
      </w:r>
      <w:r>
        <w:rPr>
          <w:rFonts w:hint="eastAsia" w:ascii="仿宋_GB2312" w:eastAsia="仿宋_GB2312" w:cs="仿宋_GB2312"/>
          <w:kern w:val="0"/>
          <w:sz w:val="32"/>
          <w:szCs w:val="32"/>
        </w:rPr>
        <w:t>170.06</w:t>
      </w:r>
      <w:r>
        <w:rPr>
          <w:rFonts w:hint="eastAsia" w:ascii="仿宋_GB2312" w:eastAsia="仿宋_GB2312" w:cs="仿宋_GB2312"/>
          <w:kern w:val="0"/>
          <w:sz w:val="32"/>
          <w:szCs w:val="32"/>
          <w:lang w:eastAsia="zh-CN"/>
        </w:rPr>
        <w:t>万元，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住房公积金，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94.01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123.62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：机构改革，县区上划市本级人员增加。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37.33</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34.76</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48.22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：年度支出预算执行率提高。</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公共预算财政拨款支出38</w:t>
      </w:r>
      <w:r>
        <w:rPr>
          <w:rFonts w:hint="eastAsia" w:ascii="仿宋_GB2312" w:eastAsia="仿宋_GB2312" w:cs="仿宋_GB2312"/>
          <w:kern w:val="0"/>
          <w:sz w:val="32"/>
          <w:szCs w:val="32"/>
          <w:lang w:val="en-US" w:eastAsia="zh-CN"/>
        </w:rPr>
        <w:t>09.18</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1237</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48.09</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rPr>
        <w:t>2896.83</w:t>
      </w:r>
      <w:r>
        <w:rPr>
          <w:rFonts w:hint="eastAsia" w:ascii="仿宋_GB2312" w:eastAsia="仿宋_GB2312" w:cs="仿宋_GB2312"/>
          <w:kern w:val="0"/>
          <w:sz w:val="32"/>
          <w:szCs w:val="32"/>
        </w:rPr>
        <w:t>万元，项目支出</w:t>
      </w:r>
      <w:r>
        <w:rPr>
          <w:rFonts w:hint="eastAsia" w:ascii="仿宋_GB2312" w:eastAsia="仿宋_GB2312"/>
          <w:kern w:val="0"/>
          <w:sz w:val="32"/>
          <w:szCs w:val="32"/>
        </w:rPr>
        <w:t>912.35</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公共预算财政拨款支出年初预算为3586</w:t>
      </w:r>
      <w:r>
        <w:rPr>
          <w:rFonts w:hint="eastAsia" w:ascii="仿宋_GB2312" w:hAnsi="黑体" w:eastAsia="仿宋_GB2312" w:cs="仿宋_GB2312"/>
          <w:kern w:val="0"/>
          <w:sz w:val="32"/>
          <w:szCs w:val="32"/>
          <w:lang w:val="en-US" w:eastAsia="zh-CN"/>
        </w:rPr>
        <w:t>.</w:t>
      </w:r>
      <w:r>
        <w:rPr>
          <w:rFonts w:hint="eastAsia" w:ascii="仿宋_GB2312" w:hAnsi="黑体" w:eastAsia="仿宋_GB2312" w:cs="仿宋_GB2312"/>
          <w:kern w:val="0"/>
          <w:sz w:val="32"/>
          <w:szCs w:val="32"/>
        </w:rPr>
        <w:t>28万元，支出决算为</w:t>
      </w:r>
      <w:r>
        <w:rPr>
          <w:rFonts w:hint="eastAsia" w:ascii="仿宋_GB2312" w:eastAsia="仿宋_GB2312" w:cs="仿宋_GB2312"/>
          <w:kern w:val="0"/>
          <w:sz w:val="32"/>
          <w:szCs w:val="32"/>
        </w:rPr>
        <w:t>38</w:t>
      </w:r>
      <w:r>
        <w:rPr>
          <w:rFonts w:hint="eastAsia" w:ascii="仿宋_GB2312" w:eastAsia="仿宋_GB2312" w:cs="仿宋_GB2312"/>
          <w:kern w:val="0"/>
          <w:sz w:val="32"/>
          <w:szCs w:val="32"/>
          <w:lang w:val="en-US" w:eastAsia="zh-CN"/>
        </w:rPr>
        <w:t>09.18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106.22</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bCs/>
          <w:kern w:val="0"/>
          <w:sz w:val="32"/>
          <w:szCs w:val="32"/>
          <w:highlight w:val="none"/>
        </w:rPr>
        <w:t>社会保障和就业支出（类）行政事业单位养老支出（款）行政单位离退休（项）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年初预算为32.57万元，支出决算为40.45万元，完成年初预算的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24.19</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主要</w:t>
      </w:r>
      <w:r>
        <w:rPr>
          <w:rFonts w:hint="eastAsia" w:ascii="仿宋_GB2312" w:eastAsia="仿宋_GB2312" w:cs="仿宋_GB2312"/>
          <w:kern w:val="0"/>
          <w:sz w:val="32"/>
          <w:szCs w:val="32"/>
          <w:highlight w:val="none"/>
          <w:lang w:eastAsia="zh-CN"/>
        </w:rPr>
        <w:t>原因是</w:t>
      </w:r>
      <w:r>
        <w:rPr>
          <w:rFonts w:hint="eastAsia" w:ascii="仿宋_GB2312" w:hAnsi="黑体" w:eastAsia="仿宋_GB2312" w:cs="仿宋_GB2312"/>
          <w:kern w:val="0"/>
          <w:sz w:val="32"/>
          <w:szCs w:val="32"/>
          <w:lang w:eastAsia="zh-CN"/>
        </w:rPr>
        <w:t>机构改革，县区上划市本级退休人员增加，追加退休人员经费。</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社会保障和就业支出（类）行政事业单位养老支出（款）机关事业单位基本养老保险缴费支出（项）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年初预算为226.74万元，支出决算为226.74万元，完成年初预算的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00</w:t>
      </w:r>
      <w:r>
        <w:rPr>
          <w:rFonts w:hint="eastAsia" w:ascii="仿宋_GB2312" w:hAnsi="黑体" w:eastAsia="仿宋_GB2312" w:cs="仿宋_GB2312"/>
          <w:kern w:val="0"/>
          <w:sz w:val="32"/>
          <w:szCs w:val="32"/>
          <w:highlight w:val="none"/>
        </w:rPr>
        <w:t>%。</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rPr>
      </w:pPr>
      <w:r>
        <w:rPr>
          <w:rFonts w:hint="eastAsia" w:ascii="仿宋_GB2312" w:eastAsia="仿宋_GB2312" w:cs="仿宋_GB2312"/>
          <w:bCs/>
          <w:kern w:val="0"/>
          <w:sz w:val="32"/>
          <w:szCs w:val="32"/>
          <w:highlight w:val="none"/>
        </w:rPr>
        <w:t>社会保障和就业支出（类）行政事业单位养老支出（款）机关事业单位职业年金缴费支出（项）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年初预算为113.37万元，支出决算为113.37万元，完成年初预算的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00</w:t>
      </w:r>
      <w:r>
        <w:rPr>
          <w:rFonts w:hint="eastAsia" w:ascii="仿宋_GB2312" w:hAnsi="黑体" w:eastAsia="仿宋_GB2312" w:cs="仿宋_GB2312"/>
          <w:kern w:val="0"/>
          <w:sz w:val="32"/>
          <w:szCs w:val="32"/>
          <w:highlight w:val="none"/>
        </w:rPr>
        <w:t>%。</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rPr>
        <w:t>卫生健康支出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行政事业单位医疗</w:t>
      </w:r>
      <w:r>
        <w:rPr>
          <w:rFonts w:hint="eastAsia" w:ascii="仿宋_GB2312" w:eastAsia="仿宋_GB2312" w:cs="仿宋_GB2312"/>
          <w:bCs/>
          <w:kern w:val="0"/>
          <w:sz w:val="32"/>
          <w:szCs w:val="32"/>
          <w:highlight w:val="none"/>
        </w:rPr>
        <w:t>（款）机关</w:t>
      </w:r>
      <w:r>
        <w:rPr>
          <w:rFonts w:hint="eastAsia" w:ascii="仿宋_GB2312" w:eastAsia="仿宋_GB2312" w:cs="仿宋_GB2312"/>
          <w:kern w:val="0"/>
          <w:sz w:val="32"/>
          <w:szCs w:val="32"/>
        </w:rPr>
        <w:t>行政单位医疗</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年初预算为110.54万元，支出决算为110.54万元，完成年初预算的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00</w:t>
      </w:r>
      <w:r>
        <w:rPr>
          <w:rFonts w:hint="eastAsia" w:ascii="仿宋_GB2312" w:hAnsi="黑体" w:eastAsia="仿宋_GB2312" w:cs="仿宋_GB2312"/>
          <w:kern w:val="0"/>
          <w:sz w:val="32"/>
          <w:szCs w:val="32"/>
          <w:highlight w:val="none"/>
        </w:rPr>
        <w:t>%。</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rPr>
        <w:t>卫生健康支出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行政事业单位医疗</w:t>
      </w:r>
      <w:r>
        <w:rPr>
          <w:rFonts w:hint="eastAsia" w:ascii="仿宋_GB2312" w:eastAsia="仿宋_GB2312" w:cs="仿宋_GB2312"/>
          <w:bCs/>
          <w:kern w:val="0"/>
          <w:sz w:val="32"/>
          <w:szCs w:val="32"/>
          <w:highlight w:val="none"/>
        </w:rPr>
        <w:t>（款）公务员医疗补助（项）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年初预算为45.07万元，支出决算为49.55万元，完成年初预算的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09.94</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主要原因是追加公务员医疗补助支出。</w:t>
      </w:r>
    </w:p>
    <w:p>
      <w:pPr>
        <w:numPr>
          <w:ilvl w:val="0"/>
          <w:numId w:val="1"/>
        </w:numPr>
        <w:autoSpaceDE w:val="0"/>
        <w:autoSpaceDN w:val="0"/>
        <w:adjustRightInd w:val="0"/>
        <w:spacing w:line="560" w:lineRule="exact"/>
        <w:ind w:left="0" w:leftChars="0" w:firstLine="420" w:firstLineChars="0"/>
        <w:jc w:val="left"/>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rPr>
        <w:t>卫生健康支出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行政事业单位医疗</w:t>
      </w:r>
      <w:r>
        <w:rPr>
          <w:rFonts w:hint="eastAsia" w:ascii="仿宋_GB2312" w:eastAsia="仿宋_GB2312" w:cs="仿宋_GB2312"/>
          <w:bCs/>
          <w:kern w:val="0"/>
          <w:sz w:val="32"/>
          <w:szCs w:val="32"/>
          <w:highlight w:val="none"/>
        </w:rPr>
        <w:t>（款）其他行政事业单位医疗支出（项）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0.29</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0.29</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00</w:t>
      </w:r>
      <w:r>
        <w:rPr>
          <w:rFonts w:hint="eastAsia" w:ascii="仿宋_GB2312" w:hAnsi="黑体" w:eastAsia="仿宋_GB2312" w:cs="仿宋_GB2312"/>
          <w:kern w:val="0"/>
          <w:sz w:val="32"/>
          <w:szCs w:val="32"/>
          <w:highlight w:val="none"/>
        </w:rPr>
        <w:t>%。</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环境保护管理事务</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行政运行</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年初预算为2045.41万元，支出决算为</w:t>
      </w:r>
      <w:r>
        <w:rPr>
          <w:rFonts w:hint="eastAsia" w:ascii="仿宋_GB2312" w:hAnsi="黑体" w:eastAsia="仿宋_GB2312" w:cs="仿宋_GB2312"/>
          <w:kern w:val="0"/>
          <w:sz w:val="32"/>
          <w:szCs w:val="32"/>
          <w:highlight w:val="none"/>
          <w:lang w:val="en-US" w:eastAsia="zh-CN"/>
        </w:rPr>
        <w:t>2185.84</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eastAsia="zh-CN"/>
        </w:rPr>
        <w:t>1</w:t>
      </w:r>
      <w:r>
        <w:rPr>
          <w:rFonts w:hint="eastAsia" w:ascii="仿宋_GB2312" w:hAnsi="黑体" w:eastAsia="仿宋_GB2312" w:cs="仿宋_GB2312"/>
          <w:kern w:val="0"/>
          <w:sz w:val="32"/>
          <w:szCs w:val="32"/>
          <w:highlight w:val="none"/>
          <w:lang w:val="en-US" w:eastAsia="zh-CN"/>
        </w:rPr>
        <w:t>06.87</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主要原因是年中追加人员变动工资、公用经费等支出。</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环境保护管理事务</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一般行政管理事务</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年初预算为40.58万元，支出决算为25.65万元，完成年初预算的</w:t>
      </w:r>
      <w:r>
        <w:rPr>
          <w:rFonts w:hint="eastAsia" w:ascii="仿宋_GB2312" w:hAnsi="黑体" w:eastAsia="仿宋_GB2312" w:cs="仿宋_GB2312"/>
          <w:kern w:val="0"/>
          <w:sz w:val="32"/>
          <w:szCs w:val="32"/>
          <w:highlight w:val="none"/>
          <w:lang w:eastAsia="zh-CN"/>
        </w:rPr>
        <w:t>63.21%</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主要原因是项目尾款尚未支付。</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环境监测与监察</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其他环境监测与监察支出</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年初预算为386.00万元，支出决算为131.01万元，完成年初预算的</w:t>
      </w:r>
      <w:r>
        <w:rPr>
          <w:rFonts w:hint="eastAsia" w:ascii="仿宋_GB2312" w:hAnsi="黑体" w:eastAsia="仿宋_GB2312" w:cs="仿宋_GB2312"/>
          <w:kern w:val="0"/>
          <w:sz w:val="32"/>
          <w:szCs w:val="32"/>
          <w:highlight w:val="none"/>
          <w:lang w:val="en-US" w:eastAsia="zh-CN"/>
        </w:rPr>
        <w:t>33.94</w:t>
      </w:r>
      <w:r>
        <w:rPr>
          <w:rFonts w:hint="eastAsia" w:ascii="仿宋_GB2312" w:hAnsi="黑体"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主要原因是跨年预算项目，资金按项目进度支付，项目款尚未支付完毕。</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污染防治</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大气</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年初预算为104.86万元，支出决算为93.78万元，完成年初预算的89.43%。</w:t>
      </w:r>
      <w:r>
        <w:rPr>
          <w:rFonts w:hint="eastAsia" w:ascii="仿宋_GB2312" w:hAnsi="黑体" w:eastAsia="仿宋_GB2312" w:cs="仿宋_GB2312"/>
          <w:kern w:val="0"/>
          <w:sz w:val="32"/>
          <w:szCs w:val="32"/>
          <w:highlight w:val="none"/>
          <w:lang w:eastAsia="zh-CN"/>
        </w:rPr>
        <w:t>主要原因是项目尾款尚未支付。</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污染防治</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其他污染防治支出</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年初预算为50.79万元，支出决算为433.92万元，完成年初预算的8</w:t>
      </w:r>
      <w:r>
        <w:rPr>
          <w:rFonts w:hint="eastAsia" w:ascii="仿宋_GB2312" w:hAnsi="黑体" w:eastAsia="仿宋_GB2312" w:cs="仿宋_GB2312"/>
          <w:kern w:val="0"/>
          <w:sz w:val="32"/>
          <w:szCs w:val="32"/>
          <w:highlight w:val="none"/>
          <w:lang w:val="en-US" w:eastAsia="zh-CN"/>
        </w:rPr>
        <w:t>54.34</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主要原因是年中追加环保专项资金及减排专项资金。</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污染减排</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生态环境执法监察</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年初预算为216.29万元，支出决算为210.71万元，完成年初预算的97.42%。</w:t>
      </w:r>
      <w:r>
        <w:rPr>
          <w:rFonts w:hint="eastAsia" w:ascii="仿宋_GB2312" w:hAnsi="黑体" w:eastAsia="仿宋_GB2312" w:cs="仿宋_GB2312"/>
          <w:kern w:val="0"/>
          <w:sz w:val="32"/>
          <w:szCs w:val="32"/>
          <w:highlight w:val="none"/>
          <w:lang w:eastAsia="zh-CN"/>
        </w:rPr>
        <w:t>主要原因是项目资金结余。</w:t>
      </w:r>
    </w:p>
    <w:p>
      <w:pPr>
        <w:numPr>
          <w:ilvl w:val="0"/>
          <w:numId w:val="1"/>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节能环保支出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污染减排</w:t>
      </w:r>
      <w:r>
        <w:rPr>
          <w:rFonts w:hint="eastAsia" w:ascii="仿宋_GB2312" w:eastAsia="仿宋_GB2312" w:cs="仿宋_GB2312"/>
          <w:bCs/>
          <w:kern w:val="0"/>
          <w:sz w:val="32"/>
          <w:szCs w:val="32"/>
          <w:highlight w:val="none"/>
        </w:rPr>
        <w:t>（款）减排专项支出（项）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0</w:t>
      </w:r>
      <w:r>
        <w:rPr>
          <w:rFonts w:hint="eastAsia" w:ascii="仿宋_GB2312" w:hAnsi="黑体" w:eastAsia="仿宋_GB2312" w:cs="仿宋_GB2312"/>
          <w:kern w:val="0"/>
          <w:sz w:val="32"/>
          <w:szCs w:val="32"/>
          <w:highlight w:val="none"/>
        </w:rPr>
        <w:t>万元，支出决算为17.27万元。</w:t>
      </w:r>
      <w:r>
        <w:rPr>
          <w:rFonts w:hint="eastAsia" w:ascii="仿宋_GB2312" w:hAnsi="黑体" w:eastAsia="仿宋_GB2312" w:cs="仿宋_GB2312"/>
          <w:kern w:val="0"/>
          <w:sz w:val="32"/>
          <w:szCs w:val="32"/>
          <w:highlight w:val="none"/>
          <w:lang w:eastAsia="zh-CN"/>
        </w:rPr>
        <w:t>主要原因是上年结转资金。</w:t>
      </w:r>
    </w:p>
    <w:p>
      <w:pPr>
        <w:numPr>
          <w:ilvl w:val="0"/>
          <w:numId w:val="1"/>
        </w:numPr>
        <w:autoSpaceDE w:val="0"/>
        <w:autoSpaceDN w:val="0"/>
        <w:adjustRightInd w:val="0"/>
        <w:spacing w:line="560" w:lineRule="exact"/>
        <w:ind w:left="0" w:leftChars="0" w:firstLine="420" w:firstLineChars="0"/>
        <w:jc w:val="left"/>
        <w:rPr>
          <w:rFonts w:hint="eastAsia" w:ascii="黑体" w:hAnsi="黑体" w:eastAsia="黑体" w:cs="仿宋_GB2312"/>
          <w:kern w:val="0"/>
          <w:sz w:val="32"/>
          <w:szCs w:val="32"/>
        </w:rPr>
      </w:pPr>
      <w:r>
        <w:rPr>
          <w:rFonts w:hint="eastAsia" w:ascii="仿宋_GB2312" w:eastAsia="仿宋_GB2312" w:cs="仿宋_GB2312"/>
          <w:kern w:val="0"/>
          <w:sz w:val="32"/>
          <w:szCs w:val="32"/>
        </w:rPr>
        <w:t>住房保障支出</w:t>
      </w:r>
      <w:r>
        <w:rPr>
          <w:rFonts w:hint="eastAsia" w:ascii="仿宋_GB2312" w:eastAsia="仿宋_GB2312" w:cs="仿宋_GB2312"/>
          <w:bCs/>
          <w:kern w:val="0"/>
          <w:sz w:val="32"/>
          <w:szCs w:val="32"/>
          <w:highlight w:val="none"/>
        </w:rPr>
        <w:t>（类）</w:t>
      </w:r>
      <w:r>
        <w:rPr>
          <w:rFonts w:hint="eastAsia" w:ascii="仿宋_GB2312" w:eastAsia="仿宋_GB2312" w:cs="仿宋_GB2312"/>
          <w:kern w:val="0"/>
          <w:sz w:val="32"/>
          <w:szCs w:val="32"/>
        </w:rPr>
        <w:t>住房改革支出</w:t>
      </w:r>
      <w:r>
        <w:rPr>
          <w:rFonts w:hint="eastAsia" w:ascii="仿宋_GB2312" w:eastAsia="仿宋_GB2312" w:cs="仿宋_GB2312"/>
          <w:bCs/>
          <w:kern w:val="0"/>
          <w:sz w:val="32"/>
          <w:szCs w:val="32"/>
          <w:highlight w:val="none"/>
        </w:rPr>
        <w:t>（款）</w:t>
      </w:r>
      <w:r>
        <w:rPr>
          <w:rFonts w:hint="eastAsia" w:ascii="仿宋_GB2312" w:eastAsia="仿宋_GB2312" w:cs="仿宋_GB2312"/>
          <w:kern w:val="0"/>
          <w:sz w:val="32"/>
          <w:szCs w:val="32"/>
        </w:rPr>
        <w:t>住房公积金</w:t>
      </w:r>
      <w:r>
        <w:rPr>
          <w:rFonts w:hint="eastAsia" w:ascii="仿宋_GB2312" w:eastAsia="仿宋_GB2312" w:cs="仿宋_GB2312"/>
          <w:bCs/>
          <w:kern w:val="0"/>
          <w:sz w:val="32"/>
          <w:szCs w:val="32"/>
          <w:highlight w:val="none"/>
        </w:rPr>
        <w:t>（项）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年初预算为170.06万元，支出决算为170.06万元。完成年初预算的100.00%</w:t>
      </w:r>
      <w:r>
        <w:rPr>
          <w:rFonts w:hint="eastAsia" w:ascii="仿宋_GB2312" w:hAnsi="黑体" w:eastAsia="仿宋_GB2312" w:cs="仿宋_GB2312"/>
          <w:kern w:val="0"/>
          <w:sz w:val="32"/>
          <w:szCs w:val="32"/>
          <w:highlight w:val="none"/>
          <w:lang w:eastAsia="zh-CN"/>
        </w:rPr>
        <w:t>。</w:t>
      </w:r>
    </w:p>
    <w:p>
      <w:pPr>
        <w:numPr>
          <w:ilvl w:val="0"/>
          <w:numId w:val="0"/>
        </w:numPr>
        <w:autoSpaceDE w:val="0"/>
        <w:autoSpaceDN w:val="0"/>
        <w:adjustRightInd w:val="0"/>
        <w:spacing w:line="560" w:lineRule="exact"/>
        <w:ind w:left="420" w:leftChars="0" w:firstLine="320" w:firstLineChars="1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2896.83</w:t>
      </w:r>
      <w:r>
        <w:rPr>
          <w:rFonts w:hint="eastAsia" w:ascii="仿宋_GB2312" w:eastAsia="仿宋_GB2312" w:cs="仿宋_GB2312"/>
          <w:kern w:val="0"/>
          <w:sz w:val="32"/>
          <w:szCs w:val="32"/>
        </w:rPr>
        <w:t>万元，支出具体情况如下：</w:t>
      </w:r>
    </w:p>
    <w:p>
      <w:pPr>
        <w:numPr>
          <w:ilvl w:val="0"/>
          <w:numId w:val="2"/>
        </w:numPr>
        <w:autoSpaceDE w:val="0"/>
        <w:autoSpaceDN w:val="0"/>
        <w:adjustRightInd w:val="0"/>
        <w:spacing w:line="560" w:lineRule="exact"/>
        <w:ind w:left="0" w:leftChars="0" w:firstLine="420" w:firstLineChars="0"/>
        <w:jc w:val="left"/>
        <w:rPr>
          <w:rFonts w:hint="eastAsia" w:ascii="仿宋_GB2312" w:eastAsia="仿宋_GB2312"/>
          <w:bCs/>
          <w:kern w:val="0"/>
          <w:sz w:val="32"/>
          <w:szCs w:val="32"/>
        </w:rPr>
      </w:pPr>
      <w:r>
        <w:rPr>
          <w:rFonts w:hint="eastAsia" w:ascii="仿宋_GB2312" w:eastAsia="仿宋_GB2312"/>
          <w:bCs/>
          <w:kern w:val="0"/>
          <w:sz w:val="32"/>
          <w:szCs w:val="32"/>
        </w:rPr>
        <w:t>工资福利支出2375.26万元，完成年初预算的</w:t>
      </w:r>
      <w:r>
        <w:rPr>
          <w:rFonts w:hint="eastAsia" w:ascii="仿宋_GB2312" w:eastAsia="仿宋_GB2312"/>
          <w:bCs/>
          <w:kern w:val="0"/>
          <w:sz w:val="32"/>
          <w:szCs w:val="32"/>
          <w:lang w:val="en-US" w:eastAsia="zh-CN"/>
        </w:rPr>
        <w:t>106.75</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的主要原因是：</w:t>
      </w:r>
      <w:r>
        <w:rPr>
          <w:rFonts w:hint="eastAsia" w:ascii="仿宋_GB2312" w:hAnsi="黑体" w:eastAsia="仿宋_GB2312" w:cs="仿宋_GB2312"/>
          <w:kern w:val="0"/>
          <w:sz w:val="32"/>
          <w:szCs w:val="32"/>
          <w:lang w:eastAsia="zh-CN"/>
        </w:rPr>
        <w:t>机构改革，县区上划市本级人员增加，追加人员变动经费</w:t>
      </w:r>
      <w:r>
        <w:rPr>
          <w:rFonts w:hint="eastAsia" w:ascii="仿宋_GB2312" w:eastAsia="仿宋_GB2312"/>
          <w:bCs/>
          <w:kern w:val="0"/>
          <w:sz w:val="32"/>
          <w:szCs w:val="32"/>
          <w:lang w:eastAsia="zh-CN"/>
        </w:rPr>
        <w:t>。</w:t>
      </w:r>
    </w:p>
    <w:p>
      <w:pPr>
        <w:numPr>
          <w:ilvl w:val="0"/>
          <w:numId w:val="2"/>
        </w:numPr>
        <w:autoSpaceDE w:val="0"/>
        <w:autoSpaceDN w:val="0"/>
        <w:adjustRightInd w:val="0"/>
        <w:spacing w:line="560" w:lineRule="exact"/>
        <w:ind w:left="0" w:leftChars="0" w:firstLine="420" w:firstLineChars="0"/>
        <w:jc w:val="left"/>
        <w:rPr>
          <w:rFonts w:hint="eastAsia" w:ascii="仿宋_GB2312" w:eastAsia="仿宋_GB2312"/>
          <w:bCs/>
          <w:kern w:val="0"/>
          <w:sz w:val="32"/>
          <w:szCs w:val="32"/>
        </w:rPr>
      </w:pPr>
      <w:r>
        <w:rPr>
          <w:rFonts w:hint="eastAsia" w:ascii="仿宋_GB2312" w:eastAsia="仿宋_GB2312"/>
          <w:bCs/>
          <w:kern w:val="0"/>
          <w:sz w:val="32"/>
          <w:szCs w:val="32"/>
        </w:rPr>
        <w:t>商品和服务支出488.14万元，完成年初预算的</w:t>
      </w:r>
      <w:r>
        <w:rPr>
          <w:rFonts w:hint="eastAsia" w:ascii="仿宋_GB2312" w:eastAsia="仿宋_GB2312"/>
          <w:bCs/>
          <w:kern w:val="0"/>
          <w:sz w:val="32"/>
          <w:szCs w:val="32"/>
          <w:lang w:val="en-US" w:eastAsia="zh-CN"/>
        </w:rPr>
        <w:t>99.53</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的主要原因是：压减公用经费开支。</w:t>
      </w:r>
    </w:p>
    <w:p>
      <w:pPr>
        <w:numPr>
          <w:ilvl w:val="0"/>
          <w:numId w:val="2"/>
        </w:numPr>
        <w:autoSpaceDE w:val="0"/>
        <w:autoSpaceDN w:val="0"/>
        <w:adjustRightInd w:val="0"/>
        <w:spacing w:line="560" w:lineRule="exact"/>
        <w:ind w:left="0" w:leftChars="0" w:firstLine="420" w:firstLineChars="0"/>
        <w:jc w:val="left"/>
        <w:rPr>
          <w:rFonts w:hint="eastAsia" w:ascii="仿宋_GB2312" w:eastAsia="仿宋_GB2312"/>
          <w:bCs/>
          <w:kern w:val="0"/>
          <w:sz w:val="32"/>
          <w:szCs w:val="32"/>
        </w:rPr>
      </w:pPr>
      <w:r>
        <w:rPr>
          <w:rFonts w:hint="eastAsia" w:ascii="仿宋_GB2312" w:eastAsia="仿宋_GB2312"/>
          <w:bCs/>
          <w:kern w:val="0"/>
          <w:sz w:val="32"/>
          <w:szCs w:val="32"/>
        </w:rPr>
        <w:t>对个人和家庭的补助32.99万元，完成年初预算的</w:t>
      </w:r>
      <w:r>
        <w:rPr>
          <w:rFonts w:hint="eastAsia" w:ascii="仿宋_GB2312" w:eastAsia="仿宋_GB2312"/>
          <w:bCs/>
          <w:kern w:val="0"/>
          <w:sz w:val="32"/>
          <w:szCs w:val="32"/>
          <w:lang w:val="en-US" w:eastAsia="zh-CN"/>
        </w:rPr>
        <w:t>116.65</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的主要原因是：</w:t>
      </w:r>
      <w:r>
        <w:rPr>
          <w:rFonts w:hint="eastAsia" w:ascii="仿宋_GB2312" w:hAnsi="黑体" w:eastAsia="仿宋_GB2312" w:cs="仿宋_GB2312"/>
          <w:kern w:val="0"/>
          <w:sz w:val="32"/>
          <w:szCs w:val="32"/>
          <w:lang w:eastAsia="zh-CN"/>
        </w:rPr>
        <w:t>机构改革，县区上划市本级退休人员增加，</w:t>
      </w:r>
      <w:r>
        <w:rPr>
          <w:rFonts w:hint="eastAsia" w:ascii="仿宋_GB2312" w:eastAsia="仿宋_GB2312"/>
          <w:bCs/>
          <w:kern w:val="0"/>
          <w:sz w:val="32"/>
          <w:szCs w:val="32"/>
          <w:lang w:eastAsia="zh-CN"/>
        </w:rPr>
        <w:t>财政追加退休人员经费。</w:t>
      </w:r>
    </w:p>
    <w:p>
      <w:pPr>
        <w:numPr>
          <w:ilvl w:val="0"/>
          <w:numId w:val="2"/>
        </w:numPr>
        <w:autoSpaceDE w:val="0"/>
        <w:autoSpaceDN w:val="0"/>
        <w:adjustRightInd w:val="0"/>
        <w:spacing w:line="560" w:lineRule="exact"/>
        <w:ind w:left="0" w:leftChars="0" w:firstLine="420" w:firstLineChars="0"/>
        <w:jc w:val="left"/>
        <w:rPr>
          <w:rFonts w:hint="eastAsia" w:ascii="仿宋_GB2312" w:eastAsia="仿宋_GB2312" w:cs="仿宋_GB2312"/>
          <w:kern w:val="0"/>
          <w:sz w:val="32"/>
          <w:szCs w:val="32"/>
        </w:rPr>
      </w:pPr>
      <w:r>
        <w:rPr>
          <w:rFonts w:hint="eastAsia" w:ascii="仿宋_GB2312" w:eastAsia="仿宋_GB2312"/>
          <w:bCs/>
          <w:kern w:val="0"/>
          <w:sz w:val="32"/>
          <w:szCs w:val="32"/>
          <w:lang w:eastAsia="zh-CN"/>
        </w:rPr>
        <w:t>资本性支出</w:t>
      </w:r>
      <w:r>
        <w:rPr>
          <w:rFonts w:hint="eastAsia" w:ascii="仿宋_GB2312" w:eastAsia="仿宋_GB2312"/>
          <w:bCs/>
          <w:kern w:val="0"/>
          <w:sz w:val="32"/>
          <w:szCs w:val="32"/>
          <w:lang w:val="en-US" w:eastAsia="zh-CN"/>
        </w:rPr>
        <w:t>0.44万元，预决算差异的主要原因是：购买了办公设备。</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b w:val="0"/>
          <w:bCs w:val="0"/>
          <w:kern w:val="0"/>
          <w:sz w:val="32"/>
          <w:szCs w:val="32"/>
        </w:rPr>
        <w:t>柳州市生态环境保护综合行政执法支队2</w:t>
      </w:r>
      <w:r>
        <w:rPr>
          <w:rFonts w:ascii="仿宋_GB2312" w:eastAsia="仿宋_GB2312" w:cs="仿宋_GB2312"/>
          <w:b w:val="0"/>
          <w:bCs w:val="0"/>
          <w:kern w:val="0"/>
          <w:sz w:val="32"/>
          <w:szCs w:val="32"/>
        </w:rPr>
        <w:t>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b w:val="0"/>
          <w:bCs w:val="0"/>
          <w:kern w:val="0"/>
          <w:sz w:val="32"/>
          <w:szCs w:val="32"/>
        </w:rPr>
        <w:t>柳州市生态环境保护综合行政执法支队2</w:t>
      </w:r>
      <w:r>
        <w:rPr>
          <w:rFonts w:ascii="仿宋_GB2312" w:eastAsia="仿宋_GB2312" w:cs="仿宋_GB2312"/>
          <w:b w:val="0"/>
          <w:bCs w:val="0"/>
          <w:kern w:val="0"/>
          <w:sz w:val="32"/>
          <w:szCs w:val="32"/>
        </w:rPr>
        <w:t>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w:t>
      </w:r>
      <w:r>
        <w:rPr>
          <w:rFonts w:hint="eastAsia" w:ascii="仿宋_GB2312" w:eastAsia="仿宋_GB2312"/>
          <w:b w:val="0"/>
          <w:bCs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b w:val="0"/>
          <w:bCs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公共预算财政拨款安排的“三公”经费支出10.78万元，完成年初预算的</w:t>
      </w:r>
      <w:r>
        <w:rPr>
          <w:rFonts w:hint="eastAsia" w:ascii="仿宋_GB2312" w:eastAsia="仿宋_GB2312" w:cs="仿宋_GB2312"/>
          <w:kern w:val="0"/>
          <w:sz w:val="32"/>
          <w:szCs w:val="32"/>
          <w:lang w:val="en-US" w:eastAsia="zh-CN"/>
        </w:rPr>
        <w:t>83.70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2.1</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eastAsia="zh-CN"/>
        </w:rPr>
        <w:t>公务接待费用减少</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4.78</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numPr>
          <w:ilvl w:val="0"/>
          <w:numId w:val="3"/>
        </w:numPr>
        <w:autoSpaceDE w:val="0"/>
        <w:autoSpaceDN w:val="0"/>
        <w:adjustRightInd w:val="0"/>
        <w:spacing w:line="560" w:lineRule="exact"/>
        <w:ind w:firstLine="640" w:firstLineChars="200"/>
        <w:jc w:val="left"/>
        <w:rPr>
          <w:rFonts w:hint="eastAsia" w:ascii="仿宋_GB2312" w:hAnsi="黑体" w:eastAsia="仿宋_GB2312"/>
          <w:bCs/>
          <w:color w:val="000000"/>
          <w:sz w:val="32"/>
          <w:szCs w:val="32"/>
        </w:rPr>
      </w:pPr>
      <w:r>
        <w:rPr>
          <w:rFonts w:hint="eastAsia" w:ascii="仿宋_GB2312" w:eastAsia="仿宋_GB2312" w:cs="仿宋_GB2312"/>
          <w:kern w:val="0"/>
          <w:sz w:val="32"/>
          <w:szCs w:val="32"/>
        </w:rPr>
        <w:t>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万元，比上年</w:t>
      </w:r>
      <w:r>
        <w:rPr>
          <w:rFonts w:hint="eastAsia" w:ascii="仿宋_GB2312" w:eastAsia="仿宋_GB2312" w:cs="仿宋_GB2312"/>
          <w:kern w:val="0"/>
          <w:sz w:val="32"/>
          <w:szCs w:val="32"/>
          <w:lang w:eastAsia="zh-CN"/>
        </w:rPr>
        <w:t>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万元。全年使用财政拨款安排</w:t>
      </w:r>
      <w:r>
        <w:rPr>
          <w:rFonts w:hint="eastAsia" w:ascii="仿宋_GB2312" w:hAnsi="黑体" w:eastAsia="仿宋_GB2312"/>
          <w:bCs/>
          <w:color w:val="000000"/>
          <w:sz w:val="32"/>
          <w:szCs w:val="32"/>
        </w:rPr>
        <w:t>机关、个所属单位出国团组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w:t>
      </w:r>
    </w:p>
    <w:p>
      <w:pPr>
        <w:numPr>
          <w:ilvl w:val="0"/>
          <w:numId w:val="3"/>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公务用车购置及运行费支出</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万元。其中：</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万元。购置了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辆公务用车</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万元。主要用于机要文件交换、市内因公出行以及开展  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cs="仿宋_GB2312"/>
          <w:b w:val="0"/>
          <w:bCs w:val="0"/>
          <w:kern w:val="0"/>
          <w:sz w:val="32"/>
          <w:szCs w:val="32"/>
        </w:rPr>
        <w:t>柳州市生态环境保护综合行政执法支队</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3</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6</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2</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4.78</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69.48</w:t>
      </w:r>
      <w:r>
        <w:rPr>
          <w:rFonts w:hint="eastAsia" w:ascii="仿宋_GB2312" w:eastAsia="仿宋_GB2312" w:cs="仿宋_GB2312"/>
          <w:kern w:val="0"/>
          <w:sz w:val="32"/>
          <w:szCs w:val="32"/>
        </w:rPr>
        <w:t>%，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3.27</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接待上级工作检查次数增加</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23</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498</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488.58</w:t>
      </w:r>
      <w:r>
        <w:rPr>
          <w:rFonts w:hint="eastAsia" w:ascii="仿宋_GB2312" w:eastAsia="仿宋_GB2312" w:cs="仿宋_GB2312"/>
          <w:kern w:val="0"/>
          <w:sz w:val="32"/>
          <w:szCs w:val="32"/>
        </w:rPr>
        <w:t>万元，比年初预算数减少</w:t>
      </w:r>
      <w:r>
        <w:rPr>
          <w:rFonts w:hint="eastAsia" w:ascii="仿宋_GB2312" w:eastAsia="仿宋_GB2312" w:cs="仿宋_GB2312"/>
          <w:kern w:val="0"/>
          <w:sz w:val="32"/>
          <w:szCs w:val="32"/>
          <w:lang w:val="en-US" w:eastAsia="zh-CN"/>
        </w:rPr>
        <w:t>490.44</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0.38</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压减公用经费开支</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年增加</w:t>
      </w:r>
      <w:r>
        <w:rPr>
          <w:rFonts w:hint="eastAsia" w:ascii="仿宋_GB2312" w:eastAsia="仿宋_GB2312" w:cs="仿宋_GB2312"/>
          <w:kern w:val="0"/>
          <w:sz w:val="32"/>
          <w:szCs w:val="32"/>
          <w:lang w:val="en-US" w:eastAsia="zh-CN"/>
        </w:rPr>
        <w:t>283.95</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138.76</w:t>
      </w:r>
      <w:r>
        <w:rPr>
          <w:rFonts w:hint="eastAsia" w:ascii="仿宋_GB2312" w:eastAsia="仿宋_GB2312" w:cs="仿宋_GB2312"/>
          <w:kern w:val="0"/>
          <w:sz w:val="32"/>
          <w:szCs w:val="32"/>
        </w:rPr>
        <w:t>%。主要原因是：</w:t>
      </w:r>
      <w:r>
        <w:rPr>
          <w:rFonts w:hint="eastAsia" w:ascii="仿宋_GB2312" w:hAnsi="黑体" w:eastAsia="仿宋_GB2312" w:cs="仿宋_GB2312"/>
          <w:kern w:val="0"/>
          <w:sz w:val="32"/>
          <w:szCs w:val="32"/>
          <w:lang w:eastAsia="zh-CN"/>
        </w:rPr>
        <w:t>机构改革，县区上划市本级人员增加</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年度政府采购支出总额1284</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9</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万元，其中：政府采购货物支出374</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70万元、政府采购工程支出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万元、政府采购服务支出910</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28万元。授予中小企业合同金额1284</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9</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%，其中：授予小微企业合同金额1199</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8</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93.37</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台（套），单价100万元以上专用设备</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台（套）。</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2021年度一般公共预算项目支出全面开展绩效自评。共涉及资金248.4万元，占一般公共预算项目支出总额的26.22%。组织对2021年度0个政府性基金预算项目支出开展绩效自评，共涉及资金0万元，占政府性基金预算项目支出总额的0%。</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共组织对“污染源监督性监测及执法监测工作经费项目”“聘用人员经费”等3个项目进行了绩效评价，涉及一般公共预算支出248.4万元，政府性基金预算支出0万元。其中，“污染源监督性监测及执法监测工作经费项目”“聘用人员经费”“机动车污染防治监管专项项目”3个项目均由“柳州市</w:t>
      </w:r>
      <w:r>
        <w:rPr>
          <w:rFonts w:hint="eastAsia" w:ascii="仿宋_GB2312" w:eastAsia="仿宋_GB2312" w:cs="仿宋_GB2312"/>
          <w:kern w:val="0"/>
          <w:sz w:val="32"/>
          <w:szCs w:val="32"/>
          <w:lang w:eastAsia="zh-CN"/>
        </w:rPr>
        <w:t>财政预算</w:t>
      </w:r>
      <w:r>
        <w:rPr>
          <w:rFonts w:hint="eastAsia" w:ascii="仿宋_GB2312" w:eastAsia="仿宋_GB2312" w:cs="仿宋_GB2312"/>
          <w:kern w:val="0"/>
          <w:sz w:val="32"/>
          <w:szCs w:val="32"/>
        </w:rPr>
        <w:t>绩效管理</w:t>
      </w:r>
      <w:r>
        <w:rPr>
          <w:rFonts w:hint="eastAsia" w:ascii="仿宋_GB2312" w:eastAsia="仿宋_GB2312" w:cs="仿宋_GB2312"/>
          <w:kern w:val="0"/>
          <w:sz w:val="32"/>
          <w:szCs w:val="32"/>
          <w:lang w:eastAsia="zh-CN"/>
        </w:rPr>
        <w:t>中心</w:t>
      </w:r>
      <w:r>
        <w:rPr>
          <w:rFonts w:hint="eastAsia" w:ascii="仿宋_GB2312" w:eastAsia="仿宋_GB2312" w:cs="仿宋_GB2312"/>
          <w:kern w:val="0"/>
          <w:sz w:val="32"/>
          <w:szCs w:val="32"/>
        </w:rPr>
        <w:t>”开展绩效评价。目前预算评价尚未得出。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柳州市生态环境保护综合行政执法支队1个单位开展整体支出绩效评价试点，涉及一般公共预算支出3809.18万元，政府性基金预算支出0万元。其中，对“柳州市生态环境保护综合行政执法支队”单位整体支出由“柳州市</w:t>
      </w:r>
      <w:r>
        <w:rPr>
          <w:rFonts w:hint="eastAsia" w:ascii="仿宋_GB2312" w:eastAsia="仿宋_GB2312" w:cs="仿宋_GB2312"/>
          <w:kern w:val="0"/>
          <w:sz w:val="32"/>
          <w:szCs w:val="32"/>
          <w:lang w:eastAsia="zh-CN"/>
        </w:rPr>
        <w:t>财政预算</w:t>
      </w:r>
      <w:r>
        <w:rPr>
          <w:rFonts w:hint="eastAsia" w:ascii="仿宋_GB2312" w:eastAsia="仿宋_GB2312" w:cs="仿宋_GB2312"/>
          <w:kern w:val="0"/>
          <w:sz w:val="32"/>
          <w:szCs w:val="32"/>
        </w:rPr>
        <w:t>绩效管理</w:t>
      </w:r>
      <w:r>
        <w:rPr>
          <w:rFonts w:hint="eastAsia" w:ascii="仿宋_GB2312" w:eastAsia="仿宋_GB2312" w:cs="仿宋_GB2312"/>
          <w:kern w:val="0"/>
          <w:sz w:val="32"/>
          <w:szCs w:val="32"/>
          <w:lang w:eastAsia="zh-CN"/>
        </w:rPr>
        <w:t>中心</w:t>
      </w:r>
      <w:r>
        <w:rPr>
          <w:rFonts w:hint="eastAsia" w:ascii="仿宋_GB2312" w:eastAsia="仿宋_GB2312" w:cs="仿宋_GB2312"/>
          <w:kern w:val="0"/>
          <w:sz w:val="32"/>
          <w:szCs w:val="32"/>
        </w:rPr>
        <w:t>”开展绩效评价。目前预算评价尚未得出。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部门根据年初设定的绩效目标，“污染源监督性监测及执法监测工作经费项目”项目自评得分为92.35分。发现的主要问题及原因是资金合同执行率虽然达标，但实际支付比例不高，存在履行合同条款不及时的现象。下一步改进措施：一是加快推进污染源监督性监测及执法监测工作，按时间节点完成，并待验收后支付尾款；二是提前筹划污染源监督性监测及执法监测采购工作，做到提前准备、充分准备。“聘用人员经费”项目自评得分为100分。“机动车污染防治监管专项项目”项目自评得分为94分。发现的主要问题及原因：一是绩效目标设置不够合理。下一步改进措施：对规划进行重新梳理，合理设置绩效目标。。</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 xml:space="preserve"> </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pgSz w:w="11849" w:h="16781"/>
      <w:pgMar w:top="1440" w:right="1417" w:bottom="1497" w:left="1417" w:header="851" w:footer="992" w:gutter="0"/>
      <w:pgNumType w:fmt="numberInDash"/>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30F96"/>
    <w:multiLevelType w:val="singleLevel"/>
    <w:tmpl w:val="8F030F96"/>
    <w:lvl w:ilvl="0" w:tentative="0">
      <w:start w:val="1"/>
      <w:numFmt w:val="chineseCounting"/>
      <w:suff w:val="nothing"/>
      <w:lvlText w:val="（%1）"/>
      <w:lvlJc w:val="left"/>
      <w:pPr>
        <w:ind w:left="0" w:firstLine="420"/>
      </w:pPr>
      <w:rPr>
        <w:rFonts w:hint="eastAsia"/>
      </w:rPr>
    </w:lvl>
  </w:abstractNum>
  <w:abstractNum w:abstractNumId="1">
    <w:nsid w:val="D9E542C1"/>
    <w:multiLevelType w:val="singleLevel"/>
    <w:tmpl w:val="D9E542C1"/>
    <w:lvl w:ilvl="0" w:tentative="0">
      <w:start w:val="1"/>
      <w:numFmt w:val="chineseCounting"/>
      <w:suff w:val="nothing"/>
      <w:lvlText w:val="（%1）"/>
      <w:lvlJc w:val="left"/>
      <w:pPr>
        <w:ind w:left="0" w:firstLine="420"/>
      </w:pPr>
      <w:rPr>
        <w:rFonts w:hint="eastAsia"/>
      </w:rPr>
    </w:lvl>
  </w:abstractNum>
  <w:abstractNum w:abstractNumId="2">
    <w:nsid w:val="04378101"/>
    <w:multiLevelType w:val="singleLevel"/>
    <w:tmpl w:val="04378101"/>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0F84442"/>
    <w:rsid w:val="028B653B"/>
    <w:rsid w:val="031936BF"/>
    <w:rsid w:val="03DD135F"/>
    <w:rsid w:val="05352423"/>
    <w:rsid w:val="094B45FA"/>
    <w:rsid w:val="0A0C33E4"/>
    <w:rsid w:val="0B424B1D"/>
    <w:rsid w:val="0DA86951"/>
    <w:rsid w:val="0E074DDF"/>
    <w:rsid w:val="0F0F5ED6"/>
    <w:rsid w:val="124204B5"/>
    <w:rsid w:val="13D33F1B"/>
    <w:rsid w:val="14BF4333"/>
    <w:rsid w:val="14F016D4"/>
    <w:rsid w:val="15823E15"/>
    <w:rsid w:val="1612602D"/>
    <w:rsid w:val="16B90A0F"/>
    <w:rsid w:val="178C4E47"/>
    <w:rsid w:val="182962AB"/>
    <w:rsid w:val="19D073EB"/>
    <w:rsid w:val="1A650904"/>
    <w:rsid w:val="1CC31F67"/>
    <w:rsid w:val="1D783DE0"/>
    <w:rsid w:val="2249565E"/>
    <w:rsid w:val="24D337DC"/>
    <w:rsid w:val="26460DBA"/>
    <w:rsid w:val="26D24500"/>
    <w:rsid w:val="2AE10A64"/>
    <w:rsid w:val="2B6F74EB"/>
    <w:rsid w:val="2C1F0B15"/>
    <w:rsid w:val="2C4219FE"/>
    <w:rsid w:val="30743974"/>
    <w:rsid w:val="335718FE"/>
    <w:rsid w:val="34020F86"/>
    <w:rsid w:val="341361ED"/>
    <w:rsid w:val="34953388"/>
    <w:rsid w:val="38873288"/>
    <w:rsid w:val="39A63F06"/>
    <w:rsid w:val="3C017E2C"/>
    <w:rsid w:val="3C3203A9"/>
    <w:rsid w:val="3E6F4772"/>
    <w:rsid w:val="3EA872B2"/>
    <w:rsid w:val="3ED1439F"/>
    <w:rsid w:val="42235D58"/>
    <w:rsid w:val="44500BF5"/>
    <w:rsid w:val="44560C84"/>
    <w:rsid w:val="47F43786"/>
    <w:rsid w:val="48374EDC"/>
    <w:rsid w:val="4C256E3D"/>
    <w:rsid w:val="4CB52F0F"/>
    <w:rsid w:val="4D0556E9"/>
    <w:rsid w:val="4E2875DF"/>
    <w:rsid w:val="4E4107B7"/>
    <w:rsid w:val="4EE217AD"/>
    <w:rsid w:val="50C04C3A"/>
    <w:rsid w:val="532F1F9A"/>
    <w:rsid w:val="559117FB"/>
    <w:rsid w:val="57931D57"/>
    <w:rsid w:val="5BB953D8"/>
    <w:rsid w:val="5DBB25AC"/>
    <w:rsid w:val="5E995A3E"/>
    <w:rsid w:val="5F933EA7"/>
    <w:rsid w:val="5F95061E"/>
    <w:rsid w:val="5FC1266C"/>
    <w:rsid w:val="617E254E"/>
    <w:rsid w:val="62163194"/>
    <w:rsid w:val="624D024D"/>
    <w:rsid w:val="650E086A"/>
    <w:rsid w:val="6B39129D"/>
    <w:rsid w:val="6BAA0708"/>
    <w:rsid w:val="6D7E7646"/>
    <w:rsid w:val="6F0C340F"/>
    <w:rsid w:val="70046E9D"/>
    <w:rsid w:val="7161533C"/>
    <w:rsid w:val="71B442FA"/>
    <w:rsid w:val="72231A60"/>
    <w:rsid w:val="743631A3"/>
    <w:rsid w:val="75AF6C8B"/>
    <w:rsid w:val="77474C4B"/>
    <w:rsid w:val="7DE94C82"/>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Autospacing="1" w:afterAutospacing="1"/>
      <w:jc w:val="left"/>
    </w:pPr>
    <w:rPr>
      <w:rFonts w:ascii="宋体" w:hAnsi="宋体" w:cs="宋体"/>
      <w:sz w:val="24"/>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30</Pages>
  <Words>9730</Words>
  <Characters>12420</Characters>
  <Lines>60</Lines>
  <Paragraphs>17</Paragraphs>
  <TotalTime>1</TotalTime>
  <ScaleCrop>false</ScaleCrop>
  <LinksUpToDate>false</LinksUpToDate>
  <CharactersWithSpaces>13508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2022-08-31T01:32:37Z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3BF708EDB9274782BE54B3CA0E7912AC</vt:lpwstr>
  </property>
</Properties>
</file>