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仿宋_GB2312" w:eastAsia="仿宋_GB2312" w:cs="ArialUnicodeMS"/>
          <w:kern w:val="0"/>
          <w:sz w:val="32"/>
          <w:szCs w:val="32"/>
        </w:rPr>
      </w:pPr>
      <w:bookmarkStart w:id="0" w:name="_GoBack"/>
      <w:bookmarkEnd w:id="0"/>
    </w:p>
    <w:p>
      <w:pPr>
        <w:spacing w:line="560" w:lineRule="exact"/>
        <w:jc w:val="left"/>
        <w:rPr>
          <w:rFonts w:ascii="黑体" w:eastAsia="黑体" w:cs="ArialUnicodeMS"/>
          <w:kern w:val="0"/>
          <w:sz w:val="72"/>
          <w:szCs w:val="72"/>
        </w:rPr>
      </w:pPr>
    </w:p>
    <w:p>
      <w:pPr>
        <w:spacing w:line="800" w:lineRule="exact"/>
        <w:jc w:val="left"/>
        <w:rPr>
          <w:rFonts w:ascii="黑体" w:eastAsia="黑体" w:cs="ArialUnicodeMS"/>
          <w:kern w:val="0"/>
          <w:sz w:val="72"/>
          <w:szCs w:val="72"/>
        </w:rPr>
      </w:pPr>
    </w:p>
    <w:p>
      <w:pPr>
        <w:spacing w:line="800" w:lineRule="exact"/>
        <w:jc w:val="center"/>
        <w:rPr>
          <w:rFonts w:ascii="方正小标宋简体" w:hAnsi="黑体" w:eastAsia="方正小标宋简体"/>
          <w:bCs/>
          <w:color w:val="000000"/>
          <w:sz w:val="52"/>
          <w:szCs w:val="52"/>
        </w:rPr>
      </w:pPr>
      <w:r>
        <w:rPr>
          <w:rFonts w:hint="eastAsia" w:ascii="方正小标宋简体" w:eastAsia="方正小标宋简体" w:cs="ArialUnicodeMS"/>
          <w:kern w:val="0"/>
          <w:sz w:val="52"/>
          <w:szCs w:val="52"/>
        </w:rPr>
        <w:t>柳州市退役军人事务局</w:t>
      </w:r>
    </w:p>
    <w:p>
      <w:pPr>
        <w:spacing w:line="800" w:lineRule="exact"/>
        <w:jc w:val="center"/>
        <w:rPr>
          <w:rFonts w:ascii="方正小标宋简体" w:eastAsia="方正小标宋简体" w:cs="ArialUnicodeMS"/>
          <w:kern w:val="0"/>
          <w:sz w:val="52"/>
          <w:szCs w:val="52"/>
        </w:rPr>
      </w:pPr>
      <w:r>
        <w:rPr>
          <w:rFonts w:hint="eastAsia" w:ascii="方正小标宋简体" w:eastAsia="方正小标宋简体"/>
          <w:kern w:val="0"/>
          <w:sz w:val="52"/>
          <w:szCs w:val="52"/>
        </w:rPr>
        <w:t>2020</w:t>
      </w:r>
      <w:r>
        <w:rPr>
          <w:rFonts w:hint="eastAsia" w:ascii="方正小标宋简体" w:eastAsia="方正小标宋简体" w:cs="ArialUnicodeMS"/>
          <w:kern w:val="0"/>
          <w:sz w:val="52"/>
          <w:szCs w:val="52"/>
        </w:rPr>
        <w:t>年度部门决算</w:t>
      </w:r>
    </w:p>
    <w:p>
      <w:pPr>
        <w:spacing w:line="800" w:lineRule="exact"/>
        <w:jc w:val="left"/>
        <w:rPr>
          <w:rFonts w:ascii="ArialUnicodeMS" w:eastAsia="ArialUnicodeMS" w:cs="ArialUnicodeMS"/>
          <w:kern w:val="0"/>
          <w:sz w:val="84"/>
          <w:szCs w:val="84"/>
        </w:rPr>
      </w:pPr>
    </w:p>
    <w:p>
      <w:pPr>
        <w:spacing w:line="560" w:lineRule="exact"/>
        <w:jc w:val="left"/>
        <w:rPr>
          <w:rFonts w:ascii="ArialUnicodeMS" w:eastAsia="ArialUnicodeMS" w:cs="ArialUnicodeMS"/>
          <w:kern w:val="0"/>
          <w:sz w:val="84"/>
          <w:szCs w:val="84"/>
        </w:rPr>
      </w:pPr>
    </w:p>
    <w:p>
      <w:pPr>
        <w:spacing w:line="560" w:lineRule="exact"/>
        <w:jc w:val="left"/>
        <w:rPr>
          <w:rFonts w:ascii="ArialUnicodeMS" w:eastAsia="ArialUnicodeMS" w:cs="ArialUnicodeMS"/>
          <w:kern w:val="0"/>
          <w:sz w:val="84"/>
          <w:szCs w:val="84"/>
        </w:rPr>
      </w:pPr>
    </w:p>
    <w:p>
      <w:pPr>
        <w:spacing w:line="560" w:lineRule="exact"/>
        <w:jc w:val="left"/>
        <w:rPr>
          <w:rFonts w:ascii="ArialUnicodeMS" w:eastAsia="ArialUnicodeMS" w:cs="ArialUnicodeMS"/>
          <w:kern w:val="0"/>
          <w:sz w:val="84"/>
          <w:szCs w:val="84"/>
        </w:rPr>
      </w:pPr>
    </w:p>
    <w:p>
      <w:pPr>
        <w:spacing w:line="560" w:lineRule="exact"/>
        <w:jc w:val="left"/>
        <w:rPr>
          <w:rFonts w:ascii="ArialUnicodeMS" w:eastAsia="ArialUnicodeMS" w:cs="ArialUnicodeMS"/>
          <w:kern w:val="0"/>
          <w:sz w:val="84"/>
          <w:szCs w:val="84"/>
        </w:rPr>
      </w:pPr>
    </w:p>
    <w:p>
      <w:pPr>
        <w:spacing w:line="560" w:lineRule="exact"/>
        <w:jc w:val="left"/>
        <w:rPr>
          <w:rFonts w:ascii="ArialUnicodeMS" w:eastAsia="ArialUnicodeMS" w:cs="ArialUnicodeMS"/>
          <w:kern w:val="0"/>
          <w:sz w:val="84"/>
          <w:szCs w:val="84"/>
        </w:rPr>
      </w:pPr>
    </w:p>
    <w:p>
      <w:pPr>
        <w:spacing w:line="560" w:lineRule="exact"/>
        <w:jc w:val="left"/>
        <w:rPr>
          <w:rFonts w:ascii="ArialUnicodeMS" w:eastAsia="ArialUnicodeMS" w:cs="ArialUnicodeMS"/>
          <w:kern w:val="0"/>
          <w:sz w:val="84"/>
          <w:szCs w:val="84"/>
        </w:rPr>
      </w:pPr>
    </w:p>
    <w:p>
      <w:pPr>
        <w:spacing w:line="560" w:lineRule="exact"/>
        <w:jc w:val="left"/>
        <w:rPr>
          <w:rFonts w:ascii="ArialUnicodeMS" w:eastAsia="ArialUnicodeMS" w:cs="ArialUnicodeMS"/>
          <w:kern w:val="0"/>
          <w:sz w:val="84"/>
          <w:szCs w:val="84"/>
        </w:rPr>
      </w:pPr>
    </w:p>
    <w:p>
      <w:pPr>
        <w:spacing w:line="560" w:lineRule="exact"/>
        <w:jc w:val="left"/>
        <w:rPr>
          <w:rFonts w:ascii="ArialUnicodeMS" w:eastAsia="ArialUnicodeMS" w:cs="ArialUnicodeMS"/>
          <w:kern w:val="0"/>
          <w:sz w:val="84"/>
          <w:szCs w:val="84"/>
        </w:rPr>
      </w:pPr>
    </w:p>
    <w:p>
      <w:pPr>
        <w:spacing w:line="560" w:lineRule="exact"/>
        <w:jc w:val="left"/>
        <w:rPr>
          <w:rFonts w:ascii="ArialUnicodeMS" w:eastAsia="ArialUnicodeMS" w:cs="ArialUnicodeMS"/>
          <w:kern w:val="0"/>
          <w:sz w:val="84"/>
          <w:szCs w:val="84"/>
        </w:rPr>
      </w:pPr>
    </w:p>
    <w:p>
      <w:pPr>
        <w:spacing w:line="560" w:lineRule="exact"/>
        <w:jc w:val="left"/>
        <w:rPr>
          <w:rFonts w:ascii="ArialUnicodeMS" w:eastAsia="ArialUnicodeMS" w:cs="ArialUnicodeMS"/>
          <w:kern w:val="0"/>
          <w:sz w:val="84"/>
          <w:szCs w:val="84"/>
        </w:rPr>
      </w:pPr>
    </w:p>
    <w:p>
      <w:pPr>
        <w:spacing w:line="560" w:lineRule="exact"/>
        <w:jc w:val="left"/>
        <w:rPr>
          <w:rFonts w:ascii="ArialUnicodeMS" w:eastAsia="ArialUnicodeMS" w:cs="ArialUnicodeMS"/>
          <w:kern w:val="0"/>
          <w:sz w:val="84"/>
          <w:szCs w:val="84"/>
        </w:rPr>
      </w:pPr>
    </w:p>
    <w:p>
      <w:pPr>
        <w:spacing w:line="560" w:lineRule="exact"/>
        <w:jc w:val="left"/>
        <w:rPr>
          <w:rFonts w:ascii="ArialUnicodeMS" w:eastAsia="ArialUnicodeMS" w:cs="ArialUnicodeMS"/>
          <w:kern w:val="0"/>
          <w:sz w:val="84"/>
          <w:szCs w:val="84"/>
        </w:rPr>
      </w:pPr>
    </w:p>
    <w:p>
      <w:pPr>
        <w:spacing w:line="560" w:lineRule="exact"/>
        <w:jc w:val="left"/>
        <w:rPr>
          <w:rFonts w:ascii="ArialUnicodeMS" w:eastAsia="ArialUnicodeMS" w:cs="ArialUnicodeMS"/>
          <w:kern w:val="0"/>
          <w:sz w:val="84"/>
          <w:szCs w:val="84"/>
        </w:rPr>
      </w:pPr>
    </w:p>
    <w:p>
      <w:pPr>
        <w:spacing w:line="560" w:lineRule="exact"/>
        <w:jc w:val="left"/>
        <w:rPr>
          <w:rFonts w:ascii="ArialUnicodeMS" w:eastAsia="ArialUnicodeMS" w:cs="ArialUnicodeMS"/>
          <w:kern w:val="0"/>
          <w:sz w:val="84"/>
          <w:szCs w:val="84"/>
        </w:rPr>
      </w:pPr>
    </w:p>
    <w:p>
      <w:pPr>
        <w:spacing w:line="560" w:lineRule="exact"/>
        <w:jc w:val="left"/>
        <w:rPr>
          <w:rFonts w:ascii="ArialUnicodeMS" w:eastAsia="ArialUnicodeMS" w:cs="ArialUnicodeMS"/>
          <w:kern w:val="0"/>
          <w:sz w:val="84"/>
          <w:szCs w:val="84"/>
        </w:rPr>
      </w:pPr>
    </w:p>
    <w:p>
      <w:pPr>
        <w:spacing w:line="560" w:lineRule="exact"/>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spacing w:line="560" w:lineRule="exact"/>
        <w:ind w:firstLine="645"/>
        <w:jc w:val="left"/>
        <w:rPr>
          <w:rFonts w:ascii="仿宋_GB2312" w:eastAsia="仿宋_GB2312"/>
          <w:b/>
          <w:sz w:val="32"/>
          <w:szCs w:val="32"/>
        </w:rPr>
      </w:pPr>
    </w:p>
    <w:p>
      <w:pPr>
        <w:spacing w:line="560" w:lineRule="exact"/>
        <w:ind w:firstLine="645"/>
        <w:jc w:val="left"/>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rPr>
        <w:t>柳州市退役军人事务局</w:t>
      </w:r>
      <w:r>
        <w:rPr>
          <w:rFonts w:hint="eastAsia" w:ascii="仿宋_GB2312" w:eastAsia="仿宋_GB2312"/>
          <w:b/>
          <w:sz w:val="32"/>
          <w:szCs w:val="32"/>
        </w:rPr>
        <w:t>概况</w:t>
      </w:r>
    </w:p>
    <w:p>
      <w:pPr>
        <w:spacing w:line="560" w:lineRule="exact"/>
        <w:ind w:firstLine="645"/>
        <w:jc w:val="left"/>
        <w:rPr>
          <w:rFonts w:ascii="仿宋_GB2312" w:eastAsia="仿宋_GB2312"/>
          <w:sz w:val="32"/>
          <w:szCs w:val="32"/>
        </w:rPr>
      </w:pPr>
      <w:r>
        <w:rPr>
          <w:rFonts w:hint="eastAsia" w:ascii="仿宋_GB2312" w:eastAsia="仿宋_GB2312"/>
          <w:sz w:val="32"/>
          <w:szCs w:val="32"/>
        </w:rPr>
        <w:t>一、主要职能</w:t>
      </w:r>
    </w:p>
    <w:p>
      <w:pPr>
        <w:spacing w:line="560" w:lineRule="exact"/>
        <w:ind w:firstLine="645"/>
        <w:jc w:val="left"/>
        <w:rPr>
          <w:rFonts w:ascii="仿宋_GB2312" w:eastAsia="仿宋_GB2312"/>
          <w:sz w:val="32"/>
          <w:szCs w:val="32"/>
        </w:rPr>
      </w:pPr>
      <w:r>
        <w:rPr>
          <w:rFonts w:hint="eastAsia" w:ascii="仿宋_GB2312" w:eastAsia="仿宋_GB2312"/>
          <w:sz w:val="32"/>
          <w:szCs w:val="32"/>
        </w:rPr>
        <w:t>二、部门决算单位构成</w:t>
      </w:r>
    </w:p>
    <w:p>
      <w:pPr>
        <w:spacing w:line="560" w:lineRule="exact"/>
        <w:ind w:firstLine="645"/>
        <w:jc w:val="left"/>
        <w:rPr>
          <w:rFonts w:ascii="仿宋_GB2312" w:eastAsia="仿宋_GB2312"/>
          <w:b/>
          <w:sz w:val="32"/>
          <w:szCs w:val="32"/>
        </w:rPr>
      </w:pPr>
      <w:r>
        <w:rPr>
          <w:rFonts w:hint="eastAsia" w:ascii="仿宋_GB2312" w:eastAsia="仿宋_GB2312"/>
          <w:b/>
          <w:sz w:val="32"/>
          <w:szCs w:val="32"/>
        </w:rPr>
        <w:t>第二部分：柳州市退役军人事务局2020年部门决算报表</w:t>
      </w:r>
    </w:p>
    <w:p>
      <w:pPr>
        <w:spacing w:line="560" w:lineRule="exact"/>
        <w:ind w:left="645"/>
        <w:jc w:val="left"/>
        <w:rPr>
          <w:rFonts w:ascii="仿宋_GB2312" w:eastAsia="仿宋_GB2312"/>
          <w:sz w:val="32"/>
          <w:szCs w:val="32"/>
        </w:rPr>
      </w:pPr>
      <w:r>
        <w:rPr>
          <w:rFonts w:hint="eastAsia" w:ascii="仿宋_GB2312" w:eastAsia="仿宋_GB2312"/>
          <w:sz w:val="32"/>
          <w:szCs w:val="32"/>
        </w:rPr>
        <w:t>表一：收入支出决算总表</w:t>
      </w:r>
    </w:p>
    <w:p>
      <w:pPr>
        <w:spacing w:line="560" w:lineRule="exact"/>
        <w:ind w:left="645"/>
        <w:jc w:val="left"/>
        <w:rPr>
          <w:rFonts w:ascii="仿宋_GB2312" w:eastAsia="仿宋_GB2312"/>
          <w:sz w:val="32"/>
          <w:szCs w:val="32"/>
        </w:rPr>
      </w:pPr>
      <w:r>
        <w:rPr>
          <w:rFonts w:hint="eastAsia" w:ascii="仿宋_GB2312" w:eastAsia="仿宋_GB2312"/>
          <w:sz w:val="32"/>
          <w:szCs w:val="32"/>
        </w:rPr>
        <w:t>表二：收入决算表</w:t>
      </w:r>
    </w:p>
    <w:p>
      <w:pPr>
        <w:spacing w:line="560" w:lineRule="exact"/>
        <w:ind w:left="645"/>
        <w:jc w:val="left"/>
        <w:rPr>
          <w:rFonts w:ascii="仿宋_GB2312" w:eastAsia="仿宋_GB2312"/>
          <w:sz w:val="32"/>
          <w:szCs w:val="32"/>
        </w:rPr>
      </w:pPr>
      <w:r>
        <w:rPr>
          <w:rFonts w:hint="eastAsia" w:ascii="仿宋_GB2312" w:eastAsia="仿宋_GB2312"/>
          <w:sz w:val="32"/>
          <w:szCs w:val="32"/>
        </w:rPr>
        <w:t>表三：支出决算表</w:t>
      </w:r>
    </w:p>
    <w:p>
      <w:pPr>
        <w:spacing w:line="560" w:lineRule="exact"/>
        <w:ind w:left="645"/>
        <w:jc w:val="left"/>
        <w:rPr>
          <w:rFonts w:ascii="仿宋_GB2312" w:eastAsia="仿宋_GB2312"/>
          <w:sz w:val="32"/>
          <w:szCs w:val="32"/>
        </w:rPr>
      </w:pPr>
      <w:r>
        <w:rPr>
          <w:rFonts w:hint="eastAsia" w:ascii="仿宋_GB2312" w:eastAsia="仿宋_GB2312"/>
          <w:sz w:val="32"/>
          <w:szCs w:val="32"/>
        </w:rPr>
        <w:t>表四：财政拨款收入支出决算总表</w:t>
      </w:r>
    </w:p>
    <w:p>
      <w:pPr>
        <w:spacing w:line="560" w:lineRule="exact"/>
        <w:ind w:left="645"/>
        <w:jc w:val="left"/>
        <w:rPr>
          <w:rFonts w:ascii="仿宋_GB2312" w:eastAsia="仿宋_GB2312"/>
          <w:sz w:val="32"/>
          <w:szCs w:val="32"/>
        </w:rPr>
      </w:pPr>
      <w:r>
        <w:rPr>
          <w:rFonts w:hint="eastAsia" w:ascii="仿宋_GB2312" w:eastAsia="仿宋_GB2312"/>
          <w:sz w:val="32"/>
          <w:szCs w:val="32"/>
        </w:rPr>
        <w:t>表五：一般公共预算财政拨款支出决算表</w:t>
      </w:r>
    </w:p>
    <w:p>
      <w:pPr>
        <w:spacing w:line="560" w:lineRule="exact"/>
        <w:ind w:left="645"/>
        <w:jc w:val="left"/>
        <w:rPr>
          <w:rFonts w:ascii="仿宋_GB2312" w:eastAsia="仿宋_GB2312"/>
          <w:sz w:val="32"/>
          <w:szCs w:val="32"/>
        </w:rPr>
      </w:pPr>
      <w:r>
        <w:rPr>
          <w:rFonts w:hint="eastAsia" w:ascii="仿宋_GB2312" w:eastAsia="仿宋_GB2312"/>
          <w:sz w:val="32"/>
          <w:szCs w:val="32"/>
        </w:rPr>
        <w:t>表六：一般公共预算财政拨款基本支出决算表</w:t>
      </w:r>
    </w:p>
    <w:p>
      <w:pPr>
        <w:spacing w:line="560" w:lineRule="exact"/>
        <w:ind w:left="645"/>
        <w:jc w:val="left"/>
        <w:rPr>
          <w:rFonts w:ascii="仿宋_GB2312" w:eastAsia="仿宋_GB2312"/>
          <w:sz w:val="32"/>
          <w:szCs w:val="32"/>
        </w:rPr>
      </w:pPr>
      <w:r>
        <w:rPr>
          <w:rFonts w:hint="eastAsia" w:ascii="仿宋_GB2312" w:eastAsia="仿宋_GB2312"/>
          <w:sz w:val="32"/>
          <w:szCs w:val="32"/>
        </w:rPr>
        <w:t>表七：一般公共预算财政拨款安排的“</w:t>
      </w:r>
      <w:r>
        <w:rPr>
          <w:rFonts w:ascii="仿宋_GB2312" w:eastAsia="仿宋_GB2312"/>
          <w:sz w:val="32"/>
          <w:szCs w:val="32"/>
        </w:rPr>
        <w:t>三公</w:t>
      </w:r>
      <w:r>
        <w:rPr>
          <w:rFonts w:hint="eastAsia" w:ascii="仿宋_GB2312" w:eastAsia="仿宋_GB2312"/>
          <w:sz w:val="32"/>
          <w:szCs w:val="32"/>
        </w:rPr>
        <w:t>”</w:t>
      </w:r>
      <w:r>
        <w:rPr>
          <w:rFonts w:ascii="仿宋_GB2312" w:eastAsia="仿宋_GB2312"/>
          <w:sz w:val="32"/>
          <w:szCs w:val="32"/>
        </w:rPr>
        <w:t>经费</w:t>
      </w:r>
      <w:r>
        <w:rPr>
          <w:rFonts w:hint="eastAsia" w:ascii="仿宋_GB2312" w:eastAsia="仿宋_GB2312"/>
          <w:sz w:val="32"/>
          <w:szCs w:val="32"/>
        </w:rPr>
        <w:t>支出决算表</w:t>
      </w:r>
    </w:p>
    <w:p>
      <w:pPr>
        <w:spacing w:line="560" w:lineRule="exact"/>
        <w:ind w:left="645"/>
        <w:jc w:val="left"/>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spacing w:line="560" w:lineRule="exact"/>
        <w:ind w:left="645"/>
        <w:jc w:val="left"/>
        <w:rPr>
          <w:rFonts w:ascii="仿宋_GB2312" w:eastAsia="仿宋_GB2312"/>
          <w:sz w:val="32"/>
          <w:szCs w:val="32"/>
          <w:highlight w:val="yellow"/>
        </w:rPr>
      </w:pPr>
      <w:r>
        <w:rPr>
          <w:rFonts w:hint="eastAsia" w:ascii="仿宋_GB2312" w:eastAsia="仿宋_GB2312"/>
          <w:sz w:val="32"/>
          <w:szCs w:val="32"/>
        </w:rPr>
        <w:t>表九：国有资本经营预算财政拨款支出决算表</w:t>
      </w:r>
    </w:p>
    <w:p>
      <w:pPr>
        <w:spacing w:line="560" w:lineRule="exact"/>
        <w:ind w:firstLine="645"/>
        <w:jc w:val="left"/>
        <w:rPr>
          <w:rFonts w:ascii="仿宋_GB2312" w:eastAsia="仿宋_GB2312"/>
          <w:b/>
          <w:sz w:val="32"/>
          <w:szCs w:val="32"/>
        </w:rPr>
      </w:pPr>
      <w:r>
        <w:rPr>
          <w:rFonts w:hint="eastAsia" w:ascii="仿宋_GB2312" w:eastAsia="仿宋_GB2312"/>
          <w:b/>
          <w:sz w:val="32"/>
          <w:szCs w:val="32"/>
        </w:rPr>
        <w:t>第三部分：柳州市退役军人事务局2020年度部门决算情况说明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rPr>
        <w:t>2020</w:t>
      </w:r>
      <w:r>
        <w:rPr>
          <w:rFonts w:hint="eastAsia" w:ascii="仿宋_GB2312" w:eastAsia="仿宋_GB2312" w:cs="仿宋_GB2312"/>
          <w:kern w:val="0"/>
          <w:sz w:val="32"/>
          <w:szCs w:val="32"/>
        </w:rPr>
        <w:t>年度收入支出决算总体情况。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rPr>
        <w:t>2020</w:t>
      </w:r>
      <w:r>
        <w:rPr>
          <w:rFonts w:hint="eastAsia" w:ascii="仿宋_GB2312" w:eastAsia="仿宋_GB2312" w:cs="仿宋_GB2312"/>
          <w:kern w:val="0"/>
          <w:sz w:val="32"/>
          <w:szCs w:val="32"/>
        </w:rPr>
        <w:t>年度收入决算情况。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kern w:val="0"/>
          <w:sz w:val="32"/>
          <w:szCs w:val="32"/>
        </w:rPr>
        <w:t>2020</w:t>
      </w:r>
      <w:r>
        <w:rPr>
          <w:rFonts w:hint="eastAsia" w:ascii="仿宋_GB2312" w:eastAsia="仿宋_GB2312" w:cs="仿宋_GB2312"/>
          <w:kern w:val="0"/>
          <w:sz w:val="32"/>
          <w:szCs w:val="32"/>
        </w:rPr>
        <w:t>年度支出决算情况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rPr>
        <w:t>2020</w:t>
      </w:r>
      <w:r>
        <w:rPr>
          <w:rFonts w:hint="eastAsia" w:ascii="仿宋_GB2312" w:eastAsia="仿宋_GB2312" w:cs="仿宋_GB2312"/>
          <w:kern w:val="0"/>
          <w:sz w:val="32"/>
          <w:szCs w:val="32"/>
        </w:rPr>
        <w:t>年度财政拨款收入支出决算情况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kern w:val="0"/>
          <w:sz w:val="32"/>
          <w:szCs w:val="32"/>
        </w:rPr>
        <w:t>2020</w:t>
      </w:r>
      <w:r>
        <w:rPr>
          <w:rFonts w:hint="eastAsia" w:ascii="仿宋_GB2312" w:eastAsia="仿宋_GB2312" w:cs="仿宋_GB2312"/>
          <w:kern w:val="0"/>
          <w:sz w:val="32"/>
          <w:szCs w:val="32"/>
        </w:rPr>
        <w:t>年度一般公共预算财政拨款支出决算情况</w:t>
      </w:r>
    </w:p>
    <w:p>
      <w:pPr>
        <w:autoSpaceDE w:val="0"/>
        <w:autoSpaceDN w:val="0"/>
        <w:adjustRightInd w:val="0"/>
        <w:spacing w:line="56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六、2020年度一般公共预算财政拨款基本支出决算情况</w:t>
      </w:r>
    </w:p>
    <w:p>
      <w:pPr>
        <w:autoSpaceDE w:val="0"/>
        <w:autoSpaceDN w:val="0"/>
        <w:adjustRightInd w:val="0"/>
        <w:spacing w:line="56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七、2020年度一般公共预算财政拨款“三公”经费支出决算情况</w:t>
      </w:r>
    </w:p>
    <w:p>
      <w:pPr>
        <w:autoSpaceDE w:val="0"/>
        <w:autoSpaceDN w:val="0"/>
        <w:adjustRightInd w:val="0"/>
        <w:spacing w:line="56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八、2020年度政府性基金预算财政拨款收入支出决算情况</w:t>
      </w:r>
    </w:p>
    <w:p>
      <w:pPr>
        <w:autoSpaceDE w:val="0"/>
        <w:autoSpaceDN w:val="0"/>
        <w:adjustRightInd w:val="0"/>
        <w:spacing w:line="56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九、国有资本经营预算财政拨款支出决算情况</w:t>
      </w:r>
    </w:p>
    <w:p>
      <w:pPr>
        <w:autoSpaceDE w:val="0"/>
        <w:autoSpaceDN w:val="0"/>
        <w:adjustRightInd w:val="0"/>
        <w:spacing w:line="56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十、2020年度预算绩效情况说明</w:t>
      </w:r>
    </w:p>
    <w:p>
      <w:pPr>
        <w:autoSpaceDE w:val="0"/>
        <w:autoSpaceDN w:val="0"/>
        <w:adjustRightInd w:val="0"/>
        <w:spacing w:line="56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十一、其他重要事项的情况说明</w:t>
      </w:r>
    </w:p>
    <w:p>
      <w:pPr>
        <w:spacing w:line="560" w:lineRule="exact"/>
        <w:ind w:firstLine="645"/>
        <w:jc w:val="left"/>
        <w:rPr>
          <w:rFonts w:ascii="仿宋_GB2312" w:eastAsia="仿宋_GB2312"/>
          <w:b/>
          <w:sz w:val="32"/>
          <w:szCs w:val="32"/>
        </w:rPr>
      </w:pPr>
      <w:r>
        <w:rPr>
          <w:rFonts w:hint="eastAsia" w:ascii="仿宋_GB2312" w:eastAsia="仿宋_GB2312"/>
          <w:b/>
          <w:sz w:val="32"/>
          <w:szCs w:val="32"/>
        </w:rPr>
        <w:t>第四部分：名词解释</w:t>
      </w:r>
    </w:p>
    <w:p>
      <w:pPr>
        <w:spacing w:line="560" w:lineRule="exact"/>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rPr>
        <w:t>柳州市退役军人事务局</w:t>
      </w:r>
      <w:r>
        <w:rPr>
          <w:rFonts w:hint="eastAsia" w:ascii="仿宋_GB2312" w:eastAsia="仿宋_GB2312"/>
          <w:b/>
          <w:sz w:val="32"/>
          <w:szCs w:val="32"/>
        </w:rPr>
        <w:t>概况</w:t>
      </w:r>
    </w:p>
    <w:p>
      <w:pPr>
        <w:spacing w:line="560" w:lineRule="exact"/>
        <w:ind w:firstLine="646"/>
        <w:jc w:val="left"/>
        <w:rPr>
          <w:rFonts w:ascii="仿宋_GB2312" w:eastAsia="仿宋_GB2312"/>
          <w:sz w:val="32"/>
          <w:szCs w:val="32"/>
        </w:rPr>
      </w:pPr>
    </w:p>
    <w:p>
      <w:pPr>
        <w:spacing w:line="560" w:lineRule="exact"/>
        <w:ind w:firstLine="646"/>
        <w:jc w:val="left"/>
        <w:rPr>
          <w:rFonts w:ascii="黑体" w:hAnsi="黑体" w:eastAsia="黑体" w:cs="黑体"/>
          <w:sz w:val="32"/>
          <w:szCs w:val="32"/>
        </w:rPr>
      </w:pPr>
      <w:r>
        <w:rPr>
          <w:rFonts w:hint="eastAsia" w:ascii="黑体" w:hAnsi="黑体" w:eastAsia="黑体" w:cs="黑体"/>
          <w:sz w:val="32"/>
          <w:szCs w:val="32"/>
        </w:rPr>
        <w:t>一、主要职能</w:t>
      </w:r>
    </w:p>
    <w:p>
      <w:pPr>
        <w:pStyle w:val="5"/>
        <w:spacing w:beforeAutospacing="0" w:afterAutospacing="0" w:line="560" w:lineRule="exact"/>
        <w:ind w:firstLine="640" w:firstLineChars="200"/>
        <w:rPr>
          <w:rFonts w:ascii="仿宋_GB2312" w:hAnsi="华文仿宋" w:eastAsia="仿宋_GB2312"/>
          <w:bCs/>
          <w:color w:val="000000"/>
          <w:sz w:val="32"/>
          <w:szCs w:val="32"/>
        </w:rPr>
      </w:pPr>
      <w:r>
        <w:rPr>
          <w:rFonts w:hint="eastAsia" w:ascii="仿宋_GB2312" w:hAnsi="华文仿宋" w:eastAsia="仿宋_GB2312"/>
          <w:bCs/>
          <w:color w:val="000000"/>
          <w:sz w:val="32"/>
          <w:szCs w:val="32"/>
        </w:rPr>
        <w:t>柳州市退役军人事务局作为柳州市人民政府组成部门，主要职责是：拟订实施全市退役军人事务政策措施；褒扬退役军人牺牲奉献，彰显退役军人精神风范；负责军队转业干部、复员干部、离休退休干部、退役士兵的移交安置工作和自主择业退役军人服务管理、待遇保障工作；组织开展退役军人教育培训、优待抚恤、权益维护等工作；指导全市双拥工作；负责烈士及退役军人荣誉奖励、烈士纪念设施维护以及纪念活动等。</w:t>
      </w:r>
      <w:r>
        <w:rPr>
          <w:rFonts w:hint="eastAsia" w:ascii="仿宋_GB2312" w:hAnsi="楷体" w:eastAsia="仿宋_GB2312"/>
          <w:sz w:val="32"/>
        </w:rPr>
        <w:t>褒扬彰显退役军人为党、为国家和人民牺牲奉献的精神风范和价值导向，更好地为增强部队战斗力和凝聚力做好组织保障。</w:t>
      </w:r>
    </w:p>
    <w:p>
      <w:pPr>
        <w:spacing w:line="560" w:lineRule="exact"/>
        <w:ind w:firstLine="646"/>
        <w:jc w:val="left"/>
        <w:rPr>
          <w:rFonts w:ascii="仿宋_GB2312" w:eastAsia="仿宋_GB2312"/>
          <w:sz w:val="32"/>
          <w:szCs w:val="32"/>
        </w:rPr>
      </w:pPr>
      <w:r>
        <w:rPr>
          <w:rFonts w:hint="eastAsia" w:ascii="黑体" w:hAnsi="黑体" w:eastAsia="黑体" w:cs="黑体"/>
          <w:sz w:val="32"/>
          <w:szCs w:val="32"/>
        </w:rPr>
        <w:t>二、部门决算单位构成</w:t>
      </w:r>
    </w:p>
    <w:p>
      <w:pPr>
        <w:spacing w:line="560" w:lineRule="exact"/>
        <w:ind w:firstLine="640" w:firstLineChars="200"/>
        <w:jc w:val="left"/>
        <w:rPr>
          <w:rFonts w:ascii="仿宋_GB2312" w:hAnsi="华文仿宋" w:eastAsia="仿宋_GB2312"/>
          <w:color w:val="000000"/>
          <w:sz w:val="32"/>
          <w:szCs w:val="32"/>
        </w:rPr>
      </w:pPr>
      <w:r>
        <w:rPr>
          <w:rFonts w:hint="eastAsia" w:ascii="仿宋_GB2312" w:hAnsi="华文仿宋" w:eastAsia="仿宋_GB2312"/>
          <w:color w:val="000000"/>
          <w:sz w:val="32"/>
          <w:szCs w:val="32"/>
        </w:rPr>
        <w:t>柳州市退役军人事务局共有直属单位5个。其中：</w:t>
      </w:r>
    </w:p>
    <w:p>
      <w:pPr>
        <w:spacing w:line="560" w:lineRule="exact"/>
        <w:ind w:firstLine="630" w:firstLineChars="196"/>
        <w:jc w:val="left"/>
        <w:rPr>
          <w:rFonts w:ascii="仿宋_GB2312" w:hAnsi="华文仿宋" w:eastAsia="仿宋_GB2312"/>
          <w:color w:val="000000"/>
          <w:sz w:val="32"/>
          <w:szCs w:val="32"/>
        </w:rPr>
      </w:pPr>
      <w:r>
        <w:rPr>
          <w:rFonts w:hint="eastAsia" w:ascii="楷体_GB2312" w:hAnsi="华文仿宋" w:eastAsia="楷体_GB2312" w:cs="宋体"/>
          <w:b/>
          <w:color w:val="000000"/>
          <w:kern w:val="0"/>
          <w:sz w:val="32"/>
          <w:szCs w:val="32"/>
        </w:rPr>
        <w:t>（一）行政单位1个，</w:t>
      </w:r>
      <w:r>
        <w:rPr>
          <w:rFonts w:hint="eastAsia" w:ascii="仿宋_GB2312" w:hAnsi="华文仿宋" w:eastAsia="仿宋_GB2312"/>
          <w:color w:val="000000"/>
          <w:sz w:val="32"/>
          <w:szCs w:val="32"/>
        </w:rPr>
        <w:t>为柳州市退役军人事务局本级。</w:t>
      </w:r>
      <w:r>
        <w:rPr>
          <w:rFonts w:hint="eastAsia" w:ascii="楷体_GB2312" w:hAnsi="华文仿宋" w:eastAsia="楷体_GB2312" w:cs="宋体"/>
          <w:bCs/>
          <w:color w:val="000000"/>
          <w:kern w:val="0"/>
          <w:sz w:val="32"/>
          <w:szCs w:val="32"/>
        </w:rPr>
        <w:t>根</w:t>
      </w:r>
      <w:r>
        <w:rPr>
          <w:rFonts w:hint="eastAsia" w:ascii="仿宋_GB2312" w:hAnsi="华文仿宋" w:eastAsia="仿宋_GB2312"/>
          <w:color w:val="000000"/>
          <w:sz w:val="32"/>
          <w:szCs w:val="32"/>
        </w:rPr>
        <w:t>据柳州市退役军人事务局三定方案，机关内设8个科室，分别为：办公室、政策法规和规划财务科、思想政治和权益维护科、移交安置和军休服务管理科、就业创业科、拥军优抚科、褒扬纪念科、机关党委。</w:t>
      </w:r>
    </w:p>
    <w:p>
      <w:pPr>
        <w:spacing w:line="560" w:lineRule="exact"/>
        <w:ind w:left="2" w:leftChars="1" w:firstLine="630" w:firstLineChars="196"/>
        <w:jc w:val="left"/>
        <w:rPr>
          <w:rFonts w:ascii="仿宋_GB2312" w:hAnsi="华文仿宋" w:eastAsia="仿宋_GB2312"/>
          <w:color w:val="000000"/>
          <w:sz w:val="32"/>
          <w:szCs w:val="32"/>
        </w:rPr>
      </w:pPr>
      <w:r>
        <w:rPr>
          <w:rFonts w:hint="eastAsia" w:ascii="楷体_GB2312" w:hAnsi="华文仿宋" w:eastAsia="楷体_GB2312" w:cs="宋体"/>
          <w:b/>
          <w:color w:val="000000"/>
          <w:kern w:val="0"/>
          <w:sz w:val="32"/>
          <w:szCs w:val="32"/>
        </w:rPr>
        <w:t>（二）参照公务员管理事业单位4个，</w:t>
      </w:r>
      <w:r>
        <w:rPr>
          <w:rFonts w:hint="eastAsia" w:ascii="仿宋_GB2312" w:hAnsi="华文仿宋" w:eastAsia="仿宋_GB2312"/>
          <w:color w:val="000000"/>
          <w:sz w:val="32"/>
          <w:szCs w:val="32"/>
        </w:rPr>
        <w:t>分别是柳州市退役军人服务中心、柳州市军队离休退休干部胜利休养所、柳州市军队离休退休干部静兰休养所、柳州市军队离退休干部服务管理中心。</w:t>
      </w:r>
    </w:p>
    <w:p>
      <w:pPr>
        <w:spacing w:line="560" w:lineRule="exact"/>
        <w:ind w:firstLine="630" w:firstLineChars="196"/>
        <w:rPr>
          <w:rFonts w:ascii="仿宋_GB2312" w:hAnsi="华文仿宋" w:eastAsia="仿宋_GB2312"/>
          <w:color w:val="000000"/>
          <w:sz w:val="32"/>
          <w:szCs w:val="32"/>
        </w:rPr>
      </w:pPr>
      <w:r>
        <w:rPr>
          <w:rFonts w:hint="eastAsia" w:ascii="楷体_GB2312" w:hAnsi="华文仿宋" w:eastAsia="楷体_GB2312" w:cs="宋体"/>
          <w:b/>
          <w:color w:val="000000"/>
          <w:kern w:val="0"/>
          <w:sz w:val="32"/>
          <w:szCs w:val="32"/>
        </w:rPr>
        <w:t>（三）全额拨款事业单位1个，</w:t>
      </w:r>
      <w:r>
        <w:rPr>
          <w:rFonts w:hint="eastAsia" w:ascii="仿宋_GB2312" w:hAnsi="华文仿宋" w:eastAsia="仿宋_GB2312"/>
          <w:color w:val="000000"/>
          <w:sz w:val="32"/>
          <w:szCs w:val="32"/>
        </w:rPr>
        <w:t>为柳州市烈士陵园管理中心。</w:t>
      </w:r>
    </w:p>
    <w:p>
      <w:pPr>
        <w:spacing w:line="560" w:lineRule="exact"/>
        <w:rPr>
          <w:rFonts w:ascii="仿宋_GB2312" w:eastAsia="仿宋_GB2312"/>
          <w:b/>
          <w:sz w:val="32"/>
          <w:szCs w:val="32"/>
        </w:rPr>
      </w:pPr>
    </w:p>
    <w:p>
      <w:pPr>
        <w:spacing w:line="560" w:lineRule="exact"/>
        <w:jc w:val="center"/>
        <w:rPr>
          <w:rFonts w:ascii="仿宋_GB2312" w:eastAsia="仿宋_GB2312"/>
          <w:b/>
          <w:sz w:val="32"/>
          <w:szCs w:val="32"/>
        </w:rPr>
      </w:pPr>
      <w:r>
        <w:rPr>
          <w:rFonts w:hint="eastAsia" w:ascii="仿宋_GB2312" w:eastAsia="仿宋_GB2312"/>
          <w:b/>
          <w:sz w:val="32"/>
          <w:szCs w:val="32"/>
        </w:rPr>
        <w:t>第二部分：柳州市退役军人事务局</w:t>
      </w:r>
    </w:p>
    <w:p>
      <w:pPr>
        <w:spacing w:line="560" w:lineRule="exact"/>
        <w:jc w:val="center"/>
        <w:rPr>
          <w:rFonts w:ascii="仿宋_GB2312" w:eastAsia="仿宋_GB2312"/>
          <w:b/>
          <w:sz w:val="32"/>
          <w:szCs w:val="32"/>
        </w:rPr>
      </w:pPr>
      <w:r>
        <w:rPr>
          <w:rFonts w:hint="eastAsia" w:ascii="仿宋_GB2312" w:eastAsia="仿宋_GB2312"/>
          <w:b/>
          <w:sz w:val="32"/>
          <w:szCs w:val="32"/>
        </w:rPr>
        <w:t>2020年部门决算报表</w:t>
      </w:r>
    </w:p>
    <w:p>
      <w:pPr>
        <w:spacing w:line="560" w:lineRule="exact"/>
        <w:jc w:val="center"/>
        <w:rPr>
          <w:rFonts w:ascii="仿宋_GB2312" w:eastAsia="仿宋_GB2312"/>
          <w:b/>
          <w:sz w:val="32"/>
          <w:szCs w:val="32"/>
        </w:rPr>
      </w:pPr>
    </w:p>
    <w:p>
      <w:pPr>
        <w:spacing w:line="560" w:lineRule="exact"/>
        <w:ind w:firstLine="640" w:firstLineChars="200"/>
        <w:jc w:val="left"/>
      </w:pPr>
      <w:r>
        <w:rPr>
          <w:rFonts w:hint="eastAsia" w:ascii="仿宋_GB2312" w:hAnsi="黑体" w:eastAsia="仿宋_GB2312"/>
          <w:sz w:val="32"/>
          <w:szCs w:val="32"/>
        </w:rPr>
        <w:t>详见附件：柳州市退役军人事务局2020年部门决算报表。</w:t>
      </w:r>
    </w:p>
    <w:p>
      <w:pPr>
        <w:spacing w:line="560" w:lineRule="exact"/>
        <w:jc w:val="left"/>
        <w:rPr>
          <w:rFonts w:ascii="仿宋_GB2312" w:eastAsia="仿宋_GB2312"/>
          <w:b/>
          <w:sz w:val="32"/>
          <w:szCs w:val="32"/>
        </w:rPr>
      </w:pPr>
    </w:p>
    <w:p>
      <w:pPr>
        <w:spacing w:line="560" w:lineRule="exact"/>
        <w:jc w:val="center"/>
        <w:rPr>
          <w:rFonts w:ascii="仿宋_GB2312" w:eastAsia="仿宋_GB2312"/>
          <w:b/>
          <w:sz w:val="32"/>
          <w:szCs w:val="32"/>
        </w:rPr>
      </w:pPr>
      <w:r>
        <w:rPr>
          <w:rFonts w:hint="eastAsia" w:ascii="仿宋_GB2312" w:eastAsia="仿宋_GB2312"/>
          <w:b/>
          <w:sz w:val="32"/>
          <w:szCs w:val="32"/>
        </w:rPr>
        <w:t>第三部分：柳州市退役军人事务局2020年度</w:t>
      </w:r>
    </w:p>
    <w:p>
      <w:pPr>
        <w:spacing w:line="560" w:lineRule="exact"/>
        <w:jc w:val="center"/>
        <w:rPr>
          <w:rFonts w:ascii="仿宋_GB2312" w:eastAsia="仿宋_GB2312"/>
          <w:b/>
          <w:sz w:val="32"/>
          <w:szCs w:val="32"/>
        </w:rPr>
      </w:pPr>
      <w:r>
        <w:rPr>
          <w:rFonts w:hint="eastAsia" w:ascii="仿宋_GB2312" w:eastAsia="仿宋_GB2312"/>
          <w:b/>
          <w:sz w:val="32"/>
          <w:szCs w:val="32"/>
        </w:rPr>
        <w:t>部门决算情况说明</w:t>
      </w:r>
    </w:p>
    <w:p>
      <w:pPr>
        <w:autoSpaceDE w:val="0"/>
        <w:autoSpaceDN w:val="0"/>
        <w:adjustRightInd w:val="0"/>
        <w:spacing w:line="560" w:lineRule="exact"/>
        <w:ind w:firstLine="643" w:firstLineChars="200"/>
        <w:jc w:val="left"/>
        <w:rPr>
          <w:rFonts w:ascii="仿宋_GB2312" w:eastAsia="仿宋_GB2312" w:cs="仿宋_GB2312"/>
          <w:b/>
          <w:kern w:val="0"/>
          <w:sz w:val="32"/>
          <w:szCs w:val="32"/>
        </w:rPr>
      </w:pP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rPr>
        <w:t>2020</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2020年度收入总计22261.71万元，支出总计22261.71万元，与2019年相比，收、支分别增加16362.71万元 ；分别增长277.38%。</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二、2020年度收入决算情况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本年收入总计22261.71万元 ，其中：一般公共预算财政拨款收入16757.83万元，占比75.28% ；政府性基金预算财政拨款收入45.00万元，占比0.20%；其他收入</w:t>
      </w:r>
      <w:r>
        <w:rPr>
          <w:rFonts w:ascii="仿宋_GB2312" w:eastAsia="仿宋_GB2312" w:cs="仿宋_GB2312"/>
          <w:bCs/>
          <w:kern w:val="0"/>
          <w:sz w:val="32"/>
          <w:szCs w:val="32"/>
        </w:rPr>
        <w:t>815.86</w:t>
      </w:r>
      <w:r>
        <w:rPr>
          <w:rFonts w:hint="eastAsia" w:ascii="仿宋_GB2312" w:eastAsia="仿宋_GB2312" w:cs="仿宋_GB2312"/>
          <w:bCs/>
          <w:kern w:val="0"/>
          <w:sz w:val="32"/>
          <w:szCs w:val="32"/>
        </w:rPr>
        <w:t>万元，占比3.66%；年初结转和结余</w:t>
      </w:r>
      <w:r>
        <w:rPr>
          <w:rFonts w:ascii="仿宋_GB2312" w:eastAsia="仿宋_GB2312" w:cs="仿宋_GB2312"/>
          <w:bCs/>
          <w:kern w:val="0"/>
          <w:sz w:val="32"/>
          <w:szCs w:val="32"/>
        </w:rPr>
        <w:t>4643.01</w:t>
      </w:r>
      <w:r>
        <w:rPr>
          <w:rFonts w:hint="eastAsia" w:ascii="仿宋_GB2312" w:eastAsia="仿宋_GB2312" w:cs="仿宋_GB2312"/>
          <w:bCs/>
          <w:kern w:val="0"/>
          <w:sz w:val="32"/>
          <w:szCs w:val="32"/>
        </w:rPr>
        <w:t>万元，占比20.86%。</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三、2020年度支出决算情况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本年支出合计16360.14万元，其中：基本支出2823.41万元，占17.26%；项目支出13536.73万元，占82.74%。</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四、2020年度财政拨款收入支出决算情况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本部门2020年度财政拨款收、支总决算18661.14万元、18661.14万元。与2019年相比，财政拨款收、支总计各增加14083.57万元，增长307.66%。</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五、2020年度一般公共预算财政拨款支出决算情况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楷体_GB2312" w:eastAsia="楷体_GB2312" w:cs="仿宋_GB2312"/>
          <w:kern w:val="0"/>
          <w:sz w:val="32"/>
          <w:szCs w:val="32"/>
        </w:rPr>
        <w:t>（一）财政拨款支出决算情况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部门2020年度财政拨款支出14749.52万元，占本年支出合计的89.88%。与 2019 年相比，财政拨款支出增加11617.48万元，增加376.33%。</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（二）财政拨款支出决算结构情况</w:t>
      </w:r>
    </w:p>
    <w:p>
      <w:pPr>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2020年度财政拨款支出14749.52万元，主要用于以下方面：一般公共服务（类）支出0.27万元，占0.01%；社会保障和就业（类）支出13598.07万元，占92.19%；卫生健康（类）支出1005.06万元，占6.81%；城乡社区（类）支出10.41万元，占0.07%；住房保障（类）支出90.70万元，占0.61%；其他（类）支出45.00万元，占0.31%。</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（三）财政拨款支出决算具体情况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2020年度财政拨款支出年初预算为5504.32万元，支出决算为14749.52万元，完成年初预算的475.49%。决算数大于预算数的主要原因：一是年中追加安排财政拨款支出预算，涉及退役士兵教育管理、退役士兵社保接续、企业军队转业干部困难补助等项目；二是部分支出按规定，通过使用以前年度财政拨款结转资金解决。其中：</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1.一般公共服务（类）群众团体事务（款）事业运行（项）。年初预算为0万元，支出决算为0.27万元。决算数大于预算数的主要原因是2020年新成立事业单位柳州市烈士陵园管理中心，追加了预算。</w:t>
      </w:r>
    </w:p>
    <w:p>
      <w:pPr>
        <w:autoSpaceDE w:val="0"/>
        <w:autoSpaceDN w:val="0"/>
        <w:adjustRightInd w:val="0"/>
        <w:spacing w:line="560" w:lineRule="exact"/>
        <w:ind w:firstLine="640" w:firstLineChars="200"/>
        <w:jc w:val="left"/>
        <w:rPr>
          <w:rFonts w:ascii="仿宋_GB2312" w:eastAsia="仿宋_GB2312" w:cs="仿宋_GB2312"/>
          <w:bCs/>
          <w:color w:val="FF0000"/>
          <w:kern w:val="0"/>
          <w:sz w:val="32"/>
          <w:szCs w:val="32"/>
        </w:rPr>
      </w:pPr>
      <w:r>
        <w:rPr>
          <w:rFonts w:hint="eastAsia" w:ascii="仿宋_GB2312" w:eastAsia="仿宋_GB2312" w:cs="仿宋_GB2312"/>
          <w:bCs/>
          <w:kern w:val="0"/>
          <w:sz w:val="32"/>
          <w:szCs w:val="32"/>
        </w:rPr>
        <w:t>2.社会保障和就业（类）民政管理事务（款）行政运行（项）。年初预算为0万元，支出决算为9.96万元。决算数大于预算数的主要原因是因机构改革调整，动用上年结余。</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3.社会保障和就业（类）行政事业单位养老（款）行政单位离退休（项）。年初预算为22.81万元，支出决算为22.79万元，完成年初预算的99.91%。决算数小于预算数的主要原因是人员离退休经费补差。</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4.社会保障和就业（类）行政事业单位养老（款）机关事业单位基本养老保险缴费支出（项）。年初预算为117.63万元，支出决算为128.18万元，完成年初预算的108.97%。决算数大于预算数的主要原因是因机构改革调整，在职人数增加。</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5.社会保障和就业（类）行政事业单位养老（款）机关事业单位职业年金缴费支出（项）。年初预算为51.50万元，支出决算为51.21万元，完成年初预算的99.44%。决算数小于预算数的主要原因是人员职业年金经费补差。</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6.社会保障和就业（类）就业补助（款）其他就业补助支出（项）。年初预算为226.80万元，支出决算为64.80万元，完成年初预算的28.57%。决算数小于预算数的主要原因是经核查当年实际享受其他就业补助人数较少。</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7.社会保障和就业（类）抚恤（款）死亡抚恤（项）。年初预算为50万元，支出决算为100万元，完成年初预算的200%。决算数大于预算数的主要原因是当年实际发生死亡抚恤支出，并动用以前年度结转结余。</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8.社会保障和就业（类）抚恤（款）伤残抚恤（项）。年初预算为16.2万元，支出决算为16.2万元，完成年初预算的100%。</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9.社会保障和就业（类）退役安置（款）退役士兵安置（项）。年初预算为0万元，支出决算为1.84万元。决算数大于预算数的主要原因是动用上年结转结余款项用于退役士兵安置费用。</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10.社会保障和就业（类）退役安置（款）军队移交政府的离退休人员安置（项）。年初预算为880.54万元，支出决算为5829.64万元，完成年初预算的662.05%。决算数大于预算数的主要原因是动用上年结转结余资金、上级下拨资金补助军队移交政府的离退休人员。</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11.社会保障和就业（类）退役安置（款）军队移交政府离退休干部管理机构（项）。年初预算为129.11万元，支出决算为426.50万元，完成年初预算的330.34%。决算数大于预算数的主要原因是动用上年结转结余资金、上级下拨资金保障军队移交政府的离退休人员。</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12.社会保障和就业（类）退役安置（款）退役士兵管理教育（项）。年初预算为0万元，支出决算为53.62万元。决算数大于预算数的主要原因是使用上年结转结余资金、上级下拨资金开支退役士兵培训工作。</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13.社会保障和就业（类）退役安置（款）军队转业干部安置（项）。年初预算为985.61万元，支出决算为3364.77万元，完成年初预算的341.39%。决算数大于预算数的主要原因是使用上年结转结余资金、上级下拨资金保障军队转业干部安置。</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14.社会保障和就业（类）退役安置（款）其他退役安置支出（项）。年初预算为800万元，支出决算为1038.86万元，完成年初预算的129.86%。决算数大于预算数的主要原因是使用上级下拨资金保障其他退役安置支出。</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15.社会保障和就业（类）社会福利（款）殡葬（项）。年初预算为0万元，支出决算为8.78万元。决算数大于预算数的主要原因是2020年新成立事业单位柳州市烈士陵园管理中心，追加了预算。</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16.社会保障和就业（类）社会福利（款）养老服务（项）。年初预算为0万元，支出决算为150.00万元。决算数大于预算数的主要原因是柳州市军队离休退休干部胜利休养所使用追加资金支付鸿福老年公寓项目工程款。</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17.社会保障和就业（类）退役军人管理事务（款）行政运行（项）。年初预算为433.05万元，支出决算为578.29万元，完成年初预算的133.54%。决算数大于预算数的主要原因是因机构改革调整，在职人数增加。</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18.社会保障和就业（类）退役军人管理事务（款）一般行政管理事务（项）。年初预算为159.3万元，支出决算为99.00万元，完成年初预算的62.15%。决算数小于预算数的主要原因是一是落实财政文件要求，压减了一般性支出；二是疫情影响部分业务的正常开展。</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19.社会保障和就业（类）退役军人管理事务（款）拥军优属（项）。年初预算为468.00万元，支出决算为470.30万元，完成年初预算的100.49%。决算数大于预算数的主要原因是动用上年结转结余资金保障拥军优抚支出。</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20.社会保障和就业（类）退役军人管理事务（款）事业运行（项）。年初预算为0万元，支出决算为16.55万元。决算数大于预算数的主要原因是2020年新成立事业单位柳州市烈士陵园管理中心，追加了预算。</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21.社会保障和就业（类）退役军人管理事务（款）其他退役军人事务管理支出（项）。年初预算为26万元，支出决算为1166.76万元，完成年初预算的4487.54%。决算数大于预算数的主要原因是使用上年结转结余资金、上级下拨资金保障其他退役军人事务管理支出。</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22.卫生健康（类）行政事业单位医疗（款）行政单位医疗（项）。年初预算为55.14万元，支出决算为54.34万元，完成年初预算的98.55%。决算数小于预算数的主要原因是个别在职人员退休，存在差额。</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23.卫生健康（类）行政事业单位医疗（款）事业单位医疗（项）。年初预算为0万元，支出决算为2.21万元。决算数大于预算数的主要原因是2020年新成立事业单位柳州市烈士陵园管理中心，追加了预算。</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24.卫生健康（类）行政事业单位医疗（款）公务员医疗补助（项）。年初预算为859.63万元，支出决算为839.04万元，完成年初预算的97.60%。决算数小于预算数的主要原因是个别在职人员退休，存在差额。</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25.卫生健康（类）行政事业单位医疗（款）其他行政事业单位医疗支出（项）。年初预算为0万元，支出决算为9.48万元。决算数大于预算数的主要原因：一是2020年新成立事业单位柳州市烈士陵园管理中心，追加了预算；二是因机构改革调整人员变动，增人增资追加行政事业单位医疗保险款。</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26.卫生健康（类）优抚对象医疗（款）优抚对象医疗补助（项）。年初预算为100万元，支出决算为100万元，完成年初预算的100%。</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27.城乡社区（类）城乡社区公共设施（款）其他城乡社区公共设施支出（项）。年初预算为0万元，支出决算为10.41万元。决算数大于预算数的主要原因是使用上年结转结余资金。</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28.住房保障（类）住房改革（款）住房公积金（项）。年初预算为88.23万元，支出决算为90.60万元，完成年初预算的102.69%。决算数大于预算数的主要原因是财政下拨增人增资公积金款项。</w:t>
      </w:r>
    </w:p>
    <w:p>
      <w:pPr>
        <w:autoSpaceDE w:val="0"/>
        <w:autoSpaceDN w:val="0"/>
        <w:adjustRightInd w:val="0"/>
        <w:spacing w:line="560" w:lineRule="exact"/>
        <w:ind w:firstLine="640" w:firstLineChars="200"/>
        <w:jc w:val="left"/>
        <w:rPr>
          <w:rFonts w:ascii="仿宋_GB2312" w:eastAsia="仿宋_GB2312" w:cs="仿宋_GB2312"/>
          <w:bCs/>
          <w:color w:val="FF0000"/>
          <w:kern w:val="0"/>
          <w:sz w:val="32"/>
          <w:szCs w:val="32"/>
        </w:rPr>
      </w:pPr>
      <w:r>
        <w:rPr>
          <w:rFonts w:hint="eastAsia" w:ascii="仿宋_GB2312" w:eastAsia="仿宋_GB2312" w:cs="仿宋_GB2312"/>
          <w:bCs/>
          <w:kern w:val="0"/>
          <w:sz w:val="32"/>
          <w:szCs w:val="32"/>
        </w:rPr>
        <w:t>29.住房保障（类）住房改革（款）购房补贴（项）。年初预算为0万元，支出决算为0.10万元。决算数大于预算数的主要原因是财政按文件拨付职工购房补贴款项。</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六、2020年度一般公共预算财政拨款基本支出决算情况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2020年度财政拨款基本支出2823.22万元，其中：</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人员经费2624.17万元，主要包括：基本工资、津贴补贴、奖金、伙食补助费、绩效工资、机关事业单位基本养老保险缴费、职业年金缴费、其他社会保障缴费、其他工资福利支出、离休费、退休费、生活补助、住房公积金。</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公用经费199.05万元，主要包括：办公费、印刷费、水费、电费、邮电费、物业管理费、差旅费、因公出国（境）费用、维修（护）费、会议费、培训费、公务接待费、委托业务费、工会经费、其他交通费用、其他商品和服务支出、办公设备购置。</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黑体" w:hAnsi="黑体" w:eastAsia="黑体" w:cs="仿宋_GB2312"/>
          <w:kern w:val="0"/>
          <w:sz w:val="32"/>
          <w:szCs w:val="32"/>
        </w:rPr>
        <w:t xml:space="preserve">七、2020年度一般公共预算财政拨款“三公” 经费支出决算情况 </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楷体_GB2312" w:eastAsia="楷体_GB2312" w:cs="仿宋_GB2312"/>
          <w:kern w:val="0"/>
          <w:sz w:val="32"/>
          <w:szCs w:val="32"/>
        </w:rPr>
        <w:t>（一）“三公”经费财政拨款支出决算总体情况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2020年度“三公”经费财政拨款支出预算为3.16万元，支出决算为2.05万元，完成预算的64.87%，其中：因公出国（境）费支出决算为0万元；公务用车购置及运行费支出决算为0万元；公务接待费支出决算为2.05万元，完成预算的64.87%。2020年度“三公”经费支出决算数小于预算数的主要原因为：一是落实疫情防控要求，减少了公务接待；而是认真贯彻落实</w:t>
      </w:r>
      <w:r>
        <w:rPr>
          <w:rFonts w:hint="eastAsia" w:ascii="仿宋_GB2312" w:eastAsia="仿宋_GB2312" w:cs="仿宋_GB2312"/>
          <w:bCs/>
          <w:kern w:val="0"/>
          <w:sz w:val="32"/>
          <w:szCs w:val="32"/>
          <w:lang w:eastAsia="zh-CN"/>
        </w:rPr>
        <w:t>中央八项规定精神</w:t>
      </w:r>
      <w:r>
        <w:rPr>
          <w:rFonts w:hint="eastAsia" w:ascii="仿宋_GB2312" w:eastAsia="仿宋_GB2312" w:cs="仿宋_GB2312"/>
          <w:bCs/>
          <w:kern w:val="0"/>
          <w:sz w:val="32"/>
          <w:szCs w:val="32"/>
        </w:rPr>
        <w:t>和厉行节约要求，进一步从严控制“三公”经费开支，全年实际支出比预算有所节约。</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2020年度“三公”经费财政拨款支出决算数比2019年减少4.39万元，下降68.17%，其中：因公出国（境）费支出决算减少0万元；公务用车购置及运行费支出决算减少2.64万元，减少100%；公务接待费支出决算减少1.75万元，下降46.05%。</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因公出国（境）费支出减少的主要原因是无因公出国事项；公务用车购置及运行费支出减少的主要原因是因公务用车改革，未留有公务用车；公务接待费支出减少的主要原因为：一是落实疫情防控要求，减少了公务接待；二是认真贯彻落实</w:t>
      </w:r>
      <w:r>
        <w:rPr>
          <w:rFonts w:hint="eastAsia" w:ascii="仿宋_GB2312" w:eastAsia="仿宋_GB2312" w:cs="仿宋_GB2312"/>
          <w:bCs/>
          <w:kern w:val="0"/>
          <w:sz w:val="32"/>
          <w:szCs w:val="32"/>
          <w:lang w:eastAsia="zh-CN"/>
        </w:rPr>
        <w:t>中央八项规定精神</w:t>
      </w:r>
      <w:r>
        <w:rPr>
          <w:rFonts w:hint="eastAsia" w:ascii="仿宋_GB2312" w:eastAsia="仿宋_GB2312" w:cs="仿宋_GB2312"/>
          <w:bCs/>
          <w:kern w:val="0"/>
          <w:sz w:val="32"/>
          <w:szCs w:val="32"/>
        </w:rPr>
        <w:t>和厉行节约要求，进一步从严控制“三公”经费开支，全年实际支出比预算有所节约。</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楷体_GB2312" w:eastAsia="楷体_GB2312" w:cs="仿宋_GB2312"/>
          <w:kern w:val="0"/>
          <w:sz w:val="32"/>
          <w:szCs w:val="32"/>
        </w:rPr>
        <w:t>（二）“三公”经费财政拨款支出决算具体情况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2020年度“三公”经费财政拨款支出决算中，因公出国（境）费支出决算0万元；公务用车购置及运行费支出决算0万元；公务接待费支出决算2.05万元，占100%。具体情况如下：  </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1.因公出国（境）费支出0万元。全年安排机关和所属单位因公出国 （境）团组0个，累计0人次。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2.公务用车购置及运行费支出0万元。其中：公务用车购置支出为0万元。公务用车运行支出0万元。2020年，机关所属单位开支财政拨款的公务用车保有量为0辆。</w:t>
      </w:r>
    </w:p>
    <w:p>
      <w:pPr>
        <w:autoSpaceDE w:val="0"/>
        <w:autoSpaceDN w:val="0"/>
        <w:adjustRightInd w:val="0"/>
        <w:spacing w:line="560" w:lineRule="exact"/>
        <w:ind w:firstLine="640"/>
        <w:jc w:val="left"/>
        <w:rPr>
          <w:rFonts w:ascii="仿宋_GB2312" w:eastAsia="仿宋_GB2312" w:cs="仿宋_GB2312"/>
          <w:bCs/>
          <w:kern w:val="0"/>
          <w:sz w:val="32"/>
          <w:szCs w:val="32"/>
        </w:rPr>
      </w:pPr>
      <w:r>
        <w:rPr>
          <w:rFonts w:hint="eastAsia" w:ascii="仿宋_GB2312" w:eastAsia="仿宋_GB2312" w:cs="仿宋_GB2312"/>
          <w:bCs/>
          <w:kern w:val="0"/>
          <w:sz w:val="32"/>
          <w:szCs w:val="32"/>
        </w:rPr>
        <w:t>3.公务接待费支出2.05万元。其中：</w:t>
      </w:r>
    </w:p>
    <w:p>
      <w:pPr>
        <w:autoSpaceDE w:val="0"/>
        <w:autoSpaceDN w:val="0"/>
        <w:adjustRightInd w:val="0"/>
        <w:spacing w:line="560" w:lineRule="exact"/>
        <w:ind w:firstLine="640"/>
        <w:jc w:val="left"/>
        <w:rPr>
          <w:rFonts w:ascii="仿宋_GB2312" w:eastAsia="仿宋_GB2312" w:cs="仿宋_GB2312"/>
          <w:bCs/>
          <w:kern w:val="0"/>
          <w:sz w:val="32"/>
          <w:szCs w:val="32"/>
        </w:rPr>
      </w:pPr>
      <w:r>
        <w:rPr>
          <w:rFonts w:hint="eastAsia" w:ascii="仿宋_GB2312" w:eastAsia="仿宋_GB2312" w:cs="仿宋_GB2312"/>
          <w:bCs/>
          <w:kern w:val="0"/>
          <w:sz w:val="32"/>
          <w:szCs w:val="32"/>
        </w:rPr>
        <w:t>外宾接待支出0万元。2020年共接待国（境）外来访团组0个、来访外宾0人次。</w:t>
      </w:r>
    </w:p>
    <w:p>
      <w:pPr>
        <w:autoSpaceDE w:val="0"/>
        <w:autoSpaceDN w:val="0"/>
        <w:adjustRightInd w:val="0"/>
        <w:spacing w:line="560" w:lineRule="exact"/>
        <w:ind w:firstLine="640"/>
        <w:jc w:val="left"/>
        <w:rPr>
          <w:rFonts w:ascii="仿宋_GB2312" w:hAnsi="华文仿宋" w:eastAsia="仿宋_GB2312"/>
          <w:bCs/>
          <w:color w:val="000000"/>
          <w:sz w:val="32"/>
          <w:szCs w:val="32"/>
        </w:rPr>
      </w:pPr>
      <w:r>
        <w:rPr>
          <w:rFonts w:hint="eastAsia" w:ascii="仿宋_GB2312" w:eastAsia="仿宋_GB2312" w:cs="仿宋_GB2312"/>
          <w:bCs/>
          <w:kern w:val="0"/>
          <w:sz w:val="32"/>
          <w:szCs w:val="32"/>
        </w:rPr>
        <w:t>国内公务接待支出2.05万元。主要用于</w:t>
      </w:r>
      <w:r>
        <w:rPr>
          <w:rFonts w:hint="eastAsia" w:ascii="仿宋_GB2312" w:hAnsi="华文仿宋" w:eastAsia="仿宋_GB2312"/>
          <w:bCs/>
          <w:sz w:val="32"/>
          <w:szCs w:val="32"/>
        </w:rPr>
        <w:t>接</w:t>
      </w:r>
      <w:r>
        <w:rPr>
          <w:rFonts w:hint="eastAsia" w:ascii="仿宋_GB2312" w:hAnsi="华文仿宋" w:eastAsia="仿宋_GB2312"/>
          <w:bCs/>
          <w:color w:val="000000"/>
          <w:sz w:val="32"/>
          <w:szCs w:val="32"/>
        </w:rPr>
        <w:t>待各级领导、上级领导、兄弟省份、市县退役军人事务部门等单位的工作人员。</w:t>
      </w:r>
      <w:r>
        <w:rPr>
          <w:rFonts w:hint="eastAsia" w:ascii="仿宋_GB2312" w:eastAsia="仿宋_GB2312" w:cs="仿宋_GB2312"/>
          <w:bCs/>
          <w:kern w:val="0"/>
          <w:sz w:val="32"/>
          <w:szCs w:val="32"/>
        </w:rPr>
        <w:t>2020 年共接待国内来访团组24批次、来宾119人次。</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黑体" w:hAnsi="黑体" w:eastAsia="黑体" w:cs="仿宋_GB2312"/>
          <w:kern w:val="0"/>
          <w:sz w:val="32"/>
          <w:szCs w:val="32"/>
        </w:rPr>
        <w:t>八、2020年度政府性基金预算财政拨款收入支出决算情况说明</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本单位无政府性基金预算财政拨款收入和支出。</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九、国有资本经营预算财政拨款支出情况说明</w:t>
      </w:r>
    </w:p>
    <w:p>
      <w:pPr>
        <w:autoSpaceDE w:val="0"/>
        <w:autoSpaceDN w:val="0"/>
        <w:adjustRightInd w:val="0"/>
        <w:spacing w:line="560" w:lineRule="exact"/>
        <w:ind w:firstLine="640" w:firstLineChars="200"/>
        <w:jc w:val="left"/>
        <w:rPr>
          <w:rFonts w:ascii="仿宋_GB2312" w:eastAsia="仿宋_GB2312" w:cs="仿宋_GB2312"/>
          <w:bCs/>
          <w:kern w:val="0"/>
          <w:sz w:val="32"/>
          <w:szCs w:val="32"/>
          <w:highlight w:val="yellow"/>
        </w:rPr>
      </w:pPr>
      <w:r>
        <w:rPr>
          <w:rFonts w:hint="eastAsia" w:ascii="仿宋_GB2312" w:eastAsia="仿宋_GB2312" w:cs="仿宋_GB2312"/>
          <w:bCs/>
          <w:kern w:val="0"/>
          <w:sz w:val="32"/>
          <w:szCs w:val="32"/>
        </w:rPr>
        <w:t>本单位无国有资本经营预算财政拨款支出。</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十、2020年度预算绩效情况说明</w:t>
      </w:r>
    </w:p>
    <w:p>
      <w:pPr>
        <w:autoSpaceDE w:val="0"/>
        <w:autoSpaceDN w:val="0"/>
        <w:adjustRightInd w:val="0"/>
        <w:spacing w:line="560" w:lineRule="exact"/>
        <w:ind w:left="640"/>
        <w:jc w:val="left"/>
        <w:rPr>
          <w:rFonts w:ascii="楷体_GB2312" w:eastAsia="楷体_GB2312" w:cs="仿宋_GB2312"/>
          <w:bCs/>
          <w:kern w:val="0"/>
          <w:sz w:val="32"/>
          <w:szCs w:val="32"/>
        </w:rPr>
      </w:pPr>
      <w:r>
        <w:rPr>
          <w:rFonts w:hint="eastAsia" w:ascii="楷体_GB2312" w:eastAsia="楷体_GB2312" w:cs="仿宋_GB2312"/>
          <w:bCs/>
          <w:kern w:val="0"/>
          <w:sz w:val="32"/>
          <w:szCs w:val="32"/>
        </w:rPr>
        <w:t>（一）绩效管理工作开展情况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为切实做好项目资金绩效自评工作，提高财政资金的使用效益，我单位领导高度重视，成立专门的绩效评价工作小组，采取座谈、检查专项资金有关账目、收集整理专项资金支出相关资料等进行自评打分并进一步分析总结。根据财政预算管理要求，我单位组织对2020年度2个一般公共预算项目支出全面开展绩效自评，涉及预算资金965万元，自评覆盖率达到100%。</w:t>
      </w:r>
    </w:p>
    <w:p>
      <w:pPr>
        <w:autoSpaceDE w:val="0"/>
        <w:autoSpaceDN w:val="0"/>
        <w:adjustRightInd w:val="0"/>
        <w:spacing w:line="560" w:lineRule="exact"/>
        <w:ind w:firstLine="640" w:firstLineChars="200"/>
        <w:jc w:val="left"/>
        <w:rPr>
          <w:rFonts w:ascii="楷体_GB2312" w:eastAsia="楷体_GB2312" w:cs="仿宋_GB2312"/>
          <w:bCs/>
          <w:kern w:val="0"/>
          <w:sz w:val="32"/>
          <w:szCs w:val="32"/>
        </w:rPr>
      </w:pPr>
      <w:r>
        <w:rPr>
          <w:rFonts w:hint="eastAsia" w:ascii="楷体_GB2312" w:eastAsia="楷体_GB2312" w:cs="仿宋_GB2312"/>
          <w:bCs/>
          <w:kern w:val="0"/>
          <w:sz w:val="32"/>
          <w:szCs w:val="32"/>
        </w:rPr>
        <w:t>（二）部门决算中项目绩效自评结果。</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我单位根据年初设定的绩效目标，退役士兵就业安置项目自评得分为97.6 分，退役士兵就业安置100%完成；自主择业军队转业干部医疗保险项目自评得分为97.3 分，服务对象满意度达到95%。进一步推进社会稳定团结，绩效目标100%完成（《项目支出绩效自评表》详见附件）。</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十一、其他重要事项的情况</w:t>
      </w:r>
    </w:p>
    <w:p>
      <w:pPr>
        <w:autoSpaceDE w:val="0"/>
        <w:autoSpaceDN w:val="0"/>
        <w:adjustRightInd w:val="0"/>
        <w:spacing w:line="560" w:lineRule="exact"/>
        <w:ind w:firstLine="640" w:firstLineChars="200"/>
        <w:jc w:val="left"/>
        <w:rPr>
          <w:rFonts w:ascii="仿宋_GB2312" w:eastAsia="仿宋_GB2312" w:cs="仿宋_GB2312"/>
          <w:kern w:val="0"/>
          <w:sz w:val="32"/>
          <w:szCs w:val="32"/>
          <w:highlight w:val="green"/>
        </w:rPr>
      </w:pPr>
      <w:r>
        <w:rPr>
          <w:rFonts w:hint="eastAsia" w:ascii="楷体_GB2312" w:eastAsia="楷体_GB2312" w:cs="仿宋_GB2312"/>
          <w:kern w:val="0"/>
          <w:sz w:val="32"/>
          <w:szCs w:val="32"/>
        </w:rPr>
        <w:t>（一）机关运行经费支出情况。</w:t>
      </w:r>
      <w:r>
        <w:rPr>
          <w:rFonts w:hint="eastAsia" w:ascii="仿宋_GB2312" w:eastAsia="仿宋_GB2312" w:cs="仿宋_GB2312"/>
          <w:kern w:val="0"/>
          <w:sz w:val="32"/>
          <w:szCs w:val="32"/>
        </w:rPr>
        <w:t>2020年度部门机关运行经费支出196.80万元，比2019年减少45.6万元，降低18.81 %，减少原因为</w:t>
      </w:r>
      <w:r>
        <w:rPr>
          <w:rFonts w:hint="eastAsia" w:ascii="仿宋_GB2312" w:eastAsia="仿宋_GB2312" w:cs="仿宋_GB2312"/>
          <w:bCs/>
          <w:kern w:val="0"/>
          <w:sz w:val="32"/>
          <w:szCs w:val="32"/>
        </w:rPr>
        <w:t>认真贯彻落实</w:t>
      </w:r>
      <w:r>
        <w:rPr>
          <w:rFonts w:hint="eastAsia" w:ascii="仿宋_GB2312" w:eastAsia="仿宋_GB2312" w:cs="仿宋_GB2312"/>
          <w:bCs/>
          <w:kern w:val="0"/>
          <w:sz w:val="32"/>
          <w:szCs w:val="32"/>
          <w:lang w:eastAsia="zh-CN"/>
        </w:rPr>
        <w:t>中央八项规定精神</w:t>
      </w:r>
      <w:r>
        <w:rPr>
          <w:rFonts w:hint="eastAsia" w:ascii="仿宋_GB2312" w:eastAsia="仿宋_GB2312" w:cs="仿宋_GB2312"/>
          <w:bCs/>
          <w:kern w:val="0"/>
          <w:sz w:val="32"/>
          <w:szCs w:val="32"/>
        </w:rPr>
        <w:t>和厉行节约要求，进一步从严控制机关运行开支</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楷体_GB2312" w:eastAsia="楷体_GB2312" w:cs="仿宋_GB2312"/>
          <w:kern w:val="0"/>
          <w:sz w:val="32"/>
          <w:szCs w:val="32"/>
        </w:rPr>
        <w:t>（二）政府采购支出情况。</w:t>
      </w:r>
      <w:r>
        <w:rPr>
          <w:rFonts w:hint="eastAsia" w:ascii="仿宋_GB2312" w:eastAsia="仿宋_GB2312" w:cs="仿宋_GB2312"/>
          <w:kern w:val="0"/>
          <w:sz w:val="32"/>
          <w:szCs w:val="32"/>
        </w:rPr>
        <w:t>2020年度部门政府采购支出总额160.97万元，其中：货物支出142.80万元、工程支出0万元、服务支出18.17万元。</w:t>
      </w:r>
    </w:p>
    <w:p>
      <w:pPr>
        <w:autoSpaceDE w:val="0"/>
        <w:autoSpaceDN w:val="0"/>
        <w:adjustRightInd w:val="0"/>
        <w:spacing w:line="560" w:lineRule="exact"/>
        <w:ind w:firstLine="627" w:firstLineChars="196"/>
        <w:jc w:val="left"/>
        <w:rPr>
          <w:rFonts w:ascii="仿宋_GB2312" w:eastAsia="仿宋_GB2312" w:cs="仿宋_GB2312"/>
          <w:color w:val="FF0000"/>
          <w:kern w:val="0"/>
          <w:sz w:val="32"/>
          <w:szCs w:val="32"/>
        </w:rPr>
      </w:pPr>
      <w:r>
        <w:rPr>
          <w:rFonts w:hint="eastAsia" w:ascii="楷体_GB2312" w:eastAsia="楷体_GB2312" w:cs="仿宋_GB2312"/>
          <w:kern w:val="0"/>
          <w:sz w:val="32"/>
          <w:szCs w:val="32"/>
        </w:rPr>
        <w:t>（三）国有资产占用情况。</w:t>
      </w:r>
      <w:r>
        <w:rPr>
          <w:rFonts w:hint="eastAsia" w:ascii="仿宋_GB2312" w:eastAsia="仿宋_GB2312" w:cs="仿宋_GB2312"/>
          <w:kern w:val="0"/>
          <w:sz w:val="32"/>
          <w:szCs w:val="32"/>
        </w:rPr>
        <w:t>截至年末部门共有车辆0辆。</w:t>
      </w:r>
    </w:p>
    <w:p>
      <w:pPr>
        <w:spacing w:line="560" w:lineRule="exact"/>
        <w:ind w:firstLine="645"/>
        <w:jc w:val="left"/>
        <w:rPr>
          <w:rFonts w:ascii="仿宋_GB2312" w:eastAsia="仿宋_GB2312"/>
          <w:b/>
          <w:color w:val="FF0000"/>
          <w:sz w:val="32"/>
          <w:szCs w:val="32"/>
        </w:rPr>
      </w:pPr>
    </w:p>
    <w:p>
      <w:pPr>
        <w:spacing w:line="560" w:lineRule="exact"/>
        <w:ind w:firstLine="645"/>
        <w:jc w:val="center"/>
        <w:rPr>
          <w:rFonts w:ascii="仿宋_GB2312" w:eastAsia="仿宋_GB2312"/>
          <w:b/>
          <w:sz w:val="32"/>
          <w:szCs w:val="32"/>
        </w:rPr>
      </w:pPr>
      <w:r>
        <w:rPr>
          <w:rFonts w:hint="eastAsia" w:ascii="仿宋_GB2312" w:eastAsia="仿宋_GB2312"/>
          <w:b/>
          <w:sz w:val="32"/>
          <w:szCs w:val="32"/>
        </w:rPr>
        <w:t>第四部分：名词解释</w:t>
      </w:r>
    </w:p>
    <w:p>
      <w:pPr>
        <w:spacing w:line="560" w:lineRule="exact"/>
        <w:ind w:firstLine="645"/>
        <w:jc w:val="left"/>
        <w:rPr>
          <w:rFonts w:ascii="仿宋_GB2312" w:eastAsia="仿宋_GB2312"/>
          <w:b/>
          <w:sz w:val="32"/>
          <w:szCs w:val="32"/>
        </w:rPr>
      </w:pP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财政拨款收入：指市本级财政当年拨付的资金。</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事业收入：指事业单位开展专业活动用辅助活动所取得的收入。</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经营收入：指事业单位在专业业务活动及辅助活动之外开展非独立核算经营活动取得的收入。</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其他收入：指除上述“财政拨款收入”、“事业收入”、“经营收入”等以外的收入。</w:t>
      </w:r>
    </w:p>
    <w:p>
      <w:pPr>
        <w:numPr>
          <w:ilvl w:val="0"/>
          <w:numId w:val="1"/>
        </w:numPr>
        <w:spacing w:line="580" w:lineRule="exact"/>
        <w:ind w:firstLine="645"/>
        <w:rPr>
          <w:rFonts w:ascii="仿宋_GB2312" w:eastAsia="仿宋_GB2312"/>
          <w:bCs/>
          <w:sz w:val="32"/>
          <w:szCs w:val="32"/>
        </w:rPr>
      </w:pPr>
      <w:r>
        <w:rPr>
          <w:rFonts w:hint="eastAsia" w:ascii="仿宋_GB2312" w:eastAsia="仿宋_GB2312"/>
          <w:sz w:val="32"/>
          <w:szCs w:val="32"/>
        </w:rPr>
        <w:t>使用非财政拨款结余</w:t>
      </w:r>
      <w:r>
        <w:rPr>
          <w:rFonts w:hint="eastAsia" w:ascii="仿宋_GB2312" w:eastAsia="仿宋_GB2312"/>
          <w:bCs/>
          <w:sz w:val="32"/>
          <w:szCs w:val="32"/>
        </w:rPr>
        <w:t>：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年初结转和结余：指以前年度尚未完成、结转到本年按规定继续使用的资金。</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结余分配：指事业单位按规定提取的职工福利基金、事业基金和缴纳的所得税，以及建设单位按规定应交回的基本建设竣工项目结余资金。</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年末结转和结余：指本年度或以前年度预算安排、因客观条件发生变化无法按原计划实施，需延迟到以后年度按有关规定继续使用的资金。</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基本支出：指为保障机构正常运转、完成日常工作任务而发生的人员支出和公用支出。</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项目支出：指在基本支出之外为完成特定行政任务和事业发展目标所发生的支出。</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经营支出：指事业单位在专业业务活动及其辅助活动之外开展非独立核算经营活动发生的支出。</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三公”经费：纳入市本级财政预决算管理的“三公”经费，是指市本级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机关运行经费：为保障行政单位（含参照公务员法管理的事业）运行用于购买货物和服务的各项资金，包括办公及印刷费、邮电费、差旅费、会议费、福利费、日常维修费、专用材料及一般设备购置费、办公用房物业管理费、公务用车运行维护费以及其他费用。</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p>
    <w:p>
      <w:pPr>
        <w:spacing w:line="560" w:lineRule="exact"/>
        <w:jc w:val="left"/>
      </w:pPr>
    </w:p>
    <w:sectPr>
      <w:headerReference r:id="rId3" w:type="default"/>
      <w:footerReference r:id="rId4" w:type="default"/>
      <w:pgSz w:w="11906" w:h="16838"/>
      <w:pgMar w:top="2098" w:right="1474" w:bottom="1985"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10"/>
        <w:sz w:val="30"/>
        <w:szCs w:val="30"/>
      </w:rPr>
    </w:pPr>
    <w:r>
      <w:rPr>
        <w:sz w:val="30"/>
        <w:szCs w:val="30"/>
      </w:rPr>
      <w:fldChar w:fldCharType="begin"/>
    </w:r>
    <w:r>
      <w:rPr>
        <w:rStyle w:val="10"/>
        <w:sz w:val="30"/>
        <w:szCs w:val="30"/>
      </w:rPr>
      <w:instrText xml:space="preserve">PAGE  </w:instrText>
    </w:r>
    <w:r>
      <w:rPr>
        <w:sz w:val="30"/>
        <w:szCs w:val="30"/>
      </w:rPr>
      <w:fldChar w:fldCharType="separate"/>
    </w:r>
    <w:r>
      <w:rPr>
        <w:rStyle w:val="10"/>
        <w:sz w:val="30"/>
        <w:szCs w:val="30"/>
      </w:rPr>
      <w:t>- 17 -</w:t>
    </w:r>
    <w:r>
      <w:rPr>
        <w:sz w:val="30"/>
        <w:szCs w:val="30"/>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3C8BA7"/>
    <w:multiLevelType w:val="singleLevel"/>
    <w:tmpl w:val="5B3C8BA7"/>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IzNWNhYzUwOTIyNDg3NzlkMWVjMGY4YWE5OGZhZDMifQ=="/>
  </w:docVars>
  <w:rsids>
    <w:rsidRoot w:val="4C256E3D"/>
    <w:rsid w:val="00066CA3"/>
    <w:rsid w:val="00077F20"/>
    <w:rsid w:val="000B2427"/>
    <w:rsid w:val="000D3E38"/>
    <w:rsid w:val="00105816"/>
    <w:rsid w:val="0015541C"/>
    <w:rsid w:val="001C4D6A"/>
    <w:rsid w:val="00237E15"/>
    <w:rsid w:val="0024166D"/>
    <w:rsid w:val="002B641B"/>
    <w:rsid w:val="002C4665"/>
    <w:rsid w:val="00302CD5"/>
    <w:rsid w:val="003150EA"/>
    <w:rsid w:val="003263EF"/>
    <w:rsid w:val="00327871"/>
    <w:rsid w:val="003611E0"/>
    <w:rsid w:val="003A3A0F"/>
    <w:rsid w:val="003B6F32"/>
    <w:rsid w:val="003E67F1"/>
    <w:rsid w:val="00407CB9"/>
    <w:rsid w:val="0041163A"/>
    <w:rsid w:val="004458E6"/>
    <w:rsid w:val="0045304C"/>
    <w:rsid w:val="004D0700"/>
    <w:rsid w:val="004E7431"/>
    <w:rsid w:val="005243A7"/>
    <w:rsid w:val="00553228"/>
    <w:rsid w:val="00573298"/>
    <w:rsid w:val="00635087"/>
    <w:rsid w:val="00652006"/>
    <w:rsid w:val="00667163"/>
    <w:rsid w:val="006860B1"/>
    <w:rsid w:val="00692965"/>
    <w:rsid w:val="00697E69"/>
    <w:rsid w:val="006A6BAC"/>
    <w:rsid w:val="006C1367"/>
    <w:rsid w:val="006F4A4A"/>
    <w:rsid w:val="00715385"/>
    <w:rsid w:val="00744F46"/>
    <w:rsid w:val="00763BEA"/>
    <w:rsid w:val="007917F6"/>
    <w:rsid w:val="00797659"/>
    <w:rsid w:val="00797E6B"/>
    <w:rsid w:val="007F6709"/>
    <w:rsid w:val="008647C7"/>
    <w:rsid w:val="00883368"/>
    <w:rsid w:val="008853C8"/>
    <w:rsid w:val="0089011A"/>
    <w:rsid w:val="008A6445"/>
    <w:rsid w:val="008E2693"/>
    <w:rsid w:val="008E47CB"/>
    <w:rsid w:val="008F0A1D"/>
    <w:rsid w:val="00953027"/>
    <w:rsid w:val="009A2136"/>
    <w:rsid w:val="009D7F7E"/>
    <w:rsid w:val="00A11C47"/>
    <w:rsid w:val="00A14EC4"/>
    <w:rsid w:val="00A5693D"/>
    <w:rsid w:val="00A81E09"/>
    <w:rsid w:val="00B3684A"/>
    <w:rsid w:val="00B9659D"/>
    <w:rsid w:val="00BA00BF"/>
    <w:rsid w:val="00BE476B"/>
    <w:rsid w:val="00C641C1"/>
    <w:rsid w:val="00C67B44"/>
    <w:rsid w:val="00CD6FAA"/>
    <w:rsid w:val="00D46605"/>
    <w:rsid w:val="00D809E3"/>
    <w:rsid w:val="00D84BCB"/>
    <w:rsid w:val="00E128C7"/>
    <w:rsid w:val="00F04552"/>
    <w:rsid w:val="00F66C5B"/>
    <w:rsid w:val="00F91208"/>
    <w:rsid w:val="0E074DDF"/>
    <w:rsid w:val="124204B5"/>
    <w:rsid w:val="12CB6C60"/>
    <w:rsid w:val="13C32D4A"/>
    <w:rsid w:val="14F82503"/>
    <w:rsid w:val="16A55DCE"/>
    <w:rsid w:val="182962AB"/>
    <w:rsid w:val="19D073EB"/>
    <w:rsid w:val="1CC31F67"/>
    <w:rsid w:val="1FC95A23"/>
    <w:rsid w:val="24432D89"/>
    <w:rsid w:val="24545362"/>
    <w:rsid w:val="24D337DC"/>
    <w:rsid w:val="26460DBA"/>
    <w:rsid w:val="2762776A"/>
    <w:rsid w:val="279A0238"/>
    <w:rsid w:val="2B6F74EB"/>
    <w:rsid w:val="2C4219FE"/>
    <w:rsid w:val="2F562A43"/>
    <w:rsid w:val="34020F86"/>
    <w:rsid w:val="39A63F06"/>
    <w:rsid w:val="3C986143"/>
    <w:rsid w:val="3ED1439F"/>
    <w:rsid w:val="40E90883"/>
    <w:rsid w:val="47053452"/>
    <w:rsid w:val="48374EDC"/>
    <w:rsid w:val="4C256E3D"/>
    <w:rsid w:val="4CB52F0F"/>
    <w:rsid w:val="4D2B0B4E"/>
    <w:rsid w:val="532F1F9A"/>
    <w:rsid w:val="556A00AB"/>
    <w:rsid w:val="5A2049FC"/>
    <w:rsid w:val="5B2A612B"/>
    <w:rsid w:val="5E995A3E"/>
    <w:rsid w:val="5F430D77"/>
    <w:rsid w:val="62163194"/>
    <w:rsid w:val="624D024D"/>
    <w:rsid w:val="650E086A"/>
    <w:rsid w:val="6ABD4370"/>
    <w:rsid w:val="6BAA0708"/>
    <w:rsid w:val="788651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styleId="10">
    <w:name w:val="page number"/>
    <w:basedOn w:val="8"/>
    <w:qFormat/>
    <w:uiPriority w:val="0"/>
  </w:style>
  <w:style w:type="character" w:customStyle="1" w:styleId="11">
    <w:name w:val="批注框文本 Char"/>
    <w:basedOn w:val="8"/>
    <w:link w:val="2"/>
    <w:qFormat/>
    <w:uiPriority w:val="0"/>
    <w:rPr>
      <w:kern w:val="2"/>
      <w:sz w:val="18"/>
      <w:szCs w:val="18"/>
    </w:rPr>
  </w:style>
  <w:style w:type="character" w:customStyle="1" w:styleId="12">
    <w:name w:val="font11"/>
    <w:basedOn w:val="8"/>
    <w:qFormat/>
    <w:uiPriority w:val="0"/>
    <w:rPr>
      <w:rFonts w:hint="eastAsia" w:ascii="宋体" w:hAnsi="宋体" w:eastAsia="宋体" w:cs="宋体"/>
      <w:color w:val="000000"/>
      <w:sz w:val="22"/>
      <w:szCs w:val="22"/>
      <w:u w:val="none"/>
    </w:rPr>
  </w:style>
  <w:style w:type="character" w:customStyle="1" w:styleId="13">
    <w:name w:val="font0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17</Pages>
  <Words>6785</Words>
  <Characters>7621</Characters>
  <Lines>55</Lines>
  <Paragraphs>15</Paragraphs>
  <TotalTime>79</TotalTime>
  <ScaleCrop>false</ScaleCrop>
  <LinksUpToDate>false</LinksUpToDate>
  <CharactersWithSpaces>7654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ちひろ</cp:lastModifiedBy>
  <cp:lastPrinted>2021-08-03T01:19:00Z</cp:lastPrinted>
  <dcterms:modified xsi:type="dcterms:W3CDTF">2023-03-21T08:36:56Z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171EE808F4CA4684BAE2AFE744B44472</vt:lpwstr>
  </property>
</Properties>
</file>