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bookmarkStart w:id="0" w:name="_GoBack"/>
      <w:bookmarkEnd w:id="0"/>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eastAsia="黑体" w:cs="ArialUnicodeMS"/>
          <w:kern w:val="0"/>
          <w:sz w:val="52"/>
          <w:szCs w:val="52"/>
          <w:lang w:eastAsia="zh-CN"/>
        </w:rPr>
      </w:pPr>
      <w:r>
        <w:rPr>
          <w:rFonts w:hint="eastAsia" w:ascii="黑体" w:eastAsia="黑体" w:cs="ArialUnicodeMS"/>
          <w:kern w:val="0"/>
          <w:sz w:val="52"/>
          <w:szCs w:val="52"/>
          <w:lang w:eastAsia="zh-CN"/>
        </w:rPr>
        <w:t>柳州市艺术研究所</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w:t>
      </w:r>
      <w:r>
        <w:rPr>
          <w:rFonts w:hint="eastAsia" w:ascii="黑体" w:eastAsia="黑体" w:cs="ArialUnicodeMS"/>
          <w:kern w:val="0"/>
          <w:sz w:val="52"/>
          <w:szCs w:val="52"/>
          <w:lang w:val="en-US"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柳州市艺术研究所</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柳州市艺术研究所</w:t>
      </w:r>
      <w:r>
        <w:rPr>
          <w:rFonts w:hint="eastAsia" w:ascii="仿宋_GB2312" w:eastAsia="仿宋_GB2312"/>
          <w:b/>
          <w:sz w:val="32"/>
          <w:szCs w:val="32"/>
        </w:rPr>
        <w:t>2020年决算报表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柳州市艺术研究所</w:t>
      </w:r>
      <w:r>
        <w:rPr>
          <w:rFonts w:hint="eastAsia" w:ascii="仿宋_GB2312" w:eastAsia="仿宋_GB2312"/>
          <w:b/>
          <w:sz w:val="32"/>
          <w:szCs w:val="32"/>
        </w:rPr>
        <w:t>2020年度决算情况说明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年度政府性基金预算财政拨款收入支出决算情况</w:t>
      </w:r>
    </w:p>
    <w:p>
      <w:pPr>
        <w:ind w:left="645"/>
        <w:rPr>
          <w:rFonts w:hint="eastAsia"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color w:val="auto"/>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w:t>
      </w:r>
      <w:r>
        <w:rPr>
          <w:rFonts w:hint="eastAsia" w:ascii="仿宋_GB2312" w:hAnsi="黑体" w:eastAsia="仿宋_GB2312"/>
          <w:b/>
          <w:bCs/>
          <w:color w:val="000000"/>
          <w:sz w:val="32"/>
          <w:szCs w:val="32"/>
          <w:u w:val="none"/>
          <w:lang w:val="en-US" w:eastAsia="zh-CN"/>
        </w:rPr>
        <w:t>艺术研究所</w:t>
      </w:r>
      <w:r>
        <w:rPr>
          <w:rFonts w:hint="eastAsia" w:ascii="仿宋_GB2312" w:eastAsia="仿宋_GB2312"/>
          <w:b/>
          <w:sz w:val="32"/>
          <w:szCs w:val="32"/>
        </w:rPr>
        <w:t>概况</w:t>
      </w:r>
    </w:p>
    <w:p>
      <w:pPr>
        <w:ind w:firstLine="646"/>
        <w:rPr>
          <w:rFonts w:ascii="仿宋_GB2312" w:eastAsia="仿宋_GB2312"/>
          <w:b/>
          <w:bCs/>
          <w:sz w:val="32"/>
          <w:szCs w:val="32"/>
        </w:rPr>
      </w:pPr>
      <w:r>
        <w:rPr>
          <w:rFonts w:hint="eastAsia" w:ascii="仿宋_GB2312" w:eastAsia="仿宋_GB2312"/>
          <w:b/>
          <w:bCs/>
          <w:sz w:val="32"/>
          <w:szCs w:val="32"/>
        </w:rPr>
        <w:t>一、主要职能</w:t>
      </w:r>
    </w:p>
    <w:p>
      <w:pPr>
        <w:pStyle w:val="11"/>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highlight w:val="none"/>
          <w:u w:val="none"/>
          <w:lang w:val="en-US" w:eastAsia="zh-CN"/>
        </w:rPr>
      </w:pPr>
      <w:r>
        <w:rPr>
          <w:rFonts w:hint="eastAsia" w:ascii="仿宋_GB2312" w:hAnsi="仿宋_GB2312" w:eastAsia="仿宋_GB2312" w:cs="仿宋_GB2312"/>
          <w:b w:val="0"/>
          <w:bCs w:val="0"/>
          <w:color w:val="auto"/>
          <w:sz w:val="32"/>
          <w:highlight w:val="none"/>
          <w:u w:val="none"/>
          <w:lang w:eastAsia="zh-CN"/>
        </w:rPr>
        <w:t>（</w:t>
      </w:r>
      <w:r>
        <w:rPr>
          <w:rFonts w:hint="eastAsia" w:ascii="仿宋_GB2312" w:hAnsi="仿宋_GB2312" w:eastAsia="仿宋_GB2312" w:cs="仿宋_GB2312"/>
          <w:b w:val="0"/>
          <w:bCs w:val="0"/>
          <w:color w:val="auto"/>
          <w:sz w:val="32"/>
          <w:highlight w:val="none"/>
          <w:u w:val="none"/>
          <w:lang w:val="en-US" w:eastAsia="zh-CN"/>
        </w:rPr>
        <w:t>1</w:t>
      </w:r>
      <w:r>
        <w:rPr>
          <w:rFonts w:hint="eastAsia" w:ascii="仿宋_GB2312" w:hAnsi="仿宋_GB2312" w:eastAsia="仿宋_GB2312" w:cs="仿宋_GB2312"/>
          <w:b w:val="0"/>
          <w:bCs w:val="0"/>
          <w:color w:val="auto"/>
          <w:sz w:val="32"/>
          <w:highlight w:val="none"/>
          <w:u w:val="none"/>
          <w:lang w:eastAsia="zh-CN"/>
        </w:rPr>
        <w:t>）</w:t>
      </w:r>
      <w:r>
        <w:rPr>
          <w:rFonts w:hint="eastAsia" w:ascii="仿宋_GB2312" w:hAnsi="仿宋_GB2312" w:eastAsia="仿宋_GB2312" w:cs="仿宋_GB2312"/>
          <w:b w:val="0"/>
          <w:bCs w:val="0"/>
          <w:color w:val="auto"/>
          <w:sz w:val="32"/>
          <w:highlight w:val="none"/>
          <w:u w:val="none"/>
          <w:lang w:val="en-US" w:eastAsia="zh-CN"/>
        </w:rPr>
        <w:t>负责柳州市戏剧、音乐、舞蹈、舞台美术等表演艺术策划、创作和研究。</w:t>
      </w:r>
    </w:p>
    <w:p>
      <w:pPr>
        <w:pStyle w:val="11"/>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highlight w:val="none"/>
          <w:u w:val="none"/>
          <w:lang w:eastAsia="zh-CN"/>
        </w:rPr>
      </w:pPr>
      <w:r>
        <w:rPr>
          <w:rFonts w:hint="eastAsia" w:ascii="仿宋_GB2312" w:hAnsi="仿宋_GB2312" w:eastAsia="仿宋_GB2312" w:cs="仿宋_GB2312"/>
          <w:b w:val="0"/>
          <w:bCs w:val="0"/>
          <w:color w:val="auto"/>
          <w:sz w:val="32"/>
          <w:szCs w:val="22"/>
          <w:highlight w:val="none"/>
          <w:u w:val="none"/>
          <w:lang w:eastAsia="zh-CN"/>
        </w:rPr>
        <w:t>（</w:t>
      </w:r>
      <w:r>
        <w:rPr>
          <w:rFonts w:hint="eastAsia" w:ascii="仿宋_GB2312" w:hAnsi="仿宋_GB2312" w:eastAsia="仿宋_GB2312" w:cs="仿宋_GB2312"/>
          <w:b w:val="0"/>
          <w:bCs w:val="0"/>
          <w:color w:val="auto"/>
          <w:sz w:val="32"/>
          <w:szCs w:val="22"/>
          <w:highlight w:val="none"/>
          <w:u w:val="none"/>
          <w:lang w:val="en-US" w:eastAsia="zh-CN"/>
        </w:rPr>
        <w:t>2</w:t>
      </w:r>
      <w:r>
        <w:rPr>
          <w:rFonts w:hint="eastAsia" w:ascii="仿宋_GB2312" w:hAnsi="仿宋_GB2312" w:eastAsia="仿宋_GB2312" w:cs="仿宋_GB2312"/>
          <w:b w:val="0"/>
          <w:bCs w:val="0"/>
          <w:color w:val="auto"/>
          <w:sz w:val="32"/>
          <w:szCs w:val="22"/>
          <w:highlight w:val="none"/>
          <w:u w:val="none"/>
          <w:lang w:eastAsia="zh-CN"/>
        </w:rPr>
        <w:t>）</w:t>
      </w:r>
      <w:r>
        <w:rPr>
          <w:rFonts w:hint="eastAsia" w:ascii="仿宋_GB2312" w:hAnsi="仿宋_GB2312" w:eastAsia="仿宋_GB2312" w:cs="仿宋_GB2312"/>
          <w:b w:val="0"/>
          <w:bCs w:val="0"/>
          <w:color w:val="auto"/>
          <w:sz w:val="32"/>
          <w:szCs w:val="22"/>
          <w:highlight w:val="none"/>
          <w:u w:val="none"/>
          <w:lang w:val="en-US" w:eastAsia="zh-CN"/>
        </w:rPr>
        <w:t>负责柳州市重大文艺晚会策划、创作，灯光设计、制作。</w:t>
      </w:r>
    </w:p>
    <w:p>
      <w:pPr>
        <w:pStyle w:val="11"/>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22"/>
          <w:highlight w:val="none"/>
          <w:u w:val="none"/>
          <w:lang w:val="en-US" w:eastAsia="zh-CN"/>
        </w:rPr>
      </w:pPr>
      <w:r>
        <w:rPr>
          <w:rFonts w:hint="eastAsia" w:ascii="仿宋_GB2312" w:hAnsi="仿宋_GB2312" w:eastAsia="仿宋_GB2312" w:cs="仿宋_GB2312"/>
          <w:b w:val="0"/>
          <w:bCs w:val="0"/>
          <w:color w:val="auto"/>
          <w:sz w:val="32"/>
          <w:szCs w:val="22"/>
          <w:highlight w:val="none"/>
          <w:u w:val="none"/>
          <w:lang w:eastAsia="zh-CN"/>
        </w:rPr>
        <w:t>（</w:t>
      </w:r>
      <w:r>
        <w:rPr>
          <w:rFonts w:hint="eastAsia" w:ascii="仿宋_GB2312" w:hAnsi="仿宋_GB2312" w:eastAsia="仿宋_GB2312" w:cs="仿宋_GB2312"/>
          <w:b w:val="0"/>
          <w:bCs w:val="0"/>
          <w:color w:val="auto"/>
          <w:sz w:val="32"/>
          <w:szCs w:val="22"/>
          <w:highlight w:val="none"/>
          <w:u w:val="none"/>
          <w:lang w:val="en-US" w:eastAsia="zh-CN"/>
        </w:rPr>
        <w:t>3</w:t>
      </w:r>
      <w:r>
        <w:rPr>
          <w:rFonts w:hint="eastAsia" w:ascii="仿宋_GB2312" w:hAnsi="仿宋_GB2312" w:eastAsia="仿宋_GB2312" w:cs="仿宋_GB2312"/>
          <w:b w:val="0"/>
          <w:bCs w:val="0"/>
          <w:color w:val="auto"/>
          <w:sz w:val="32"/>
          <w:szCs w:val="22"/>
          <w:highlight w:val="none"/>
          <w:u w:val="none"/>
          <w:lang w:eastAsia="zh-CN"/>
        </w:rPr>
        <w:t>）</w:t>
      </w:r>
      <w:r>
        <w:rPr>
          <w:rFonts w:hint="eastAsia" w:ascii="仿宋_GB2312" w:hAnsi="仿宋_GB2312" w:eastAsia="仿宋_GB2312" w:cs="仿宋_GB2312"/>
          <w:b w:val="0"/>
          <w:bCs w:val="0"/>
          <w:color w:val="auto"/>
          <w:sz w:val="32"/>
          <w:szCs w:val="22"/>
          <w:highlight w:val="none"/>
          <w:u w:val="none"/>
          <w:lang w:val="en-US" w:eastAsia="zh-CN"/>
        </w:rPr>
        <w:t>用文艺创作的形式，弘扬主旋律，创作优秀文艺作品，鼓舞人，教育人。</w:t>
      </w:r>
    </w:p>
    <w:p>
      <w:pPr>
        <w:pStyle w:val="11"/>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highlight w:val="none"/>
          <w:u w:val="none"/>
          <w:lang w:eastAsia="zh-CN"/>
        </w:rPr>
      </w:pPr>
      <w:r>
        <w:rPr>
          <w:rFonts w:hint="eastAsia" w:ascii="仿宋_GB2312" w:hAnsi="仿宋_GB2312" w:eastAsia="仿宋_GB2312" w:cs="仿宋_GB2312"/>
          <w:b w:val="0"/>
          <w:bCs w:val="0"/>
          <w:color w:val="auto"/>
          <w:sz w:val="32"/>
          <w:szCs w:val="22"/>
          <w:highlight w:val="none"/>
          <w:u w:val="none"/>
          <w:lang w:eastAsia="zh-CN"/>
        </w:rPr>
        <w:t>（</w:t>
      </w:r>
      <w:r>
        <w:rPr>
          <w:rFonts w:hint="eastAsia" w:ascii="仿宋_GB2312" w:hAnsi="仿宋_GB2312" w:eastAsia="仿宋_GB2312" w:cs="仿宋_GB2312"/>
          <w:b w:val="0"/>
          <w:bCs w:val="0"/>
          <w:color w:val="auto"/>
          <w:sz w:val="32"/>
          <w:szCs w:val="22"/>
          <w:highlight w:val="none"/>
          <w:u w:val="none"/>
          <w:lang w:val="en-US" w:eastAsia="zh-CN"/>
        </w:rPr>
        <w:t>4</w:t>
      </w:r>
      <w:r>
        <w:rPr>
          <w:rFonts w:hint="eastAsia" w:ascii="仿宋_GB2312" w:hAnsi="仿宋_GB2312" w:eastAsia="仿宋_GB2312" w:cs="仿宋_GB2312"/>
          <w:b w:val="0"/>
          <w:bCs w:val="0"/>
          <w:color w:val="auto"/>
          <w:sz w:val="32"/>
          <w:szCs w:val="22"/>
          <w:highlight w:val="none"/>
          <w:u w:val="none"/>
          <w:lang w:eastAsia="zh-CN"/>
        </w:rPr>
        <w:t>）</w:t>
      </w:r>
      <w:r>
        <w:rPr>
          <w:rFonts w:hint="eastAsia" w:ascii="仿宋_GB2312" w:hAnsi="仿宋_GB2312" w:eastAsia="仿宋_GB2312" w:cs="仿宋_GB2312"/>
          <w:b w:val="0"/>
          <w:bCs w:val="0"/>
          <w:color w:val="auto"/>
          <w:sz w:val="32"/>
          <w:szCs w:val="22"/>
          <w:highlight w:val="none"/>
          <w:u w:val="none"/>
          <w:lang w:val="en-US" w:eastAsia="zh-CN"/>
        </w:rPr>
        <w:t>负责文艺资料的收集、整理、归档、保存等。</w:t>
      </w:r>
    </w:p>
    <w:p>
      <w:pPr>
        <w:pStyle w:val="11"/>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22"/>
          <w:highlight w:val="none"/>
          <w:u w:val="none"/>
          <w:lang w:val="en-US" w:eastAsia="zh-CN"/>
        </w:rPr>
      </w:pPr>
      <w:r>
        <w:rPr>
          <w:rFonts w:hint="eastAsia" w:ascii="仿宋_GB2312" w:hAnsi="仿宋_GB2312" w:eastAsia="仿宋_GB2312" w:cs="仿宋_GB2312"/>
          <w:b w:val="0"/>
          <w:bCs w:val="0"/>
          <w:color w:val="auto"/>
          <w:sz w:val="32"/>
          <w:szCs w:val="22"/>
          <w:highlight w:val="none"/>
          <w:u w:val="none"/>
          <w:lang w:eastAsia="zh-CN"/>
        </w:rPr>
        <w:t>（</w:t>
      </w:r>
      <w:r>
        <w:rPr>
          <w:rFonts w:hint="eastAsia" w:ascii="仿宋_GB2312" w:hAnsi="仿宋_GB2312" w:eastAsia="仿宋_GB2312" w:cs="仿宋_GB2312"/>
          <w:b w:val="0"/>
          <w:bCs w:val="0"/>
          <w:color w:val="auto"/>
          <w:sz w:val="32"/>
          <w:szCs w:val="22"/>
          <w:highlight w:val="none"/>
          <w:u w:val="none"/>
          <w:lang w:val="en-US" w:eastAsia="zh-CN"/>
        </w:rPr>
        <w:t>5</w:t>
      </w:r>
      <w:r>
        <w:rPr>
          <w:rFonts w:hint="eastAsia" w:ascii="仿宋_GB2312" w:hAnsi="仿宋_GB2312" w:eastAsia="仿宋_GB2312" w:cs="仿宋_GB2312"/>
          <w:b w:val="0"/>
          <w:bCs w:val="0"/>
          <w:color w:val="auto"/>
          <w:sz w:val="32"/>
          <w:szCs w:val="22"/>
          <w:highlight w:val="none"/>
          <w:u w:val="none"/>
          <w:lang w:eastAsia="zh-CN"/>
        </w:rPr>
        <w:t>）</w:t>
      </w:r>
      <w:r>
        <w:rPr>
          <w:rFonts w:hint="eastAsia" w:ascii="仿宋_GB2312" w:hAnsi="仿宋_GB2312" w:eastAsia="仿宋_GB2312" w:cs="仿宋_GB2312"/>
          <w:b w:val="0"/>
          <w:bCs w:val="0"/>
          <w:color w:val="auto"/>
          <w:sz w:val="32"/>
          <w:szCs w:val="22"/>
          <w:highlight w:val="none"/>
          <w:u w:val="none"/>
          <w:lang w:val="en-US" w:eastAsia="zh-CN"/>
        </w:rPr>
        <w:t>完成主管单位交办的其他任务。</w:t>
      </w:r>
    </w:p>
    <w:p>
      <w:pPr>
        <w:ind w:firstLine="646"/>
        <w:rPr>
          <w:rFonts w:hint="eastAsia" w:ascii="仿宋_GB2312" w:eastAsia="仿宋_GB2312"/>
          <w:b/>
          <w:bCs/>
          <w:color w:val="auto"/>
          <w:sz w:val="32"/>
          <w:szCs w:val="32"/>
          <w:u w:val="none"/>
        </w:rPr>
      </w:pPr>
      <w:r>
        <w:rPr>
          <w:rFonts w:hint="eastAsia" w:ascii="仿宋_GB2312" w:eastAsia="仿宋_GB2312"/>
          <w:b/>
          <w:bCs/>
          <w:color w:val="auto"/>
          <w:sz w:val="32"/>
          <w:szCs w:val="32"/>
          <w:u w:val="none"/>
        </w:rPr>
        <w:t>二、决算单位构成</w:t>
      </w:r>
    </w:p>
    <w:p>
      <w:pPr>
        <w:ind w:firstLine="645"/>
        <w:rPr>
          <w:rFonts w:hint="default" w:ascii="仿宋_GB2312" w:eastAsia="仿宋_GB2312"/>
          <w:sz w:val="32"/>
          <w:szCs w:val="32"/>
          <w:lang w:val="en-US" w:eastAsia="zh-CN"/>
        </w:rPr>
      </w:pPr>
      <w:r>
        <w:rPr>
          <w:rFonts w:hint="eastAsia" w:ascii="仿宋_GB2312" w:eastAsia="仿宋_GB2312"/>
          <w:sz w:val="32"/>
          <w:szCs w:val="32"/>
          <w:lang w:val="en-US" w:eastAsia="zh-CN"/>
        </w:rPr>
        <w:t>柳州市艺术研究所</w:t>
      </w:r>
    </w:p>
    <w:p>
      <w:pPr>
        <w:jc w:val="center"/>
      </w:pPr>
    </w:p>
    <w:p>
      <w:pPr>
        <w:ind w:left="0" w:leftChars="0" w:right="0" w:rightChars="0" w:firstLine="0" w:firstLineChars="0"/>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w:t>
      </w:r>
      <w:r>
        <w:rPr>
          <w:rFonts w:hint="eastAsia" w:ascii="仿宋_GB2312" w:hAnsi="黑体" w:eastAsia="仿宋_GB2312"/>
          <w:b/>
          <w:bCs/>
          <w:color w:val="000000"/>
          <w:sz w:val="32"/>
          <w:szCs w:val="32"/>
          <w:u w:val="none"/>
          <w:lang w:val="en-US" w:eastAsia="zh-CN"/>
        </w:rPr>
        <w:t>艺术研究所</w:t>
      </w:r>
      <w:r>
        <w:rPr>
          <w:rFonts w:hint="eastAsia" w:ascii="仿宋_GB2312" w:eastAsia="仿宋_GB2312"/>
          <w:b/>
          <w:sz w:val="32"/>
          <w:szCs w:val="32"/>
        </w:rPr>
        <w:t>2020年决算报表</w:t>
      </w:r>
    </w:p>
    <w:p>
      <w:pPr>
        <w:ind w:firstLine="640" w:firstLineChars="200"/>
        <w:rPr>
          <w:rFonts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lang w:val="en-US" w:eastAsia="zh-CN"/>
        </w:rPr>
        <w:t>表一：收入支出决算总表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表二：收入决算表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表三：支出决算表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表四：财政拨款收入支出决算总表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表五：一般公共预算财政拨款支出决算表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表六：一般公共预算财政拨款基本支出决算表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表七：一般公共预算财政拨款安排的“三公”经费支出决算表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表八：政府性基金预算财政拨款收入支出决算表</w:t>
      </w:r>
    </w:p>
    <w:p>
      <w:pPr>
        <w:ind w:firstLine="640" w:firstLineChars="200"/>
        <w:rPr>
          <w:rFonts w:hint="eastAsia" w:ascii="仿宋_GB2312" w:hAnsi="黑体" w:eastAsia="仿宋_GB2312" w:cs="Times New Roman"/>
          <w:color w:val="auto"/>
          <w:sz w:val="32"/>
          <w:szCs w:val="32"/>
          <w:u w:val="none"/>
        </w:rPr>
      </w:pPr>
      <w:r>
        <w:rPr>
          <w:rFonts w:hint="eastAsia" w:ascii="仿宋_GB2312" w:hAnsi="黑体" w:eastAsia="仿宋_GB2312" w:cs="Times New Roman"/>
          <w:color w:val="auto"/>
          <w:sz w:val="32"/>
          <w:szCs w:val="32"/>
          <w:u w:val="none"/>
          <w:lang w:val="en-US" w:eastAsia="zh-CN"/>
        </w:rPr>
        <w:t>表九：国有资本经营预算财政拨款支出决算表</w:t>
      </w:r>
    </w:p>
    <w:p>
      <w:pPr>
        <w:jc w:val="center"/>
      </w:pPr>
      <w:r>
        <w:rPr>
          <w:rFonts w:hint="eastAsia" w:ascii="仿宋_GB2312" w:hAnsi="仿宋_GB2312" w:eastAsia="仿宋_GB2312" w:cs="仿宋_GB2312"/>
          <w:sz w:val="32"/>
          <w:szCs w:val="32"/>
          <w:lang w:eastAsia="zh-CN"/>
        </w:rPr>
        <w:t>（详见附件）</w:t>
      </w:r>
    </w:p>
    <w:p>
      <w:pPr>
        <w:spacing w:line="580" w:lineRule="exact"/>
        <w:ind w:left="0" w:leftChars="0" w:right="0" w:rightChars="0" w:firstLine="0" w:firstLineChars="0"/>
        <w:jc w:val="center"/>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柳州市艺术研究所</w:t>
      </w:r>
      <w:r>
        <w:rPr>
          <w:rFonts w:hint="eastAsia" w:ascii="仿宋_GB2312" w:eastAsia="仿宋_GB2312"/>
          <w:b/>
          <w:sz w:val="32"/>
          <w:szCs w:val="32"/>
        </w:rPr>
        <w:t>2020年度决算情况说明</w:t>
      </w:r>
    </w:p>
    <w:p>
      <w:pPr>
        <w:autoSpaceDE w:val="0"/>
        <w:autoSpaceDN w:val="0"/>
        <w:adjustRightInd w:val="0"/>
        <w:spacing w:line="580" w:lineRule="exact"/>
        <w:ind w:firstLine="643" w:firstLineChars="200"/>
        <w:jc w:val="both"/>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both"/>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203.1</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203.1</w:t>
      </w:r>
      <w:r>
        <w:rPr>
          <w:rFonts w:hint="eastAsia" w:ascii="仿宋_GB2312" w:eastAsia="仿宋_GB2312" w:cs="仿宋_GB2312"/>
          <w:bCs/>
          <w:kern w:val="0"/>
          <w:sz w:val="32"/>
          <w:szCs w:val="32"/>
        </w:rPr>
        <w:t>万元，与2019年相比，收、支分别增加</w:t>
      </w:r>
      <w:r>
        <w:rPr>
          <w:rFonts w:hint="eastAsia" w:ascii="仿宋_GB2312" w:eastAsia="仿宋_GB2312" w:cs="仿宋_GB2312"/>
          <w:bCs/>
          <w:kern w:val="0"/>
          <w:sz w:val="32"/>
          <w:szCs w:val="32"/>
          <w:lang w:val="en-US" w:eastAsia="zh-CN"/>
        </w:rPr>
        <w:t>3.64万元</w:t>
      </w:r>
      <w:r>
        <w:rPr>
          <w:rFonts w:hint="eastAsia" w:ascii="仿宋_GB2312" w:eastAsia="仿宋_GB2312" w:cs="仿宋_GB2312"/>
          <w:bCs/>
          <w:kern w:val="0"/>
          <w:sz w:val="32"/>
          <w:szCs w:val="32"/>
        </w:rPr>
        <w:t>；分别增长</w:t>
      </w:r>
      <w:r>
        <w:rPr>
          <w:rFonts w:hint="eastAsia" w:ascii="仿宋_GB2312" w:eastAsia="仿宋_GB2312" w:cs="仿宋_GB2312"/>
          <w:bCs/>
          <w:kern w:val="0"/>
          <w:sz w:val="32"/>
          <w:szCs w:val="32"/>
          <w:lang w:val="en-US" w:eastAsia="zh-CN"/>
        </w:rPr>
        <w:t>1.82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，主要原因是增人增资。</w:t>
      </w:r>
    </w:p>
    <w:p>
      <w:pPr>
        <w:autoSpaceDE w:val="0"/>
        <w:autoSpaceDN w:val="0"/>
        <w:adjustRightInd w:val="0"/>
        <w:spacing w:line="580" w:lineRule="exact"/>
        <w:ind w:firstLine="643" w:firstLineChars="200"/>
        <w:jc w:val="both"/>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both"/>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185.41</w:t>
      </w:r>
      <w:r>
        <w:rPr>
          <w:rFonts w:hint="eastAsia" w:ascii="仿宋_GB2312" w:eastAsia="仿宋_GB2312" w:cs="仿宋_GB2312"/>
          <w:bCs/>
          <w:kern w:val="0"/>
          <w:sz w:val="32"/>
          <w:szCs w:val="32"/>
        </w:rPr>
        <w:t>万元，其中：一般公共预算财政拨款收入</w:t>
      </w:r>
      <w:r>
        <w:rPr>
          <w:rFonts w:hint="eastAsia" w:ascii="仿宋_GB2312" w:eastAsia="仿宋_GB2312" w:cs="仿宋_GB2312"/>
          <w:bCs/>
          <w:kern w:val="0"/>
          <w:sz w:val="32"/>
          <w:szCs w:val="32"/>
          <w:lang w:val="en-US" w:eastAsia="zh-CN"/>
        </w:rPr>
        <w:t>183.32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占比</w:t>
      </w:r>
      <w:r>
        <w:rPr>
          <w:rFonts w:hint="eastAsia" w:ascii="仿宋_GB2312" w:eastAsia="仿宋_GB2312" w:cs="仿宋_GB2312"/>
          <w:bCs/>
          <w:kern w:val="0"/>
          <w:sz w:val="32"/>
          <w:szCs w:val="32"/>
          <w:lang w:val="en-US" w:eastAsia="zh-CN"/>
        </w:rPr>
        <w:t>98.87%</w:t>
      </w:r>
      <w:r>
        <w:rPr>
          <w:rFonts w:hint="eastAsia" w:ascii="仿宋_GB2312" w:eastAsia="仿宋_GB2312" w:cs="仿宋_GB2312"/>
          <w:bCs/>
          <w:kern w:val="0"/>
          <w:sz w:val="32"/>
          <w:szCs w:val="32"/>
        </w:rPr>
        <w:t>；上级补助收入</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1.08%</w:t>
      </w:r>
      <w:r>
        <w:rPr>
          <w:rFonts w:hint="eastAsia" w:ascii="仿宋_GB2312" w:eastAsia="仿宋_GB2312" w:cs="仿宋_GB2312"/>
          <w:bCs/>
          <w:kern w:val="0"/>
          <w:sz w:val="32"/>
          <w:szCs w:val="32"/>
        </w:rPr>
        <w:t>；其他收入</w:t>
      </w:r>
      <w:r>
        <w:rPr>
          <w:rFonts w:hint="eastAsia" w:ascii="仿宋_GB2312" w:eastAsia="仿宋_GB2312" w:cs="仿宋_GB2312"/>
          <w:bCs/>
          <w:kern w:val="0"/>
          <w:sz w:val="32"/>
          <w:szCs w:val="32"/>
          <w:lang w:val="en-US" w:eastAsia="zh-CN"/>
        </w:rPr>
        <w:t>0.09</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0.05</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both"/>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both"/>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185.84</w:t>
      </w:r>
      <w:r>
        <w:rPr>
          <w:rFonts w:hint="eastAsia" w:ascii="仿宋_GB2312" w:eastAsia="仿宋_GB2312" w:cs="仿宋_GB2312"/>
          <w:bCs/>
          <w:kern w:val="0"/>
          <w:sz w:val="32"/>
          <w:szCs w:val="32"/>
        </w:rPr>
        <w:t>万元，其中：基本支出</w:t>
      </w:r>
      <w:r>
        <w:rPr>
          <w:rFonts w:hint="eastAsia" w:ascii="仿宋_GB2312" w:eastAsia="仿宋_GB2312" w:cs="仿宋_GB2312"/>
          <w:bCs/>
          <w:kern w:val="0"/>
          <w:sz w:val="32"/>
          <w:szCs w:val="32"/>
          <w:lang w:val="en-US" w:eastAsia="zh-CN"/>
        </w:rPr>
        <w:t>178.6</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96.1</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7.24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3.9</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both"/>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both"/>
        <w:rPr>
          <w:rFonts w:ascii="仿宋_GB2312" w:eastAsia="仿宋_GB2312" w:cs="仿宋_GB2312"/>
          <w:bCs/>
          <w:kern w:val="0"/>
          <w:sz w:val="32"/>
          <w:szCs w:val="32"/>
        </w:rPr>
      </w:pPr>
      <w:r>
        <w:rPr>
          <w:rFonts w:hint="eastAsia" w:ascii="仿宋_GB2312" w:eastAsia="仿宋_GB2312" w:cs="仿宋_GB2312"/>
          <w:bCs/>
          <w:kern w:val="0"/>
          <w:sz w:val="32"/>
          <w:szCs w:val="32"/>
        </w:rPr>
        <w:t>本</w:t>
      </w:r>
      <w:r>
        <w:rPr>
          <w:rFonts w:hint="eastAsia" w:ascii="仿宋_GB2312" w:eastAsia="仿宋_GB2312" w:cs="仿宋_GB2312"/>
          <w:bCs/>
          <w:kern w:val="0"/>
          <w:sz w:val="32"/>
          <w:szCs w:val="32"/>
          <w:lang w:val="en-US" w:eastAsia="zh-CN"/>
        </w:rPr>
        <w:t>单位</w:t>
      </w:r>
      <w:r>
        <w:rPr>
          <w:rFonts w:hint="eastAsia" w:ascii="仿宋_GB2312" w:eastAsia="仿宋_GB2312" w:cs="仿宋_GB2312"/>
          <w:bCs/>
          <w:kern w:val="0"/>
          <w:sz w:val="32"/>
          <w:szCs w:val="32"/>
        </w:rPr>
        <w:t>2020年度财政拨款收、支总决算</w:t>
      </w:r>
      <w:r>
        <w:rPr>
          <w:rFonts w:hint="eastAsia" w:ascii="仿宋_GB2312" w:eastAsia="仿宋_GB2312" w:cs="仿宋_GB2312"/>
          <w:bCs/>
          <w:kern w:val="0"/>
          <w:sz w:val="32"/>
          <w:szCs w:val="32"/>
          <w:lang w:val="en-US" w:eastAsia="zh-CN"/>
        </w:rPr>
        <w:t>190.89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190.89</w:t>
      </w:r>
      <w:r>
        <w:rPr>
          <w:rFonts w:hint="eastAsia" w:ascii="仿宋_GB2312" w:eastAsia="仿宋_GB2312" w:cs="仿宋_GB2312"/>
          <w:bCs/>
          <w:kern w:val="0"/>
          <w:sz w:val="32"/>
          <w:szCs w:val="32"/>
        </w:rPr>
        <w:t>万元。与2019年相比，财政拨款收、支总计各增加</w:t>
      </w:r>
      <w:r>
        <w:rPr>
          <w:rFonts w:hint="eastAsia" w:ascii="仿宋_GB2312" w:eastAsia="仿宋_GB2312" w:cs="仿宋_GB2312"/>
          <w:bCs/>
          <w:kern w:val="0"/>
          <w:sz w:val="32"/>
          <w:szCs w:val="32"/>
          <w:lang w:val="en-US" w:eastAsia="zh-CN"/>
        </w:rPr>
        <w:t>1.56</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0.82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，主要原因是增人增资。</w:t>
      </w:r>
    </w:p>
    <w:p>
      <w:pPr>
        <w:autoSpaceDE w:val="0"/>
        <w:autoSpaceDN w:val="0"/>
        <w:adjustRightInd w:val="0"/>
        <w:spacing w:line="580" w:lineRule="exact"/>
        <w:ind w:firstLine="643" w:firstLineChars="200"/>
        <w:jc w:val="both"/>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both"/>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（一）财政拨款支出决算情况</w:t>
      </w:r>
    </w:p>
    <w:p>
      <w:pPr>
        <w:autoSpaceDE w:val="0"/>
        <w:autoSpaceDN w:val="0"/>
        <w:adjustRightInd w:val="0"/>
        <w:spacing w:line="580" w:lineRule="exact"/>
        <w:ind w:firstLine="640" w:firstLineChars="200"/>
        <w:jc w:val="both"/>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2020年度财政拨款支出</w:t>
      </w:r>
      <w:r>
        <w:rPr>
          <w:rFonts w:hint="eastAsia" w:ascii="仿宋_GB2312" w:eastAsia="仿宋_GB2312" w:cs="仿宋_GB2312"/>
          <w:bCs/>
          <w:kern w:val="0"/>
          <w:sz w:val="32"/>
          <w:szCs w:val="32"/>
          <w:lang w:val="en-US" w:eastAsia="zh-CN"/>
        </w:rPr>
        <w:t>185.6</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99.87</w:t>
      </w:r>
      <w:r>
        <w:rPr>
          <w:rFonts w:hint="eastAsia" w:ascii="仿宋_GB2312" w:eastAsia="仿宋_GB2312" w:cs="仿宋_GB2312"/>
          <w:bCs/>
          <w:kern w:val="0"/>
          <w:sz w:val="32"/>
          <w:szCs w:val="32"/>
        </w:rPr>
        <w:t>%。与2019年相比，财政拨款支出增</w:t>
      </w:r>
      <w:r>
        <w:rPr>
          <w:rFonts w:hint="eastAsia" w:ascii="仿宋_GB2312" w:eastAsia="仿宋_GB2312" w:cs="仿宋_GB2312"/>
          <w:bCs/>
          <w:kern w:val="0"/>
          <w:sz w:val="32"/>
          <w:szCs w:val="32"/>
          <w:lang w:eastAsia="zh-CN"/>
        </w:rPr>
        <w:t>加</w:t>
      </w:r>
      <w:r>
        <w:rPr>
          <w:rFonts w:hint="eastAsia" w:ascii="仿宋_GB2312" w:eastAsia="仿宋_GB2312" w:cs="仿宋_GB2312"/>
          <w:bCs/>
          <w:kern w:val="0"/>
          <w:sz w:val="32"/>
          <w:szCs w:val="32"/>
          <w:lang w:val="en-US" w:eastAsia="zh-CN"/>
        </w:rPr>
        <w:t>3.84</w:t>
      </w:r>
      <w:r>
        <w:rPr>
          <w:rFonts w:hint="eastAsia" w:ascii="仿宋_GB2312" w:eastAsia="仿宋_GB2312" w:cs="仿宋_GB2312"/>
          <w:bCs/>
          <w:kern w:val="0"/>
          <w:sz w:val="32"/>
          <w:szCs w:val="32"/>
        </w:rPr>
        <w:t>万元，增</w:t>
      </w:r>
      <w:r>
        <w:rPr>
          <w:rFonts w:hint="eastAsia" w:ascii="仿宋_GB2312" w:eastAsia="仿宋_GB2312" w:cs="仿宋_GB2312"/>
          <w:bCs/>
          <w:kern w:val="0"/>
          <w:sz w:val="32"/>
          <w:szCs w:val="32"/>
          <w:lang w:eastAsia="zh-CN"/>
        </w:rPr>
        <w:t>长</w:t>
      </w:r>
      <w:r>
        <w:rPr>
          <w:rFonts w:hint="eastAsia" w:ascii="仿宋_GB2312" w:eastAsia="仿宋_GB2312" w:cs="仿宋_GB2312"/>
          <w:bCs/>
          <w:kern w:val="0"/>
          <w:sz w:val="32"/>
          <w:szCs w:val="32"/>
          <w:lang w:val="en-US" w:eastAsia="zh-CN"/>
        </w:rPr>
        <w:t>2.11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，主要原因是增人增资。</w:t>
      </w:r>
    </w:p>
    <w:p>
      <w:pPr>
        <w:autoSpaceDE w:val="0"/>
        <w:autoSpaceDN w:val="0"/>
        <w:adjustRightInd w:val="0"/>
        <w:spacing w:line="580" w:lineRule="exact"/>
        <w:ind w:firstLine="640" w:firstLineChars="200"/>
        <w:jc w:val="both"/>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ind w:firstLine="640" w:firstLineChars="200"/>
        <w:jc w:val="both"/>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 年度财政拨款支出</w:t>
      </w:r>
      <w:r>
        <w:rPr>
          <w:rFonts w:hint="eastAsia" w:ascii="仿宋_GB2312" w:eastAsia="仿宋_GB2312" w:cs="仿宋_GB2312"/>
          <w:bCs/>
          <w:kern w:val="0"/>
          <w:sz w:val="32"/>
          <w:szCs w:val="32"/>
          <w:lang w:val="en-US" w:eastAsia="zh-CN"/>
        </w:rPr>
        <w:t>185.6</w:t>
      </w:r>
      <w:r>
        <w:rPr>
          <w:rFonts w:hint="eastAsia" w:ascii="仿宋_GB2312" w:eastAsia="仿宋_GB2312" w:cs="仿宋_GB2312"/>
          <w:bCs/>
          <w:kern w:val="0"/>
          <w:sz w:val="32"/>
          <w:szCs w:val="32"/>
        </w:rPr>
        <w:t>万元，主要用于以下方面：文化旅游体育与传媒支出</w:t>
      </w:r>
      <w:r>
        <w:rPr>
          <w:rFonts w:hint="eastAsia" w:ascii="仿宋_GB2312" w:eastAsia="仿宋_GB2312" w:cs="仿宋_GB2312"/>
          <w:bCs/>
          <w:kern w:val="0"/>
          <w:sz w:val="32"/>
          <w:szCs w:val="32"/>
          <w:lang w:val="en-US" w:eastAsia="zh-CN"/>
        </w:rPr>
        <w:t>128.82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69.4</w:t>
      </w:r>
      <w:r>
        <w:rPr>
          <w:rFonts w:hint="eastAsia" w:ascii="仿宋_GB2312" w:eastAsia="仿宋_GB2312" w:cs="仿宋_GB2312"/>
          <w:bCs/>
          <w:kern w:val="0"/>
          <w:sz w:val="32"/>
          <w:szCs w:val="32"/>
        </w:rPr>
        <w:t>1%；社会保障和就业支出</w:t>
      </w:r>
      <w:r>
        <w:rPr>
          <w:rFonts w:hint="eastAsia" w:ascii="仿宋_GB2312" w:eastAsia="仿宋_GB2312" w:cs="仿宋_GB2312"/>
          <w:bCs/>
          <w:kern w:val="0"/>
          <w:sz w:val="32"/>
          <w:szCs w:val="32"/>
          <w:lang w:val="en-US" w:eastAsia="zh-CN"/>
        </w:rPr>
        <w:t>35.54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19.15</w:t>
      </w:r>
      <w:r>
        <w:rPr>
          <w:rFonts w:hint="eastAsia" w:ascii="仿宋_GB2312" w:eastAsia="仿宋_GB2312" w:cs="仿宋_GB2312"/>
          <w:bCs/>
          <w:kern w:val="0"/>
          <w:sz w:val="32"/>
          <w:szCs w:val="32"/>
        </w:rPr>
        <w:t>%；卫生健康支出</w:t>
      </w:r>
      <w:r>
        <w:rPr>
          <w:rFonts w:hint="eastAsia" w:ascii="仿宋_GB2312" w:eastAsia="仿宋_GB2312" w:cs="仿宋_GB2312"/>
          <w:bCs/>
          <w:kern w:val="0"/>
          <w:sz w:val="32"/>
          <w:szCs w:val="32"/>
          <w:lang w:val="en-US" w:eastAsia="zh-CN"/>
        </w:rPr>
        <w:t>8.17</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4.4</w:t>
      </w:r>
      <w:r>
        <w:rPr>
          <w:rFonts w:hint="eastAsia" w:ascii="仿宋_GB2312" w:eastAsia="仿宋_GB2312" w:cs="仿宋_GB2312"/>
          <w:bCs/>
          <w:kern w:val="0"/>
          <w:sz w:val="32"/>
          <w:szCs w:val="32"/>
        </w:rPr>
        <w:t>%；住房保障支出</w:t>
      </w:r>
      <w:r>
        <w:rPr>
          <w:rFonts w:hint="eastAsia" w:ascii="仿宋_GB2312" w:eastAsia="仿宋_GB2312" w:cs="仿宋_GB2312"/>
          <w:bCs/>
          <w:kern w:val="0"/>
          <w:sz w:val="32"/>
          <w:szCs w:val="32"/>
          <w:lang w:val="en-US" w:eastAsia="zh-CN"/>
        </w:rPr>
        <w:t>13.07</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7.04</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both"/>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both"/>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2020年度财政拨款支出年初预算为</w:t>
      </w:r>
      <w:r>
        <w:rPr>
          <w:rFonts w:hint="eastAsia" w:ascii="仿宋_GB2312" w:eastAsia="仿宋_GB2312" w:cs="仿宋_GB2312"/>
          <w:bCs/>
          <w:kern w:val="0"/>
          <w:sz w:val="32"/>
          <w:szCs w:val="32"/>
          <w:lang w:val="en-US" w:eastAsia="zh-CN"/>
        </w:rPr>
        <w:t>154.98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185.6</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119.76</w:t>
      </w:r>
      <w:r>
        <w:rPr>
          <w:rFonts w:hint="eastAsia" w:ascii="仿宋_GB2312" w:eastAsia="仿宋_GB2312" w:cs="仿宋_GB2312"/>
          <w:bCs/>
          <w:kern w:val="0"/>
          <w:sz w:val="32"/>
          <w:szCs w:val="32"/>
        </w:rPr>
        <w:t>%。决算数大于预算数的主要原因：一是年中追加安排财政拨款支出预算，涉及</w:t>
      </w:r>
      <w:r>
        <w:rPr>
          <w:rFonts w:hint="eastAsia" w:ascii="仿宋_GB2312" w:eastAsia="仿宋_GB2312" w:cs="仿宋_GB2312"/>
          <w:bCs/>
          <w:kern w:val="0"/>
          <w:sz w:val="32"/>
          <w:szCs w:val="32"/>
          <w:lang w:val="en-US" w:eastAsia="zh-CN"/>
        </w:rPr>
        <w:t>项目</w:t>
      </w:r>
      <w:r>
        <w:rPr>
          <w:rFonts w:hint="eastAsia" w:ascii="仿宋_GB2312" w:eastAsia="仿宋_GB2312" w:cs="仿宋_GB2312"/>
          <w:bCs/>
          <w:kern w:val="0"/>
          <w:sz w:val="32"/>
          <w:szCs w:val="32"/>
        </w:rPr>
        <w:t>有</w:t>
      </w:r>
      <w:r>
        <w:rPr>
          <w:rFonts w:hint="eastAsia" w:ascii="仿宋_GB2312" w:eastAsia="仿宋_GB2312" w:cs="仿宋_GB2312"/>
          <w:bCs/>
          <w:kern w:val="0"/>
          <w:sz w:val="32"/>
          <w:szCs w:val="32"/>
          <w:lang w:val="en-US" w:eastAsia="zh-CN"/>
        </w:rPr>
        <w:t>抚恤金、绩效工资补差</w:t>
      </w:r>
      <w:r>
        <w:rPr>
          <w:rFonts w:hint="eastAsia" w:ascii="仿宋_GB2312" w:eastAsia="仿宋_GB2312" w:cs="仿宋_GB2312"/>
          <w:bCs/>
          <w:kern w:val="0"/>
          <w:sz w:val="32"/>
          <w:szCs w:val="32"/>
          <w:lang w:eastAsia="zh-CN"/>
        </w:rPr>
        <w:t>等</w:t>
      </w:r>
      <w:r>
        <w:rPr>
          <w:rFonts w:hint="eastAsia" w:ascii="仿宋_GB2312" w:eastAsia="仿宋_GB2312" w:cs="仿宋_GB2312"/>
          <w:bCs/>
          <w:kern w:val="0"/>
          <w:sz w:val="32"/>
          <w:szCs w:val="32"/>
        </w:rPr>
        <w:t>；二是部分支出按规定，通过使用以前年度财政拨款结转资金解决。其中：</w:t>
      </w:r>
    </w:p>
    <w:p>
      <w:pPr>
        <w:autoSpaceDE w:val="0"/>
        <w:autoSpaceDN w:val="0"/>
        <w:adjustRightInd w:val="0"/>
        <w:spacing w:line="580" w:lineRule="exact"/>
        <w:ind w:firstLine="640" w:firstLineChars="200"/>
        <w:jc w:val="both"/>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.文化旅游体育与传媒支出（类）文化和旅游（款）其他文化和旅游支出（项）年初预算为</w:t>
      </w:r>
      <w:r>
        <w:rPr>
          <w:rFonts w:hint="eastAsia" w:ascii="仿宋_GB2312" w:eastAsia="仿宋_GB2312"/>
          <w:sz w:val="28"/>
          <w:szCs w:val="28"/>
          <w:lang w:val="en-US" w:eastAsia="zh-CN"/>
        </w:rPr>
        <w:t>107.18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128.82</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120.19</w:t>
      </w:r>
      <w:r>
        <w:rPr>
          <w:rFonts w:hint="eastAsia" w:ascii="仿宋_GB2312" w:eastAsia="仿宋_GB2312" w:cs="仿宋_GB2312"/>
          <w:bCs/>
          <w:kern w:val="0"/>
          <w:sz w:val="32"/>
          <w:szCs w:val="32"/>
        </w:rPr>
        <w:t>%。决算数大于预算数的主要原因追加安排财政拨款支出预算，涉及</w:t>
      </w:r>
      <w:r>
        <w:rPr>
          <w:rFonts w:hint="eastAsia" w:ascii="仿宋_GB2312" w:eastAsia="仿宋_GB2312" w:cs="仿宋_GB2312"/>
          <w:bCs/>
          <w:kern w:val="0"/>
          <w:sz w:val="32"/>
          <w:szCs w:val="32"/>
          <w:lang w:val="en-US" w:eastAsia="zh-CN"/>
        </w:rPr>
        <w:t>内容</w:t>
      </w:r>
      <w:r>
        <w:rPr>
          <w:rFonts w:hint="eastAsia" w:ascii="仿宋_GB2312" w:eastAsia="仿宋_GB2312" w:cs="仿宋_GB2312"/>
          <w:bCs/>
          <w:kern w:val="0"/>
          <w:sz w:val="32"/>
          <w:szCs w:val="32"/>
        </w:rPr>
        <w:t>有</w:t>
      </w:r>
      <w:r>
        <w:rPr>
          <w:rFonts w:hint="eastAsia" w:ascii="仿宋_GB2312" w:eastAsia="仿宋_GB2312" w:cs="仿宋_GB2312"/>
          <w:bCs/>
          <w:kern w:val="0"/>
          <w:sz w:val="32"/>
          <w:szCs w:val="32"/>
          <w:lang w:val="en-US" w:eastAsia="zh-CN"/>
        </w:rPr>
        <w:t>抚恤金、绩效工资补差</w:t>
      </w:r>
      <w:r>
        <w:rPr>
          <w:rFonts w:hint="eastAsia" w:ascii="仿宋_GB2312" w:eastAsia="仿宋_GB2312" w:cs="仿宋_GB2312"/>
          <w:bCs/>
          <w:kern w:val="0"/>
          <w:sz w:val="32"/>
          <w:szCs w:val="32"/>
          <w:lang w:eastAsia="zh-CN"/>
        </w:rPr>
        <w:t>等。</w:t>
      </w:r>
    </w:p>
    <w:p>
      <w:pPr>
        <w:autoSpaceDE w:val="0"/>
        <w:autoSpaceDN w:val="0"/>
        <w:adjustRightInd w:val="0"/>
        <w:spacing w:line="580" w:lineRule="exact"/>
        <w:ind w:firstLine="640" w:firstLineChars="200"/>
        <w:jc w:val="both"/>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.社会保障和就业支出（类）行政事业单位养老支出（款）事业单位离退休（项）年初预算为</w:t>
      </w:r>
      <w:r>
        <w:rPr>
          <w:rFonts w:hint="eastAsia" w:ascii="仿宋_GB2312" w:eastAsia="仿宋_GB2312"/>
          <w:sz w:val="28"/>
          <w:szCs w:val="28"/>
          <w:lang w:val="en-US" w:eastAsia="zh-CN"/>
        </w:rPr>
        <w:t>11.59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11.59</w:t>
      </w:r>
      <w:r>
        <w:rPr>
          <w:rFonts w:hint="eastAsia" w:ascii="仿宋_GB2312" w:eastAsia="仿宋_GB2312" w:cs="仿宋_GB2312"/>
          <w:bCs/>
          <w:kern w:val="0"/>
          <w:sz w:val="32"/>
          <w:szCs w:val="32"/>
        </w:rPr>
        <w:t>万元，完成年初预算的100%。决算数</w:t>
      </w:r>
      <w:r>
        <w:rPr>
          <w:rFonts w:hint="eastAsia" w:ascii="仿宋_GB2312" w:eastAsia="仿宋_GB2312" w:cs="仿宋_GB2312"/>
          <w:bCs/>
          <w:kern w:val="0"/>
          <w:sz w:val="32"/>
          <w:szCs w:val="32"/>
          <w:lang w:val="en-US" w:eastAsia="zh-CN"/>
        </w:rPr>
        <w:t>和</w:t>
      </w:r>
      <w:r>
        <w:rPr>
          <w:rFonts w:hint="eastAsia" w:ascii="仿宋_GB2312" w:eastAsia="仿宋_GB2312" w:cs="仿宋_GB2312"/>
          <w:bCs/>
          <w:kern w:val="0"/>
          <w:sz w:val="32"/>
          <w:szCs w:val="32"/>
        </w:rPr>
        <w:t>预算数</w:t>
      </w:r>
      <w:r>
        <w:rPr>
          <w:rFonts w:hint="eastAsia" w:ascii="仿宋_GB2312" w:eastAsia="仿宋_GB2312" w:cs="仿宋_GB2312"/>
          <w:bCs/>
          <w:kern w:val="0"/>
          <w:sz w:val="32"/>
          <w:szCs w:val="32"/>
          <w:lang w:val="en-US" w:eastAsia="zh-CN"/>
        </w:rPr>
        <w:t>一致</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both"/>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.社会保障和就业支出（类）行政事业单位养老支出（款）机关事业单位基本养老保险缴费支出（项）年初预算为</w:t>
      </w:r>
      <w:r>
        <w:rPr>
          <w:rFonts w:hint="eastAsia" w:ascii="仿宋_GB2312" w:eastAsia="仿宋_GB2312"/>
          <w:sz w:val="28"/>
          <w:szCs w:val="28"/>
          <w:lang w:val="en-US" w:eastAsia="zh-CN"/>
        </w:rPr>
        <w:t>13.3</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17.3</w:t>
      </w:r>
      <w:r>
        <w:rPr>
          <w:rFonts w:hint="eastAsia" w:ascii="仿宋_GB2312" w:eastAsia="仿宋_GB2312" w:cs="仿宋_GB2312"/>
          <w:bCs/>
          <w:kern w:val="0"/>
          <w:sz w:val="32"/>
          <w:szCs w:val="32"/>
        </w:rPr>
        <w:t>万元，完成年初预算的1</w:t>
      </w:r>
      <w:r>
        <w:rPr>
          <w:rFonts w:hint="eastAsia" w:ascii="仿宋_GB2312" w:eastAsia="仿宋_GB2312" w:cs="仿宋_GB2312"/>
          <w:bCs/>
          <w:kern w:val="0"/>
          <w:sz w:val="32"/>
          <w:szCs w:val="32"/>
          <w:lang w:val="en-US" w:eastAsia="zh-CN"/>
        </w:rPr>
        <w:t>30.08</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增人增资</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both"/>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.社会保障和就业支出（类）行政事业单位养老支出（款）机关事业单位职业年金缴费支出（项）年初预算为</w:t>
      </w:r>
      <w:r>
        <w:rPr>
          <w:rFonts w:hint="eastAsia" w:ascii="仿宋_GB2312" w:eastAsia="仿宋_GB2312"/>
          <w:sz w:val="28"/>
          <w:szCs w:val="28"/>
          <w:lang w:val="en-US" w:eastAsia="zh-CN"/>
        </w:rPr>
        <w:t>6.65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6.65</w:t>
      </w:r>
      <w:r>
        <w:rPr>
          <w:rFonts w:hint="eastAsia" w:ascii="仿宋_GB2312" w:eastAsia="仿宋_GB2312" w:cs="仿宋_GB2312"/>
          <w:bCs/>
          <w:kern w:val="0"/>
          <w:sz w:val="32"/>
          <w:szCs w:val="32"/>
        </w:rPr>
        <w:t>万元，决算数</w:t>
      </w:r>
      <w:r>
        <w:rPr>
          <w:rFonts w:hint="eastAsia" w:ascii="仿宋_GB2312" w:eastAsia="仿宋_GB2312" w:cs="仿宋_GB2312"/>
          <w:bCs/>
          <w:kern w:val="0"/>
          <w:sz w:val="32"/>
          <w:szCs w:val="32"/>
          <w:lang w:val="en-US" w:eastAsia="zh-CN"/>
        </w:rPr>
        <w:t>和</w:t>
      </w:r>
      <w:r>
        <w:rPr>
          <w:rFonts w:hint="eastAsia" w:ascii="仿宋_GB2312" w:eastAsia="仿宋_GB2312" w:cs="仿宋_GB2312"/>
          <w:bCs/>
          <w:kern w:val="0"/>
          <w:sz w:val="32"/>
          <w:szCs w:val="32"/>
        </w:rPr>
        <w:t>预算数</w:t>
      </w:r>
      <w:r>
        <w:rPr>
          <w:rFonts w:hint="eastAsia" w:ascii="仿宋_GB2312" w:eastAsia="仿宋_GB2312" w:cs="仿宋_GB2312"/>
          <w:bCs/>
          <w:kern w:val="0"/>
          <w:sz w:val="32"/>
          <w:szCs w:val="32"/>
          <w:lang w:val="en-US" w:eastAsia="zh-CN"/>
        </w:rPr>
        <w:t>一致</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both"/>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.卫生健康支出（类）行政事业单位医疗（款）事业单位医疗（项）年初预算为</w:t>
      </w:r>
      <w:r>
        <w:rPr>
          <w:rFonts w:hint="eastAsia" w:ascii="仿宋_GB2312" w:eastAsia="仿宋_GB2312"/>
          <w:sz w:val="28"/>
          <w:szCs w:val="28"/>
          <w:lang w:val="en-US" w:eastAsia="zh-CN"/>
        </w:rPr>
        <w:t>6.29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8.17</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129.89</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增人增资</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both"/>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rPr>
        <w:t>.住房保障支出（类）住房改革支出（款）住房公积金（项）年初预算为</w:t>
      </w:r>
      <w:r>
        <w:rPr>
          <w:rFonts w:hint="eastAsia" w:ascii="仿宋_GB2312" w:eastAsia="仿宋_GB2312"/>
          <w:sz w:val="28"/>
          <w:szCs w:val="28"/>
          <w:lang w:val="en-US" w:eastAsia="zh-CN"/>
        </w:rPr>
        <w:t>9.97</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12.97</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130.09</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增人增资</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both"/>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7</w:t>
      </w:r>
      <w:r>
        <w:rPr>
          <w:rFonts w:hint="eastAsia" w:ascii="仿宋_GB2312" w:eastAsia="仿宋_GB2312" w:cs="仿宋_GB2312"/>
          <w:bCs/>
          <w:kern w:val="0"/>
          <w:sz w:val="32"/>
          <w:szCs w:val="32"/>
        </w:rPr>
        <w:t>.住房保障支出（类）住房改革支出（款）购房补贴（项）年初预算为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0.1</w:t>
      </w:r>
      <w:r>
        <w:rPr>
          <w:rFonts w:hint="eastAsia" w:ascii="仿宋_GB2312" w:eastAsia="仿宋_GB2312" w:cs="仿宋_GB2312"/>
          <w:bCs/>
          <w:kern w:val="0"/>
          <w:sz w:val="32"/>
          <w:szCs w:val="32"/>
        </w:rPr>
        <w:t>万元。决算数大于预算数的主要原因是</w:t>
      </w:r>
      <w:r>
        <w:rPr>
          <w:rFonts w:hint="eastAsia" w:ascii="仿宋_GB2312" w:eastAsia="仿宋_GB2312" w:cs="仿宋_GB2312"/>
          <w:bCs/>
          <w:kern w:val="0"/>
          <w:sz w:val="32"/>
          <w:szCs w:val="32"/>
          <w:lang w:eastAsia="zh-CN"/>
        </w:rPr>
        <w:t>市财政下达的购房补贴资金</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both"/>
        <w:rPr>
          <w:rFonts w:ascii="仿宋_GB2312" w:eastAsia="仿宋_GB2312" w:cs="仿宋_GB2312"/>
          <w:b/>
          <w:kern w:val="0"/>
          <w:sz w:val="32"/>
          <w:szCs w:val="32"/>
        </w:rPr>
      </w:pPr>
      <w:r>
        <w:rPr>
          <w:rFonts w:hint="eastAsia" w:ascii="仿宋_GB2312" w:eastAsia="仿宋_GB2312" w:cs="仿宋_GB2312"/>
          <w:b/>
          <w:kern w:val="0"/>
          <w:sz w:val="32"/>
          <w:szCs w:val="32"/>
        </w:rPr>
        <w:t>六、2020年度一般公共预算财政拨款基本支出决算情况</w:t>
      </w:r>
    </w:p>
    <w:p>
      <w:pPr>
        <w:autoSpaceDE w:val="0"/>
        <w:autoSpaceDN w:val="0"/>
        <w:adjustRightInd w:val="0"/>
        <w:spacing w:line="580" w:lineRule="exact"/>
        <w:ind w:firstLine="640" w:firstLineChars="200"/>
        <w:jc w:val="both"/>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178.6</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both"/>
        <w:rPr>
          <w:rFonts w:ascii="仿宋_GB2312" w:eastAsia="仿宋_GB2312" w:cs="仿宋_GB2312"/>
          <w:bCs/>
          <w:kern w:val="0"/>
          <w:sz w:val="32"/>
          <w:szCs w:val="32"/>
        </w:rPr>
      </w:pPr>
      <w:r>
        <w:rPr>
          <w:rFonts w:hint="eastAsia" w:ascii="仿宋_GB2312" w:eastAsia="仿宋_GB2312" w:cs="仿宋_GB2312"/>
          <w:bCs/>
          <w:kern w:val="0"/>
          <w:sz w:val="32"/>
          <w:szCs w:val="32"/>
        </w:rPr>
        <w:t>人员经费</w:t>
      </w:r>
      <w:r>
        <w:rPr>
          <w:rFonts w:hint="eastAsia" w:ascii="仿宋_GB2312" w:eastAsia="仿宋_GB2312" w:cs="仿宋_GB2312"/>
          <w:bCs/>
          <w:kern w:val="0"/>
          <w:sz w:val="32"/>
          <w:szCs w:val="32"/>
          <w:lang w:val="en-US" w:eastAsia="zh-CN"/>
        </w:rPr>
        <w:t>169.86</w:t>
      </w:r>
      <w:r>
        <w:rPr>
          <w:rFonts w:hint="eastAsia" w:ascii="仿宋_GB2312" w:eastAsia="仿宋_GB2312" w:cs="仿宋_GB2312"/>
          <w:bCs/>
          <w:kern w:val="0"/>
          <w:sz w:val="32"/>
          <w:szCs w:val="32"/>
        </w:rPr>
        <w:t>万元，主要包括：基本工资、津贴补贴、奖金、伙食补助费、绩效工资、机关事业单位基本养老保险缴费、职业年金缴费、职工基本医疗保险缴费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其他社会保障缴费、住房公积金、</w:t>
      </w:r>
      <w:r>
        <w:rPr>
          <w:rFonts w:hint="eastAsia" w:ascii="仿宋_GB2312" w:eastAsia="仿宋_GB2312" w:cs="仿宋_GB2312"/>
          <w:bCs/>
          <w:kern w:val="0"/>
          <w:sz w:val="32"/>
          <w:szCs w:val="32"/>
          <w:lang w:eastAsia="zh-CN"/>
        </w:rPr>
        <w:t>退休费、抚恤金、生活补助。</w:t>
      </w:r>
    </w:p>
    <w:p>
      <w:pPr>
        <w:autoSpaceDE w:val="0"/>
        <w:autoSpaceDN w:val="0"/>
        <w:adjustRightInd w:val="0"/>
        <w:spacing w:line="580" w:lineRule="exact"/>
        <w:ind w:firstLine="640" w:firstLineChars="200"/>
        <w:jc w:val="both"/>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8.74</w:t>
      </w:r>
      <w:r>
        <w:rPr>
          <w:rFonts w:hint="eastAsia" w:ascii="仿宋_GB2312" w:eastAsia="仿宋_GB2312" w:cs="仿宋_GB2312"/>
          <w:bCs/>
          <w:kern w:val="0"/>
          <w:sz w:val="32"/>
          <w:szCs w:val="32"/>
        </w:rPr>
        <w:t>万元，主要包括：办公费、手续费、水费、电费、邮电费、物业管理费、差旅费、维修（护）费、工会经费、其他商品和服务支出</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both"/>
        <w:rPr>
          <w:rFonts w:ascii="仿宋_GB2312" w:eastAsia="仿宋_GB2312" w:cs="仿宋_GB2312"/>
          <w:bCs/>
          <w:kern w:val="0"/>
          <w:sz w:val="32"/>
          <w:szCs w:val="32"/>
        </w:rPr>
      </w:pPr>
      <w:r>
        <w:rPr>
          <w:rFonts w:hint="eastAsia" w:ascii="仿宋_GB2312" w:eastAsia="仿宋_GB2312" w:cs="仿宋_GB2312"/>
          <w:b/>
          <w:kern w:val="0"/>
          <w:sz w:val="32"/>
          <w:szCs w:val="32"/>
        </w:rPr>
        <w:t>七、2020年度一般公共预算财政拨款“三公”经费支出决算情况</w:t>
      </w:r>
    </w:p>
    <w:p>
      <w:pPr>
        <w:autoSpaceDE w:val="0"/>
        <w:autoSpaceDN w:val="0"/>
        <w:adjustRightInd w:val="0"/>
        <w:spacing w:line="580" w:lineRule="exact"/>
        <w:ind w:firstLine="640" w:firstLineChars="200"/>
        <w:jc w:val="both"/>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（一）“三公”经费财政拨款支出决算总体情况</w:t>
      </w:r>
    </w:p>
    <w:p>
      <w:pPr>
        <w:autoSpaceDE w:val="0"/>
        <w:autoSpaceDN w:val="0"/>
        <w:adjustRightInd w:val="0"/>
        <w:spacing w:line="580" w:lineRule="exact"/>
        <w:ind w:firstLine="640" w:firstLineChars="200"/>
        <w:jc w:val="both"/>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2020年度“三公”经费财政拨款支出预算为</w:t>
      </w:r>
      <w:r>
        <w:rPr>
          <w:rFonts w:hint="eastAsia" w:ascii="仿宋_GB2312" w:eastAsia="仿宋_GB2312" w:cs="仿宋_GB2312"/>
          <w:bCs/>
          <w:kern w:val="0"/>
          <w:sz w:val="32"/>
          <w:szCs w:val="32"/>
          <w:lang w:val="en-US" w:eastAsia="zh-CN"/>
        </w:rPr>
        <w:t>0.28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万元；公务用车购置及运行费支出决算为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万元；公务接待费支出决算为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万元。2020年度“三公”经费支出决算数小于预算数的主要原因是认真</w:t>
      </w:r>
      <w:r>
        <w:rPr>
          <w:rFonts w:hint="eastAsia" w:ascii="仿宋_GB2312" w:eastAsia="仿宋_GB2312" w:cs="仿宋_GB2312"/>
          <w:bCs/>
          <w:kern w:val="0"/>
          <w:sz w:val="32"/>
          <w:szCs w:val="32"/>
          <w:lang w:eastAsia="zh-CN"/>
        </w:rPr>
        <w:t>贯彻落实中央八项规定</w:t>
      </w:r>
      <w:r>
        <w:rPr>
          <w:rFonts w:hint="eastAsia" w:ascii="仿宋_GB2312" w:eastAsia="仿宋_GB2312" w:cs="仿宋_GB2312"/>
          <w:bCs/>
          <w:kern w:val="0"/>
          <w:sz w:val="32"/>
          <w:szCs w:val="32"/>
        </w:rPr>
        <w:t>精神和厉行节约要求，进一步从严控制“三公”经费开支</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both"/>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2020年度“三公”经费财政拨款支出决算数</w:t>
      </w:r>
      <w:r>
        <w:rPr>
          <w:rFonts w:hint="eastAsia" w:ascii="仿宋_GB2312" w:eastAsia="仿宋_GB2312" w:cs="仿宋_GB2312"/>
          <w:bCs/>
          <w:kern w:val="0"/>
          <w:sz w:val="32"/>
          <w:szCs w:val="32"/>
          <w:lang w:val="en-US" w:eastAsia="zh-CN"/>
        </w:rPr>
        <w:t>与</w:t>
      </w:r>
      <w:r>
        <w:rPr>
          <w:rFonts w:hint="eastAsia" w:ascii="仿宋_GB2312" w:eastAsia="仿宋_GB2312" w:cs="仿宋_GB2312"/>
          <w:bCs/>
          <w:kern w:val="0"/>
          <w:sz w:val="32"/>
          <w:szCs w:val="32"/>
        </w:rPr>
        <w:t>2019年</w:t>
      </w:r>
      <w:r>
        <w:rPr>
          <w:rFonts w:hint="eastAsia" w:ascii="仿宋_GB2312" w:eastAsia="仿宋_GB2312" w:cs="仿宋_GB2312"/>
          <w:bCs/>
          <w:kern w:val="0"/>
          <w:sz w:val="32"/>
          <w:szCs w:val="32"/>
          <w:lang w:val="en-US" w:eastAsia="zh-CN"/>
        </w:rPr>
        <w:t>相同，无增减。其中：</w:t>
      </w:r>
      <w:r>
        <w:rPr>
          <w:rFonts w:hint="eastAsia" w:ascii="仿宋_GB2312" w:eastAsia="仿宋_GB2312" w:cs="仿宋_GB2312"/>
          <w:bCs/>
          <w:kern w:val="0"/>
          <w:sz w:val="32"/>
          <w:szCs w:val="32"/>
        </w:rPr>
        <w:t>因公出国（境）费支出与2019年</w:t>
      </w:r>
      <w:r>
        <w:rPr>
          <w:rFonts w:hint="eastAsia" w:ascii="仿宋_GB2312" w:eastAsia="仿宋_GB2312" w:cs="仿宋_GB2312"/>
          <w:bCs/>
          <w:kern w:val="0"/>
          <w:sz w:val="32"/>
          <w:szCs w:val="32"/>
          <w:lang w:eastAsia="zh-CN"/>
        </w:rPr>
        <w:t>一致，无增减；</w:t>
      </w:r>
      <w:r>
        <w:rPr>
          <w:rFonts w:hint="eastAsia" w:ascii="仿宋_GB2312" w:eastAsia="仿宋_GB2312" w:cs="仿宋_GB2312"/>
          <w:bCs/>
          <w:kern w:val="0"/>
          <w:sz w:val="32"/>
          <w:szCs w:val="32"/>
        </w:rPr>
        <w:t>公务用车购置及运行费支出与2019年</w:t>
      </w:r>
      <w:r>
        <w:rPr>
          <w:rFonts w:hint="eastAsia" w:ascii="仿宋_GB2312" w:eastAsia="仿宋_GB2312" w:cs="仿宋_GB2312"/>
          <w:bCs/>
          <w:kern w:val="0"/>
          <w:sz w:val="32"/>
          <w:szCs w:val="32"/>
          <w:lang w:eastAsia="zh-CN"/>
        </w:rPr>
        <w:t>一致，无增减；</w:t>
      </w:r>
      <w:r>
        <w:rPr>
          <w:rFonts w:hint="eastAsia" w:ascii="仿宋_GB2312" w:eastAsia="仿宋_GB2312" w:cs="仿宋_GB2312"/>
          <w:bCs/>
          <w:kern w:val="0"/>
          <w:sz w:val="32"/>
          <w:szCs w:val="32"/>
        </w:rPr>
        <w:t>公务接待费支出与2019年</w:t>
      </w:r>
      <w:r>
        <w:rPr>
          <w:rFonts w:hint="eastAsia" w:ascii="仿宋_GB2312" w:eastAsia="仿宋_GB2312" w:cs="仿宋_GB2312"/>
          <w:bCs/>
          <w:kern w:val="0"/>
          <w:sz w:val="32"/>
          <w:szCs w:val="32"/>
          <w:lang w:eastAsia="zh-CN"/>
        </w:rPr>
        <w:t>一致，无增减。</w:t>
      </w:r>
    </w:p>
    <w:p>
      <w:pPr>
        <w:autoSpaceDE w:val="0"/>
        <w:autoSpaceDN w:val="0"/>
        <w:adjustRightInd w:val="0"/>
        <w:spacing w:line="580" w:lineRule="exact"/>
        <w:ind w:firstLine="640" w:firstLineChars="200"/>
        <w:jc w:val="both"/>
        <w:rPr>
          <w:rFonts w:hint="eastAsia" w:ascii="仿宋_GB2312" w:eastAsia="仿宋_GB2312" w:cs="仿宋_GB2312"/>
          <w:bCs/>
          <w:kern w:val="0"/>
          <w:sz w:val="32"/>
          <w:szCs w:val="32"/>
        </w:rPr>
      </w:pPr>
      <w:r>
        <w:rPr>
          <w:rFonts w:hint="eastAsia" w:ascii="仿宋_GB2312" w:eastAsia="仿宋_GB2312" w:cs="仿宋_GB2312"/>
          <w:bCs/>
          <w:kern w:val="0"/>
          <w:sz w:val="32"/>
          <w:szCs w:val="32"/>
        </w:rPr>
        <w:t>（二）“三公”经费财政拨款支出决算具体情况</w:t>
      </w:r>
    </w:p>
    <w:p>
      <w:pPr>
        <w:autoSpaceDE w:val="0"/>
        <w:autoSpaceDN w:val="0"/>
        <w:adjustRightInd w:val="0"/>
        <w:spacing w:line="580" w:lineRule="exact"/>
        <w:ind w:firstLine="640" w:firstLineChars="200"/>
        <w:jc w:val="both"/>
        <w:rPr>
          <w:rFonts w:hint="eastAsia"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具体情况如下：</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1.因公出国（境）费支出0万元。全年安排机关和所属单位因公出国（境）团组0个，累计0人次。</w:t>
      </w:r>
    </w:p>
    <w:p>
      <w:pPr>
        <w:autoSpaceDE w:val="0"/>
        <w:autoSpaceDN w:val="0"/>
        <w:adjustRightInd w:val="0"/>
        <w:spacing w:line="580" w:lineRule="exact"/>
        <w:ind w:firstLine="630"/>
        <w:jc w:val="left"/>
        <w:rPr>
          <w:rFonts w:ascii="仿宋_GB2312" w:eastAsia="仿宋_GB2312" w:cs="仿宋_GB2312"/>
          <w:bCs/>
          <w:kern w:val="0"/>
          <w:sz w:val="32"/>
          <w:szCs w:val="32"/>
        </w:rPr>
      </w:pPr>
      <w:r>
        <w:rPr>
          <w:rFonts w:hint="eastAsia" w:ascii="仿宋_GB2312" w:eastAsia="仿宋_GB2312" w:cs="仿宋_GB2312"/>
          <w:bCs/>
          <w:kern w:val="0"/>
          <w:sz w:val="32"/>
          <w:szCs w:val="32"/>
        </w:rPr>
        <w:t>2.公务用车购置及运行费支出0万元。其中：公务用车购置支出为0万元。公务用车运行支出0万元。</w:t>
      </w:r>
    </w:p>
    <w:p>
      <w:pPr>
        <w:autoSpaceDE w:val="0"/>
        <w:autoSpaceDN w:val="0"/>
        <w:adjustRightInd w:val="0"/>
        <w:spacing w:line="580" w:lineRule="exact"/>
        <w:ind w:firstLine="630"/>
        <w:jc w:val="left"/>
        <w:rPr>
          <w:rFonts w:ascii="仿宋_GB2312" w:eastAsia="仿宋_GB2312" w:cs="仿宋_GB2312"/>
          <w:bCs/>
          <w:kern w:val="0"/>
          <w:sz w:val="32"/>
          <w:szCs w:val="32"/>
        </w:rPr>
      </w:pPr>
      <w:r>
        <w:rPr>
          <w:rFonts w:hint="eastAsia" w:ascii="仿宋_GB2312" w:eastAsia="仿宋_GB2312" w:cs="仿宋_GB2312"/>
          <w:bCs/>
          <w:kern w:val="0"/>
          <w:sz w:val="32"/>
          <w:szCs w:val="32"/>
        </w:rPr>
        <w:t>3.公务接待费支出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万元。其中：</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外宾接待支出0万元。2020年共接待国（境）外来访团组0个、来访外宾0人次。</w:t>
      </w:r>
    </w:p>
    <w:p>
      <w:pPr>
        <w:autoSpaceDE w:val="0"/>
        <w:autoSpaceDN w:val="0"/>
        <w:adjustRightInd w:val="0"/>
        <w:spacing w:line="580" w:lineRule="exact"/>
        <w:ind w:firstLine="640" w:firstLineChars="200"/>
        <w:jc w:val="both"/>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国内公务接待支出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万元。2020年共接待国内来访团组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autoSpaceDE w:val="0"/>
        <w:autoSpaceDN w:val="0"/>
        <w:adjustRightInd w:val="0"/>
        <w:spacing w:line="580" w:lineRule="exact"/>
        <w:ind w:firstLine="643" w:firstLineChars="200"/>
        <w:jc w:val="both"/>
        <w:rPr>
          <w:rFonts w:hint="eastAsia" w:ascii="仿宋_GB2312" w:eastAsia="仿宋_GB2312" w:cs="仿宋_GB2312"/>
          <w:b/>
          <w:kern w:val="0"/>
          <w:sz w:val="32"/>
          <w:szCs w:val="32"/>
        </w:rPr>
      </w:pPr>
      <w:r>
        <w:rPr>
          <w:rFonts w:hint="eastAsia" w:ascii="仿宋_GB2312" w:eastAsia="仿宋_GB2312" w:cs="仿宋_GB2312"/>
          <w:b/>
          <w:kern w:val="0"/>
          <w:sz w:val="32"/>
          <w:szCs w:val="32"/>
        </w:rPr>
        <w:t>八、2020年度政府性基金预算财政拨款收入支出决算情况说明</w:t>
      </w:r>
    </w:p>
    <w:p>
      <w:pPr>
        <w:autoSpaceDE w:val="0"/>
        <w:autoSpaceDN w:val="0"/>
        <w:adjustRightInd w:val="0"/>
        <w:spacing w:line="580" w:lineRule="exact"/>
        <w:ind w:firstLine="640" w:firstLineChars="200"/>
        <w:jc w:val="both"/>
        <w:rPr>
          <w:rFonts w:hint="eastAsia" w:ascii="仿宋_GB2312" w:eastAsia="仿宋_GB2312" w:cs="仿宋_GB2312"/>
          <w:bCs/>
          <w:kern w:val="0"/>
          <w:sz w:val="32"/>
          <w:szCs w:val="32"/>
        </w:rPr>
      </w:pPr>
      <w:r>
        <w:rPr>
          <w:rFonts w:hint="eastAsia" w:ascii="仿宋_GB2312" w:eastAsia="仿宋_GB2312" w:cs="仿宋_GB2312"/>
          <w:bCs/>
          <w:kern w:val="0"/>
          <w:sz w:val="32"/>
          <w:szCs w:val="32"/>
        </w:rPr>
        <w:t>本</w:t>
      </w:r>
      <w:r>
        <w:rPr>
          <w:rFonts w:hint="eastAsia" w:ascii="仿宋_GB2312" w:eastAsia="仿宋_GB2312" w:cs="仿宋_GB2312"/>
          <w:bCs/>
          <w:kern w:val="0"/>
          <w:sz w:val="32"/>
          <w:szCs w:val="32"/>
          <w:lang w:val="en-US" w:eastAsia="zh-CN"/>
        </w:rPr>
        <w:t>单位</w:t>
      </w:r>
      <w:r>
        <w:rPr>
          <w:rFonts w:hint="eastAsia" w:ascii="仿宋_GB2312" w:eastAsia="仿宋_GB2312" w:cs="仿宋_GB2312"/>
          <w:bCs/>
          <w:kern w:val="0"/>
          <w:sz w:val="32"/>
          <w:szCs w:val="32"/>
        </w:rPr>
        <w:t>2020年度政府</w:t>
      </w:r>
      <w:r>
        <w:rPr>
          <w:rFonts w:hint="eastAsia" w:ascii="仿宋_GB2312" w:eastAsia="仿宋_GB2312" w:cs="仿宋_GB2312"/>
          <w:bCs/>
          <w:kern w:val="0"/>
          <w:sz w:val="32"/>
          <w:szCs w:val="32"/>
          <w:lang w:val="en-US" w:eastAsia="zh-CN"/>
        </w:rPr>
        <w:t>性</w:t>
      </w:r>
      <w:r>
        <w:rPr>
          <w:rFonts w:hint="eastAsia" w:ascii="仿宋_GB2312" w:eastAsia="仿宋_GB2312" w:cs="仿宋_GB2312"/>
          <w:bCs/>
          <w:kern w:val="0"/>
          <w:sz w:val="32"/>
          <w:szCs w:val="32"/>
        </w:rPr>
        <w:t>基金预算财政拨款收、支总决算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与2019年相</w:t>
      </w:r>
      <w:r>
        <w:rPr>
          <w:rFonts w:hint="eastAsia" w:ascii="仿宋_GB2312" w:eastAsia="仿宋_GB2312" w:cs="仿宋_GB2312"/>
          <w:bCs/>
          <w:kern w:val="0"/>
          <w:sz w:val="32"/>
          <w:szCs w:val="32"/>
          <w:lang w:val="en-US" w:eastAsia="zh-CN"/>
        </w:rPr>
        <w:t>同</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both"/>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eastAsia="zh-CN"/>
        </w:rPr>
        <w:t>九、国有资本经营预算财政拨款支出情况说明</w:t>
      </w:r>
    </w:p>
    <w:p>
      <w:pPr>
        <w:numPr>
          <w:ilvl w:val="0"/>
          <w:numId w:val="0"/>
        </w:numPr>
        <w:autoSpaceDE w:val="0"/>
        <w:autoSpaceDN w:val="0"/>
        <w:adjustRightInd w:val="0"/>
        <w:spacing w:line="580" w:lineRule="exact"/>
        <w:ind w:firstLine="640" w:firstLineChars="200"/>
        <w:jc w:val="both"/>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val="0"/>
          <w:bCs/>
          <w:kern w:val="0"/>
          <w:sz w:val="32"/>
          <w:szCs w:val="32"/>
          <w:highlight w:val="none"/>
          <w:lang w:val="en-US" w:eastAsia="zh-CN"/>
        </w:rPr>
        <w:t>本单位2020年度无国有资本经营预算财政拨款支出。</w:t>
      </w:r>
    </w:p>
    <w:p>
      <w:pPr>
        <w:autoSpaceDE w:val="0"/>
        <w:autoSpaceDN w:val="0"/>
        <w:adjustRightInd w:val="0"/>
        <w:spacing w:line="580" w:lineRule="exact"/>
        <w:ind w:firstLine="643" w:firstLineChars="200"/>
        <w:jc w:val="both"/>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年度预算绩效情况说明</w:t>
      </w:r>
    </w:p>
    <w:p>
      <w:pPr>
        <w:numPr>
          <w:ilvl w:val="0"/>
          <w:numId w:val="0"/>
        </w:numPr>
        <w:autoSpaceDE w:val="0"/>
        <w:autoSpaceDN w:val="0"/>
        <w:adjustRightInd w:val="0"/>
        <w:spacing w:line="580" w:lineRule="exact"/>
        <w:ind w:firstLine="640" w:firstLineChars="200"/>
        <w:jc w:val="both"/>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绩效管理工作开展情况</w:t>
      </w:r>
    </w:p>
    <w:p>
      <w:pPr>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jc w:val="both"/>
        <w:textAlignment w:val="auto"/>
        <w:rPr>
          <w:rFonts w:hint="eastAsia" w:ascii="仿宋_GB2312" w:eastAsia="仿宋_GB2312" w:cs="仿宋_GB2312"/>
          <w:bCs/>
          <w:color w:val="auto"/>
          <w:kern w:val="0"/>
          <w:sz w:val="32"/>
          <w:szCs w:val="32"/>
          <w:u w:val="none"/>
          <w:lang w:eastAsia="zh-CN"/>
        </w:rPr>
      </w:pPr>
      <w:r>
        <w:rPr>
          <w:rFonts w:hint="eastAsia" w:ascii="仿宋_GB2312" w:eastAsia="仿宋_GB2312" w:cs="仿宋_GB2312"/>
          <w:bCs/>
          <w:kern w:val="0"/>
          <w:sz w:val="32"/>
          <w:szCs w:val="32"/>
        </w:rPr>
        <w:t>根据财政预算管理要求，</w:t>
      </w:r>
      <w:r>
        <w:rPr>
          <w:rFonts w:hint="eastAsia" w:ascii="仿宋_GB2312" w:eastAsia="仿宋_GB2312" w:cs="仿宋_GB2312"/>
          <w:bCs/>
          <w:kern w:val="0"/>
          <w:sz w:val="32"/>
          <w:szCs w:val="32"/>
          <w:lang w:val="en-US" w:eastAsia="zh-CN"/>
        </w:rPr>
        <w:t>本单位</w:t>
      </w:r>
      <w:r>
        <w:rPr>
          <w:rFonts w:hint="eastAsia" w:ascii="仿宋_GB2312" w:eastAsia="仿宋_GB2312" w:cs="仿宋_GB2312"/>
          <w:bCs/>
          <w:kern w:val="0"/>
          <w:sz w:val="32"/>
          <w:szCs w:val="32"/>
        </w:rPr>
        <w:t>组织对2020年度一般公共预算</w:t>
      </w:r>
      <w:r>
        <w:rPr>
          <w:rFonts w:hint="eastAsia" w:ascii="仿宋_GB2312" w:eastAsia="仿宋_GB2312" w:cs="仿宋_GB2312"/>
          <w:bCs/>
          <w:kern w:val="0"/>
          <w:sz w:val="32"/>
          <w:szCs w:val="32"/>
          <w:lang w:val="en-US" w:eastAsia="zh-CN"/>
        </w:rPr>
        <w:t>单位整体</w:t>
      </w:r>
      <w:r>
        <w:rPr>
          <w:rFonts w:hint="eastAsia" w:ascii="仿宋_GB2312" w:eastAsia="仿宋_GB2312" w:cs="仿宋_GB2312"/>
          <w:bCs/>
          <w:kern w:val="0"/>
          <w:sz w:val="32"/>
          <w:szCs w:val="32"/>
        </w:rPr>
        <w:t>支出开展绩效自评</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共涉及预算资金</w:t>
      </w:r>
      <w:r>
        <w:rPr>
          <w:rFonts w:hint="eastAsia" w:ascii="仿宋_GB2312" w:eastAsia="仿宋_GB2312" w:cs="仿宋_GB2312"/>
          <w:bCs/>
          <w:kern w:val="0"/>
          <w:sz w:val="32"/>
          <w:szCs w:val="32"/>
          <w:lang w:val="en-US" w:eastAsia="zh-CN"/>
        </w:rPr>
        <w:t>203.1</w:t>
      </w:r>
      <w:r>
        <w:rPr>
          <w:rFonts w:hint="eastAsia" w:ascii="仿宋_GB2312" w:eastAsia="仿宋_GB2312" w:cs="仿宋_GB2312"/>
          <w:bCs/>
          <w:kern w:val="0"/>
          <w:sz w:val="32"/>
          <w:szCs w:val="32"/>
        </w:rPr>
        <w:t>万元，</w:t>
      </w:r>
      <w:r>
        <w:rPr>
          <w:rFonts w:hint="eastAsia" w:ascii="仿宋_GB2312" w:eastAsia="仿宋_GB2312" w:cs="仿宋_GB2312"/>
          <w:bCs/>
          <w:color w:val="auto"/>
          <w:kern w:val="0"/>
          <w:sz w:val="32"/>
          <w:szCs w:val="32"/>
          <w:u w:val="none"/>
        </w:rPr>
        <w:t>自评覆盖率达到</w:t>
      </w:r>
      <w:r>
        <w:rPr>
          <w:rFonts w:hint="eastAsia" w:ascii="仿宋_GB2312" w:eastAsia="仿宋_GB2312" w:cs="仿宋_GB2312"/>
          <w:bCs/>
          <w:color w:val="auto"/>
          <w:kern w:val="0"/>
          <w:sz w:val="32"/>
          <w:szCs w:val="32"/>
          <w:u w:val="none"/>
          <w:lang w:val="en-US" w:eastAsia="zh-CN"/>
        </w:rPr>
        <w:t>100</w:t>
      </w:r>
      <w:r>
        <w:rPr>
          <w:rFonts w:hint="eastAsia" w:ascii="仿宋_GB2312" w:eastAsia="仿宋_GB2312" w:cs="仿宋_GB2312"/>
          <w:bCs/>
          <w:color w:val="auto"/>
          <w:kern w:val="0"/>
          <w:sz w:val="32"/>
          <w:szCs w:val="32"/>
          <w:u w:val="none"/>
        </w:rPr>
        <w:t>%</w:t>
      </w:r>
      <w:r>
        <w:rPr>
          <w:rFonts w:hint="eastAsia" w:ascii="仿宋_GB2312" w:eastAsia="仿宋_GB2312" w:cs="仿宋_GB2312"/>
          <w:bCs/>
          <w:color w:val="auto"/>
          <w:kern w:val="0"/>
          <w:sz w:val="32"/>
          <w:szCs w:val="32"/>
          <w:u w:val="none"/>
          <w:lang w:eastAsia="zh-CN"/>
        </w:rPr>
        <w:t>。</w:t>
      </w:r>
    </w:p>
    <w:p>
      <w:pPr>
        <w:autoSpaceDE w:val="0"/>
        <w:autoSpaceDN w:val="0"/>
        <w:adjustRightInd w:val="0"/>
        <w:spacing w:line="580" w:lineRule="exact"/>
        <w:ind w:firstLine="640" w:firstLineChars="200"/>
        <w:jc w:val="both"/>
        <w:rPr>
          <w:rFonts w:ascii="仿宋_GB2312" w:eastAsia="仿宋_GB2312" w:cs="仿宋_GB2312"/>
          <w:kern w:val="0"/>
          <w:sz w:val="32"/>
          <w:szCs w:val="32"/>
        </w:rPr>
      </w:pPr>
      <w:r>
        <w:rPr>
          <w:rFonts w:hint="eastAsia" w:ascii="仿宋_GB2312" w:eastAsia="仿宋_GB2312" w:cs="仿宋_GB2312"/>
          <w:bCs/>
          <w:kern w:val="0"/>
          <w:sz w:val="32"/>
          <w:szCs w:val="32"/>
        </w:rPr>
        <w:t>（二）决算中项目绩效自评结果</w:t>
      </w:r>
    </w:p>
    <w:p>
      <w:pPr>
        <w:autoSpaceDE w:val="0"/>
        <w:autoSpaceDN w:val="0"/>
        <w:adjustRightInd w:val="0"/>
        <w:spacing w:line="580" w:lineRule="exact"/>
        <w:ind w:firstLine="640" w:firstLineChars="200"/>
        <w:jc w:val="both"/>
        <w:rPr>
          <w:rFonts w:ascii="仿宋_GB2312" w:eastAsia="仿宋_GB2312" w:cs="仿宋_GB2312"/>
          <w:kern w:val="0"/>
          <w:sz w:val="32"/>
          <w:szCs w:val="32"/>
        </w:rPr>
      </w:pPr>
      <w:r>
        <w:rPr>
          <w:rFonts w:hint="eastAsia" w:ascii="仿宋_GB2312" w:eastAsia="仿宋_GB2312" w:cs="仿宋_GB2312"/>
          <w:kern w:val="0"/>
          <w:sz w:val="32"/>
          <w:szCs w:val="32"/>
          <w:lang w:val="en-US" w:eastAsia="zh-CN"/>
        </w:rPr>
        <w:t>本单位</w:t>
      </w:r>
      <w:r>
        <w:rPr>
          <w:rFonts w:hint="eastAsia" w:ascii="仿宋_GB2312" w:eastAsia="仿宋_GB2312" w:cs="仿宋_GB2312"/>
          <w:kern w:val="0"/>
          <w:sz w:val="32"/>
          <w:szCs w:val="32"/>
        </w:rPr>
        <w:t>根据年初设定的绩效目标，</w:t>
      </w:r>
      <w:r>
        <w:rPr>
          <w:rFonts w:hint="eastAsia" w:ascii="仿宋_GB2312" w:eastAsia="仿宋_GB2312" w:cs="仿宋_GB2312"/>
          <w:bCs/>
          <w:kern w:val="0"/>
          <w:sz w:val="32"/>
          <w:szCs w:val="32"/>
        </w:rPr>
        <w:t>单位整体支出绩效</w:t>
      </w:r>
      <w:r>
        <w:rPr>
          <w:rFonts w:hint="eastAsia" w:ascii="仿宋_GB2312" w:eastAsia="仿宋_GB2312" w:cs="仿宋_GB2312"/>
          <w:kern w:val="0"/>
          <w:sz w:val="32"/>
          <w:szCs w:val="32"/>
        </w:rPr>
        <w:t>自评得分为</w:t>
      </w:r>
      <w:r>
        <w:rPr>
          <w:rFonts w:ascii="仿宋_GB2312" w:eastAsia="仿宋_GB2312" w:cs="仿宋_GB2312"/>
          <w:kern w:val="0"/>
          <w:sz w:val="32"/>
          <w:szCs w:val="32"/>
        </w:rPr>
        <w:t>9</w:t>
      </w:r>
      <w:r>
        <w:rPr>
          <w:rFonts w:hint="eastAsia" w:ascii="仿宋_GB2312" w:eastAsia="仿宋_GB2312" w:cs="仿宋_GB2312"/>
          <w:kern w:val="0"/>
          <w:sz w:val="32"/>
          <w:szCs w:val="32"/>
          <w:lang w:val="en-US" w:eastAsia="zh-CN"/>
        </w:rPr>
        <w:t>5.2</w:t>
      </w:r>
      <w:r>
        <w:rPr>
          <w:rFonts w:hint="eastAsia" w:ascii="仿宋_GB2312" w:eastAsia="仿宋_GB2312" w:cs="仿宋_GB2312"/>
          <w:kern w:val="0"/>
          <w:sz w:val="32"/>
          <w:szCs w:val="32"/>
        </w:rPr>
        <w:t>分。</w:t>
      </w:r>
    </w:p>
    <w:p>
      <w:pPr>
        <w:autoSpaceDE w:val="0"/>
        <w:autoSpaceDN w:val="0"/>
        <w:adjustRightInd w:val="0"/>
        <w:spacing w:line="580" w:lineRule="exact"/>
        <w:ind w:firstLine="643" w:firstLineChars="200"/>
        <w:jc w:val="both"/>
        <w:rPr>
          <w:rFonts w:hint="eastAsia"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both"/>
        <w:rPr>
          <w:rFonts w:hint="eastAsia" w:ascii="仿宋_GB2312" w:eastAsia="仿宋_GB2312" w:cs="仿宋_GB2312"/>
          <w:b/>
          <w:kern w:val="0"/>
          <w:sz w:val="32"/>
          <w:szCs w:val="32"/>
          <w:lang w:eastAsia="zh-CN"/>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一</w:t>
      </w:r>
      <w:r>
        <w:rPr>
          <w:rFonts w:hint="eastAsia" w:ascii="仿宋_GB2312" w:eastAsia="仿宋_GB2312" w:cs="仿宋_GB2312"/>
          <w:kern w:val="0"/>
          <w:sz w:val="32"/>
          <w:szCs w:val="32"/>
        </w:rPr>
        <w:t>）机关运行经费支出情况。2020年度单位机关运行经费支出0万元，比2019年增加0万元，与上年持平。</w:t>
      </w:r>
    </w:p>
    <w:p>
      <w:pPr>
        <w:autoSpaceDE w:val="0"/>
        <w:autoSpaceDN w:val="0"/>
        <w:adjustRightInd w:val="0"/>
        <w:spacing w:line="580" w:lineRule="exact"/>
        <w:ind w:firstLine="640" w:firstLineChars="200"/>
        <w:jc w:val="both"/>
        <w:rPr>
          <w:rFonts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二</w:t>
      </w:r>
      <w:r>
        <w:rPr>
          <w:rFonts w:hint="eastAsia" w:ascii="仿宋_GB2312" w:eastAsia="仿宋_GB2312" w:cs="仿宋_GB2312"/>
          <w:kern w:val="0"/>
          <w:sz w:val="32"/>
          <w:szCs w:val="32"/>
        </w:rPr>
        <w:t>）政府采购支出情况。2020年度</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政府采购支出总额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万元。其中：货物支出0万元、工程支出0万元、服务支出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三</w:t>
      </w:r>
      <w:r>
        <w:rPr>
          <w:rFonts w:hint="eastAsia" w:ascii="仿宋_GB2312" w:eastAsia="仿宋_GB2312" w:cs="仿宋_GB2312"/>
          <w:kern w:val="0"/>
          <w:sz w:val="32"/>
          <w:szCs w:val="32"/>
        </w:rPr>
        <w:t>）国有资产占用情况。截至年末</w:t>
      </w:r>
      <w:r>
        <w:rPr>
          <w:rFonts w:hint="eastAsia" w:ascii="仿宋_GB2312" w:eastAsia="仿宋_GB2312" w:cs="仿宋_GB2312"/>
          <w:kern w:val="0"/>
          <w:sz w:val="32"/>
          <w:szCs w:val="32"/>
          <w:lang w:val="en-US" w:eastAsia="zh-CN"/>
        </w:rPr>
        <w:t>本单位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w:t>
      </w:r>
      <w:r>
        <w:rPr>
          <w:rFonts w:hint="eastAsia" w:ascii="仿宋_GB2312" w:eastAsia="仿宋_GB2312" w:cs="仿宋_GB2312"/>
          <w:color w:val="auto"/>
          <w:kern w:val="0"/>
          <w:sz w:val="32"/>
          <w:szCs w:val="32"/>
          <w:u w:val="none"/>
        </w:rPr>
        <w:t>单价100万元以上专用设备</w:t>
      </w:r>
      <w:r>
        <w:rPr>
          <w:rFonts w:hint="eastAsia" w:hAnsi="宋体" w:eastAsia="仿宋_GB2312"/>
          <w:color w:val="auto"/>
          <w:sz w:val="28"/>
          <w:szCs w:val="28"/>
          <w:lang w:val="en-US" w:eastAsia="zh-CN"/>
        </w:rPr>
        <w:t>0</w:t>
      </w:r>
      <w:r>
        <w:rPr>
          <w:rFonts w:hint="eastAsia" w:ascii="仿宋_GB2312" w:eastAsia="仿宋_GB2312" w:cs="仿宋_GB2312"/>
          <w:color w:val="auto"/>
          <w:kern w:val="0"/>
          <w:sz w:val="32"/>
          <w:szCs w:val="32"/>
          <w:u w:val="none"/>
          <w:lang w:eastAsia="zh-CN"/>
        </w:rPr>
        <w:t>台</w:t>
      </w:r>
      <w:r>
        <w:rPr>
          <w:rFonts w:hint="eastAsia" w:ascii="仿宋_GB2312" w:eastAsia="仿宋_GB2312" w:cs="仿宋_GB2312"/>
          <w:color w:val="auto"/>
          <w:kern w:val="0"/>
          <w:sz w:val="32"/>
          <w:szCs w:val="32"/>
          <w:u w:val="none"/>
        </w:rPr>
        <w:t>（套）。</w:t>
      </w:r>
    </w:p>
    <w:p>
      <w:pPr>
        <w:spacing w:line="580" w:lineRule="exact"/>
        <w:ind w:firstLine="645"/>
        <w:jc w:val="both"/>
        <w:rPr>
          <w:rFonts w:ascii="仿宋_GB2312" w:eastAsia="仿宋_GB2312"/>
          <w:b/>
          <w:sz w:val="32"/>
          <w:szCs w:val="32"/>
        </w:rPr>
      </w:pPr>
      <w:r>
        <w:rPr>
          <w:rFonts w:hint="eastAsia" w:ascii="仿宋_GB2312" w:eastAsia="仿宋_GB2312"/>
          <w:b/>
          <w:sz w:val="32"/>
          <w:szCs w:val="32"/>
        </w:rPr>
        <w:t>第四部分：名词解释</w:t>
      </w:r>
    </w:p>
    <w:p>
      <w:pPr>
        <w:numPr>
          <w:ilvl w:val="0"/>
          <w:numId w:val="1"/>
        </w:numPr>
        <w:spacing w:line="580" w:lineRule="exact"/>
        <w:ind w:firstLine="645"/>
        <w:jc w:val="both"/>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1"/>
        </w:numPr>
        <w:spacing w:line="580" w:lineRule="exact"/>
        <w:ind w:firstLine="645"/>
        <w:jc w:val="both"/>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1"/>
        </w:numPr>
        <w:spacing w:line="580" w:lineRule="exact"/>
        <w:ind w:firstLine="645"/>
        <w:jc w:val="both"/>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1"/>
        </w:numPr>
        <w:spacing w:line="580" w:lineRule="exact"/>
        <w:ind w:firstLine="645"/>
        <w:jc w:val="both"/>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1"/>
        </w:numPr>
        <w:spacing w:line="580" w:lineRule="exact"/>
        <w:ind w:firstLine="645"/>
        <w:jc w:val="both"/>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1"/>
        </w:numPr>
        <w:spacing w:line="580" w:lineRule="exact"/>
        <w:ind w:firstLine="645"/>
        <w:jc w:val="both"/>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1"/>
        </w:numPr>
        <w:spacing w:line="580" w:lineRule="exact"/>
        <w:ind w:firstLine="645"/>
        <w:jc w:val="both"/>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1"/>
        </w:numPr>
        <w:spacing w:line="580" w:lineRule="exact"/>
        <w:ind w:firstLine="645"/>
        <w:jc w:val="both"/>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1"/>
        </w:numPr>
        <w:spacing w:line="580" w:lineRule="exact"/>
        <w:ind w:firstLine="645"/>
        <w:jc w:val="both"/>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1"/>
        </w:numPr>
        <w:spacing w:line="580" w:lineRule="exact"/>
        <w:ind w:firstLine="645"/>
        <w:jc w:val="both"/>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1"/>
        </w:numPr>
        <w:spacing w:line="580" w:lineRule="exact"/>
        <w:ind w:firstLine="645"/>
        <w:jc w:val="both"/>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1"/>
        </w:numPr>
        <w:spacing w:line="580" w:lineRule="exact"/>
        <w:ind w:firstLine="645"/>
        <w:jc w:val="both"/>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1"/>
        </w:numPr>
        <w:spacing w:line="580" w:lineRule="exact"/>
        <w:ind w:firstLine="645"/>
        <w:jc w:val="both"/>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29D717-DD0B-4960-970D-C9A9DE3551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30BF36F6-951C-46E8-AD3C-FEAAC7A76218}"/>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ADDE5542-76A2-4994-BAE2-CB8446FBD39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BA7"/>
    <w:multiLevelType w:val="singleLevel"/>
    <w:tmpl w:val="5B3C8BA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4OGE0YTE5NWJjM2Y5N2I3MDYxMmIwNzljZTk5ZDIifQ=="/>
  </w:docVars>
  <w:rsids>
    <w:rsidRoot w:val="4C256E3D"/>
    <w:rsid w:val="00066CA3"/>
    <w:rsid w:val="00127E8E"/>
    <w:rsid w:val="00431603"/>
    <w:rsid w:val="006C1367"/>
    <w:rsid w:val="006E75C1"/>
    <w:rsid w:val="00715385"/>
    <w:rsid w:val="00AF6661"/>
    <w:rsid w:val="00F66C5B"/>
    <w:rsid w:val="011A163C"/>
    <w:rsid w:val="02013131"/>
    <w:rsid w:val="020F6337"/>
    <w:rsid w:val="03C32283"/>
    <w:rsid w:val="063F5DAF"/>
    <w:rsid w:val="06670185"/>
    <w:rsid w:val="067965CF"/>
    <w:rsid w:val="07A80860"/>
    <w:rsid w:val="07DA7D84"/>
    <w:rsid w:val="097C3BD5"/>
    <w:rsid w:val="09CD5C9B"/>
    <w:rsid w:val="0A715276"/>
    <w:rsid w:val="0B345728"/>
    <w:rsid w:val="0BB26D48"/>
    <w:rsid w:val="0DC11177"/>
    <w:rsid w:val="0E074DDF"/>
    <w:rsid w:val="0E8A3CC2"/>
    <w:rsid w:val="0F1E7137"/>
    <w:rsid w:val="0F3D7FA2"/>
    <w:rsid w:val="0F5036FA"/>
    <w:rsid w:val="11691A08"/>
    <w:rsid w:val="11F47C38"/>
    <w:rsid w:val="121F3234"/>
    <w:rsid w:val="124204B5"/>
    <w:rsid w:val="12AC5B06"/>
    <w:rsid w:val="1425512B"/>
    <w:rsid w:val="15C176F6"/>
    <w:rsid w:val="167A581F"/>
    <w:rsid w:val="17907F67"/>
    <w:rsid w:val="182962AB"/>
    <w:rsid w:val="18E32B84"/>
    <w:rsid w:val="191434D4"/>
    <w:rsid w:val="194F56D7"/>
    <w:rsid w:val="19D073EB"/>
    <w:rsid w:val="1AB670F6"/>
    <w:rsid w:val="1B4A33B8"/>
    <w:rsid w:val="1BCF6FEE"/>
    <w:rsid w:val="1C5E6C23"/>
    <w:rsid w:val="1CC31F67"/>
    <w:rsid w:val="1DFF2866"/>
    <w:rsid w:val="1F147BAC"/>
    <w:rsid w:val="227922E2"/>
    <w:rsid w:val="234E406F"/>
    <w:rsid w:val="23941A60"/>
    <w:rsid w:val="23FE4BA9"/>
    <w:rsid w:val="24D337DC"/>
    <w:rsid w:val="25E63A70"/>
    <w:rsid w:val="262A7F76"/>
    <w:rsid w:val="26460DBA"/>
    <w:rsid w:val="26955D05"/>
    <w:rsid w:val="26A15BCC"/>
    <w:rsid w:val="26D52B87"/>
    <w:rsid w:val="27C36E15"/>
    <w:rsid w:val="2888542A"/>
    <w:rsid w:val="298F10D3"/>
    <w:rsid w:val="29F13EE7"/>
    <w:rsid w:val="2B6F74EB"/>
    <w:rsid w:val="2C4219FE"/>
    <w:rsid w:val="2E3D4A90"/>
    <w:rsid w:val="2EA568A7"/>
    <w:rsid w:val="2F921688"/>
    <w:rsid w:val="3012341A"/>
    <w:rsid w:val="306C420A"/>
    <w:rsid w:val="31B20F55"/>
    <w:rsid w:val="31EB4B75"/>
    <w:rsid w:val="32793B2F"/>
    <w:rsid w:val="32F072B6"/>
    <w:rsid w:val="33715FA5"/>
    <w:rsid w:val="34020F86"/>
    <w:rsid w:val="34D5479B"/>
    <w:rsid w:val="36D90229"/>
    <w:rsid w:val="37081118"/>
    <w:rsid w:val="397E66DB"/>
    <w:rsid w:val="398D170F"/>
    <w:rsid w:val="39A63F06"/>
    <w:rsid w:val="3B8C01B2"/>
    <w:rsid w:val="3C562D81"/>
    <w:rsid w:val="3DA16B50"/>
    <w:rsid w:val="3E7C006D"/>
    <w:rsid w:val="3ED1439F"/>
    <w:rsid w:val="44085095"/>
    <w:rsid w:val="44AB5322"/>
    <w:rsid w:val="44D3768F"/>
    <w:rsid w:val="44EB1275"/>
    <w:rsid w:val="468A6E7B"/>
    <w:rsid w:val="46915994"/>
    <w:rsid w:val="471750FA"/>
    <w:rsid w:val="476C5CE9"/>
    <w:rsid w:val="47B4088E"/>
    <w:rsid w:val="48374EDC"/>
    <w:rsid w:val="48B65281"/>
    <w:rsid w:val="4B5516EF"/>
    <w:rsid w:val="4C256E3D"/>
    <w:rsid w:val="4C56596E"/>
    <w:rsid w:val="4CAB43FA"/>
    <w:rsid w:val="4CB52F0F"/>
    <w:rsid w:val="4FC75F1D"/>
    <w:rsid w:val="4FE473C9"/>
    <w:rsid w:val="502D37C3"/>
    <w:rsid w:val="502E30BA"/>
    <w:rsid w:val="523302EC"/>
    <w:rsid w:val="532F1F9A"/>
    <w:rsid w:val="551B704B"/>
    <w:rsid w:val="56213E67"/>
    <w:rsid w:val="56450A3C"/>
    <w:rsid w:val="57415FE4"/>
    <w:rsid w:val="576107DF"/>
    <w:rsid w:val="58C91360"/>
    <w:rsid w:val="599B2D03"/>
    <w:rsid w:val="5C9B289B"/>
    <w:rsid w:val="5D4717A8"/>
    <w:rsid w:val="5E3432BF"/>
    <w:rsid w:val="5E995A3E"/>
    <w:rsid w:val="5F78202D"/>
    <w:rsid w:val="61C0384D"/>
    <w:rsid w:val="62163194"/>
    <w:rsid w:val="624D024D"/>
    <w:rsid w:val="63EA4C0C"/>
    <w:rsid w:val="643F2E8E"/>
    <w:rsid w:val="650E086A"/>
    <w:rsid w:val="67107A0A"/>
    <w:rsid w:val="67E675FF"/>
    <w:rsid w:val="6820743A"/>
    <w:rsid w:val="690A36CF"/>
    <w:rsid w:val="6A0B5CA4"/>
    <w:rsid w:val="6BAA0708"/>
    <w:rsid w:val="6C1B671A"/>
    <w:rsid w:val="6C6802E3"/>
    <w:rsid w:val="6F7C5DFA"/>
    <w:rsid w:val="705C66D0"/>
    <w:rsid w:val="708E6E68"/>
    <w:rsid w:val="71911114"/>
    <w:rsid w:val="72915836"/>
    <w:rsid w:val="736447D8"/>
    <w:rsid w:val="76DE1470"/>
    <w:rsid w:val="774457FC"/>
    <w:rsid w:val="77C04A0A"/>
    <w:rsid w:val="7927526C"/>
    <w:rsid w:val="796C1952"/>
    <w:rsid w:val="7A6C4A99"/>
    <w:rsid w:val="7B414AB0"/>
    <w:rsid w:val="7BD512EC"/>
    <w:rsid w:val="7F285C71"/>
    <w:rsid w:val="7F593E25"/>
    <w:rsid w:val="7FD25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paragraph" w:customStyle="1" w:styleId="11">
    <w:name w:val="正文1"/>
    <w:basedOn w:val="12"/>
    <w:qFormat/>
    <w:uiPriority w:val="3"/>
    <w:pPr>
      <w:widowControl/>
      <w:jc w:val="both"/>
    </w:pPr>
    <w:rPr>
      <w:rFonts w:ascii="Times New Roman" w:hAnsi="Times New Roman" w:eastAsia="Times New Roman"/>
      <w:sz w:val="21"/>
    </w:rPr>
  </w:style>
  <w:style w:type="paragraph" w:customStyle="1" w:styleId="12">
    <w:name w:val="[Normal]"/>
    <w:qFormat/>
    <w:uiPriority w:val="6"/>
    <w:rPr>
      <w:rFonts w:ascii="宋体" w:hAnsi="宋体" w:eastAsia="宋体" w:cs="Times New Roman"/>
      <w:color w:val="auto"/>
      <w:position w:val="0"/>
      <w:sz w:val="24"/>
      <w:u w:val="none"/>
      <w:shd w:val="clear" w:color="auto" w:fill="auto"/>
      <w:lang w:val="zh-CN"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4073</Words>
  <Characters>4477</Characters>
  <Lines>60</Lines>
  <Paragraphs>17</Paragraphs>
  <TotalTime>4</TotalTime>
  <ScaleCrop>false</ScaleCrop>
  <LinksUpToDate>false</LinksUpToDate>
  <CharactersWithSpaces>4486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橘生淮南</cp:lastModifiedBy>
  <cp:lastPrinted>2021-07-07T01:10:00Z</cp:lastPrinted>
  <dcterms:modified xsi:type="dcterms:W3CDTF">2023-11-21T09:13:48Z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64C27C59BC5C498DB9D7921830A7EB01</vt:lpwstr>
  </property>
</Properties>
</file>