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default" w:ascii="黑体" w:hAnsi="黑体" w:eastAsia="黑体"/>
          <w:bCs/>
          <w:color w:val="000000"/>
          <w:sz w:val="52"/>
          <w:szCs w:val="52"/>
          <w:u w:val="none"/>
          <w:lang w:val="en-US" w:eastAsia="zh-CN"/>
        </w:rPr>
      </w:pPr>
      <w:r>
        <w:rPr>
          <w:rFonts w:hint="eastAsia" w:ascii="黑体" w:eastAsia="黑体" w:cs="ArialUnicodeMS"/>
          <w:kern w:val="0"/>
          <w:sz w:val="52"/>
          <w:szCs w:val="52"/>
          <w:u w:val="none"/>
        </w:rPr>
        <w:t>柳州市</w:t>
      </w:r>
      <w:r>
        <w:rPr>
          <w:rFonts w:hint="eastAsia" w:ascii="黑体" w:hAnsi="黑体" w:eastAsia="黑体"/>
          <w:bCs/>
          <w:color w:val="000000"/>
          <w:sz w:val="52"/>
          <w:szCs w:val="52"/>
          <w:u w:val="none"/>
          <w:lang w:val="en-US" w:eastAsia="zh-CN"/>
        </w:rPr>
        <w:t>第二中学</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val="en-US"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val="en-US" w:eastAsia="zh-CN"/>
        </w:rPr>
        <w:t>柳州市第二中学</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val="en-US" w:eastAsia="zh-CN"/>
        </w:rPr>
        <w:t>柳州市第二中学</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val="en-US" w:eastAsia="zh-CN"/>
        </w:rPr>
        <w:t>柳州市第二中学</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eastAsia="zh-CN"/>
        </w:rPr>
        <w:t>十</w:t>
      </w:r>
      <w:r>
        <w:rPr>
          <w:rFonts w:hint="eastAsia" w:ascii="仿宋_GB2312" w:eastAsia="仿宋_GB2312" w:cs="仿宋_GB2312"/>
          <w:bCs/>
          <w:kern w:val="0"/>
          <w:sz w:val="32"/>
          <w:szCs w:val="32"/>
          <w:highlight w:val="none"/>
        </w:rPr>
        <w:t>、</w:t>
      </w:r>
      <w:r>
        <w:rPr>
          <w:rFonts w:hint="eastAsia" w:ascii="仿宋_GB2312" w:eastAsia="仿宋_GB2312"/>
          <w:sz w:val="32"/>
          <w:szCs w:val="32"/>
          <w:highlight w:val="none"/>
          <w:lang w:eastAsia="zh-CN"/>
        </w:rPr>
        <w:t>2020年度预算绩效情况说明</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bCs/>
          <w:kern w:val="0"/>
          <w:sz w:val="32"/>
          <w:szCs w:val="32"/>
          <w:highlight w:val="none"/>
          <w:lang w:eastAsia="zh-CN"/>
        </w:rPr>
        <w:t>十一、</w:t>
      </w:r>
      <w:r>
        <w:rPr>
          <w:rFonts w:hint="eastAsia" w:ascii="仿宋_GB2312" w:eastAsia="仿宋_GB2312" w:cs="仿宋_GB2312"/>
          <w:bCs/>
          <w:kern w:val="0"/>
          <w:sz w:val="32"/>
          <w:szCs w:val="32"/>
          <w:highlight w:val="none"/>
        </w:rPr>
        <w:t>其他重要事项的情况说明</w:t>
      </w:r>
    </w:p>
    <w:p>
      <w:pPr>
        <w:ind w:firstLine="645"/>
        <w:rPr>
          <w:rFonts w:hint="eastAsia" w:ascii="仿宋_GB2312" w:eastAsia="仿宋_GB2312"/>
          <w:b/>
          <w:sz w:val="32"/>
          <w:szCs w:val="32"/>
        </w:rPr>
      </w:pPr>
      <w:r>
        <w:rPr>
          <w:rFonts w:hint="eastAsia" w:ascii="仿宋_GB2312" w:eastAsia="仿宋_GB2312"/>
          <w:b/>
          <w:sz w:val="32"/>
          <w:szCs w:val="32"/>
        </w:rPr>
        <w:t>第四部分：名词解释</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5"/>
        <w:rPr>
          <w:rFonts w:hint="eastAsia" w:ascii="仿宋_GB2312" w:eastAsia="仿宋_GB2312"/>
          <w:b/>
          <w:sz w:val="32"/>
          <w:szCs w:val="32"/>
        </w:rPr>
      </w:pPr>
    </w:p>
    <w:p>
      <w:pPr>
        <w:ind w:firstLine="646"/>
        <w:jc w:val="both"/>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val="en-US" w:eastAsia="zh-CN"/>
        </w:rPr>
        <w:t>柳州市第二中学</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pStyle w:val="5"/>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柳州市第二中学是隶属柳州市教育局管理的独立核算财政全额拨款事业单位，负责高中教育教学管理、教育经费管理与收支核算。我校认真贯彻执行党和国家的教育方针、政策、法律法规等，坚持依法治校、依法执教、依法治教、依法治学，制定中学生的发展规划和学年计划，开展教学教研活动；加强师资队伍建设，保障学生人身安全，搞好校园建设，根据中学生要求制定教学计划，使每个学生在德、智、体、美、劳等方面得到和谐发展。</w:t>
      </w:r>
    </w:p>
    <w:p>
      <w:pPr>
        <w:ind w:firstLine="646"/>
        <w:rPr>
          <w:rFonts w:hint="eastAsia" w:ascii="仿宋_GB2312" w:eastAsia="仿宋_GB2312"/>
          <w:sz w:val="32"/>
          <w:szCs w:val="32"/>
          <w:highlight w:val="none"/>
          <w:lang w:eastAsia="zh-CN"/>
        </w:rPr>
      </w:pPr>
      <w:r>
        <w:rPr>
          <w:rFonts w:hint="eastAsia" w:ascii="仿宋_GB2312" w:eastAsia="仿宋_GB2312"/>
          <w:sz w:val="32"/>
          <w:szCs w:val="32"/>
          <w:highlight w:val="none"/>
        </w:rPr>
        <w:t>二、</w:t>
      </w:r>
      <w:r>
        <w:rPr>
          <w:rFonts w:hint="eastAsia" w:ascii="仿宋_GB2312" w:eastAsia="仿宋_GB2312"/>
          <w:sz w:val="32"/>
          <w:szCs w:val="32"/>
          <w:highlight w:val="none"/>
          <w:lang w:eastAsia="zh-CN"/>
        </w:rPr>
        <w:t>单位</w:t>
      </w:r>
      <w:r>
        <w:rPr>
          <w:rFonts w:hint="eastAsia" w:ascii="仿宋_GB2312" w:eastAsia="仿宋_GB2312"/>
          <w:color w:val="auto"/>
          <w:sz w:val="32"/>
          <w:szCs w:val="32"/>
          <w:highlight w:val="none"/>
        </w:rPr>
        <w:t>决算构成</w:t>
      </w:r>
    </w:p>
    <w:p>
      <w:pPr>
        <w:adjustRightInd w:val="0"/>
        <w:snapToGrid w:val="0"/>
        <w:spacing w:line="560" w:lineRule="exact"/>
        <w:ind w:right="-218" w:rightChars="-104" w:firstLine="640" w:firstLineChars="200"/>
        <w:rPr>
          <w:rFonts w:hint="eastAsia"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柳州市第二中学</w:t>
      </w:r>
      <w:r>
        <w:rPr>
          <w:rFonts w:hint="eastAsia" w:ascii="仿宋_GB2312" w:hAnsi="华文仿宋" w:eastAsia="仿宋_GB2312" w:cs="宋体"/>
          <w:bCs/>
          <w:color w:val="000000"/>
          <w:kern w:val="0"/>
          <w:sz w:val="32"/>
          <w:szCs w:val="32"/>
          <w:lang w:val="en-US" w:eastAsia="zh-CN"/>
        </w:rPr>
        <w:t>的单位决算由以下科室组成：</w:t>
      </w:r>
      <w:r>
        <w:rPr>
          <w:rFonts w:hint="eastAsia" w:ascii="仿宋_GB2312" w:hAnsi="华文仿宋" w:eastAsia="仿宋_GB2312" w:cs="宋体"/>
          <w:bCs/>
          <w:color w:val="000000"/>
          <w:kern w:val="0"/>
          <w:sz w:val="32"/>
          <w:szCs w:val="32"/>
        </w:rPr>
        <w:t>党办、办公室、教务处、科教处、科研处、总务处、政教处、保卫处、督导室、学生发展中心、教师发展中心、后勤服务处、资助办、团委等。</w:t>
      </w:r>
    </w:p>
    <w:p>
      <w:pPr>
        <w:adjustRightInd w:val="0"/>
        <w:snapToGrid w:val="0"/>
        <w:spacing w:line="560" w:lineRule="exact"/>
        <w:ind w:right="-218" w:rightChars="-104" w:firstLine="640" w:firstLineChars="200"/>
        <w:rPr>
          <w:rFonts w:hint="eastAsia" w:ascii="仿宋_GB2312" w:hAnsi="华文仿宋" w:eastAsia="仿宋_GB2312" w:cs="宋体"/>
          <w:bCs/>
          <w:color w:val="000000"/>
          <w:kern w:val="0"/>
          <w:sz w:val="32"/>
          <w:szCs w:val="32"/>
        </w:rPr>
      </w:pPr>
    </w:p>
    <w:p>
      <w:pPr>
        <w:adjustRightInd w:val="0"/>
        <w:snapToGrid w:val="0"/>
        <w:spacing w:line="560" w:lineRule="exact"/>
        <w:ind w:right="-218" w:rightChars="-104" w:firstLine="640" w:firstLineChars="200"/>
        <w:rPr>
          <w:rFonts w:hint="eastAsia" w:ascii="仿宋_GB2312" w:hAnsi="华文仿宋" w:eastAsia="仿宋_GB2312" w:cs="宋体"/>
          <w:bCs/>
          <w:color w:val="000000"/>
          <w:kern w:val="0"/>
          <w:sz w:val="32"/>
          <w:szCs w:val="32"/>
        </w:rPr>
      </w:pPr>
    </w:p>
    <w:p>
      <w:pPr>
        <w:adjustRightInd w:val="0"/>
        <w:snapToGrid w:val="0"/>
        <w:spacing w:line="560" w:lineRule="exact"/>
        <w:ind w:right="-218" w:rightChars="-104" w:firstLine="640" w:firstLineChars="200"/>
        <w:rPr>
          <w:rFonts w:hint="eastAsia" w:ascii="仿宋_GB2312" w:hAnsi="华文仿宋" w:eastAsia="仿宋_GB2312" w:cs="宋体"/>
          <w:bCs/>
          <w:color w:val="000000"/>
          <w:kern w:val="0"/>
          <w:sz w:val="32"/>
          <w:szCs w:val="32"/>
        </w:rPr>
      </w:pPr>
    </w:p>
    <w:p>
      <w:pPr>
        <w:adjustRightInd w:val="0"/>
        <w:snapToGrid w:val="0"/>
        <w:spacing w:line="560" w:lineRule="exact"/>
        <w:ind w:right="-218" w:rightChars="-104" w:firstLine="640" w:firstLineChars="200"/>
        <w:rPr>
          <w:rFonts w:hint="eastAsia" w:ascii="仿宋_GB2312" w:hAnsi="华文仿宋" w:eastAsia="仿宋_GB2312" w:cs="宋体"/>
          <w:bCs/>
          <w:color w:val="000000"/>
          <w:kern w:val="0"/>
          <w:sz w:val="32"/>
          <w:szCs w:val="32"/>
        </w:rPr>
      </w:pPr>
    </w:p>
    <w:p>
      <w:pPr>
        <w:adjustRightInd w:val="0"/>
        <w:snapToGrid w:val="0"/>
        <w:spacing w:line="560" w:lineRule="exact"/>
        <w:ind w:right="-218" w:rightChars="-104" w:firstLine="640" w:firstLineChars="200"/>
        <w:rPr>
          <w:rFonts w:hint="eastAsia" w:ascii="仿宋_GB2312" w:hAnsi="华文仿宋" w:eastAsia="仿宋_GB2312" w:cs="宋体"/>
          <w:bCs/>
          <w:color w:val="000000"/>
          <w:kern w:val="0"/>
          <w:sz w:val="32"/>
          <w:szCs w:val="32"/>
        </w:rPr>
      </w:pPr>
    </w:p>
    <w:p>
      <w:pPr>
        <w:adjustRightInd w:val="0"/>
        <w:snapToGrid w:val="0"/>
        <w:spacing w:line="560" w:lineRule="exact"/>
        <w:ind w:right="-218" w:rightChars="-104" w:firstLine="640" w:firstLineChars="200"/>
        <w:rPr>
          <w:rFonts w:hint="eastAsia" w:ascii="仿宋_GB2312" w:hAnsi="华文仿宋" w:eastAsia="仿宋_GB2312" w:cs="宋体"/>
          <w:bCs/>
          <w:color w:val="000000"/>
          <w:kern w:val="0"/>
          <w:sz w:val="32"/>
          <w:szCs w:val="32"/>
        </w:rPr>
      </w:pPr>
    </w:p>
    <w:p>
      <w:pPr>
        <w:adjustRightInd w:val="0"/>
        <w:snapToGrid w:val="0"/>
        <w:spacing w:line="560" w:lineRule="exact"/>
        <w:ind w:right="-218" w:rightChars="-104" w:firstLine="640" w:firstLineChars="200"/>
        <w:rPr>
          <w:rFonts w:hint="eastAsia" w:ascii="仿宋_GB2312" w:hAnsi="华文仿宋" w:eastAsia="仿宋_GB2312" w:cs="宋体"/>
          <w:bCs/>
          <w:color w:val="000000"/>
          <w:kern w:val="0"/>
          <w:sz w:val="32"/>
          <w:szCs w:val="32"/>
        </w:rPr>
      </w:pPr>
    </w:p>
    <w:p>
      <w:pPr>
        <w:adjustRightInd w:val="0"/>
        <w:snapToGrid w:val="0"/>
        <w:spacing w:line="560" w:lineRule="exact"/>
        <w:ind w:right="-218" w:rightChars="-104" w:firstLine="640" w:firstLineChars="200"/>
        <w:rPr>
          <w:rFonts w:hint="eastAsia" w:ascii="仿宋_GB2312" w:hAnsi="华文仿宋" w:eastAsia="仿宋_GB2312" w:cs="宋体"/>
          <w:bCs/>
          <w:color w:val="000000"/>
          <w:kern w:val="0"/>
          <w:sz w:val="32"/>
          <w:szCs w:val="32"/>
        </w:rPr>
      </w:pPr>
    </w:p>
    <w:p>
      <w:pPr>
        <w:adjustRightInd w:val="0"/>
        <w:snapToGrid w:val="0"/>
        <w:spacing w:line="560" w:lineRule="exact"/>
        <w:ind w:right="-218" w:rightChars="-104" w:firstLine="640" w:firstLineChars="200"/>
        <w:rPr>
          <w:rFonts w:hint="eastAsia" w:ascii="仿宋_GB2312" w:hAnsi="华文仿宋" w:eastAsia="仿宋_GB2312" w:cs="宋体"/>
          <w:bCs/>
          <w:color w:val="000000"/>
          <w:kern w:val="0"/>
          <w:sz w:val="32"/>
          <w:szCs w:val="32"/>
        </w:rPr>
      </w:pPr>
    </w:p>
    <w:p>
      <w:pPr>
        <w:jc w:val="both"/>
      </w:pPr>
    </w:p>
    <w:p>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val="en-US" w:eastAsia="zh-CN"/>
        </w:rPr>
        <w:t>柳州市第二中学</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tbl>
      <w:tblPr>
        <w:tblStyle w:val="6"/>
        <w:tblW w:w="8720" w:type="dxa"/>
        <w:jc w:val="center"/>
        <w:tblLayout w:type="fixed"/>
        <w:tblCellMar>
          <w:top w:w="0" w:type="dxa"/>
          <w:left w:w="108" w:type="dxa"/>
          <w:bottom w:w="0" w:type="dxa"/>
          <w:right w:w="108" w:type="dxa"/>
        </w:tblCellMar>
      </w:tblPr>
      <w:tblGrid>
        <w:gridCol w:w="2895"/>
        <w:gridCol w:w="1085"/>
        <w:gridCol w:w="3123"/>
        <w:gridCol w:w="1617"/>
      </w:tblGrid>
      <w:tr>
        <w:tblPrEx>
          <w:tblCellMar>
            <w:top w:w="0" w:type="dxa"/>
            <w:left w:w="108" w:type="dxa"/>
            <w:bottom w:w="0" w:type="dxa"/>
            <w:right w:w="108" w:type="dxa"/>
          </w:tblCellMar>
        </w:tblPrEx>
        <w:trPr>
          <w:wAfter w:w="0" w:type="auto"/>
          <w:trHeight w:val="570" w:hRule="atLeast"/>
          <w:jc w:val="center"/>
        </w:trPr>
        <w:tc>
          <w:tcPr>
            <w:tcW w:w="8720"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6131.71</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6311.24</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238.22</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3123"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六、卫生健康支出</w:t>
            </w:r>
          </w:p>
        </w:tc>
        <w:tc>
          <w:tcPr>
            <w:tcW w:w="161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302.02</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c>
          <w:tcPr>
            <w:tcW w:w="3123"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七、农林水支出</w:t>
            </w:r>
          </w:p>
        </w:tc>
        <w:tc>
          <w:tcPr>
            <w:tcW w:w="161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21.70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6369.93</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6637.01</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使用非财政拨款结余</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15.16</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0.00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267.61</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15.69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6652.69</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6652.69</w:t>
            </w:r>
          </w:p>
        </w:tc>
      </w:tr>
    </w:tbl>
    <w:p>
      <w:pPr>
        <w:rPr>
          <w:rFonts w:hint="eastAsia"/>
        </w:rPr>
      </w:pPr>
    </w:p>
    <w:p>
      <w:pPr>
        <w:rPr>
          <w:rFonts w:hint="eastAsia"/>
        </w:rPr>
      </w:pPr>
      <w:r>
        <w:rPr>
          <w:rFonts w:hint="eastAsia"/>
        </w:rPr>
        <w:t>注：本表反映部门本年度的总收支和年末结转结余情况。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p>
    <w:p>
      <w:pPr>
        <w:widowControl/>
        <w:jc w:val="center"/>
        <w:rPr>
          <w:rFonts w:hint="eastAsia"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表二：收入决算表</w:t>
      </w:r>
    </w:p>
    <w:p>
      <w:pPr>
        <w:jc w:val="right"/>
        <w:rPr>
          <w:sz w:val="22"/>
          <w:szCs w:val="22"/>
        </w:rPr>
      </w:pPr>
      <w:r>
        <w:rPr>
          <w:rFonts w:hint="eastAsia"/>
          <w:sz w:val="22"/>
          <w:szCs w:val="22"/>
        </w:rPr>
        <w:t>单位：万元</w:t>
      </w:r>
    </w:p>
    <w:tbl>
      <w:tblPr>
        <w:tblStyle w:val="6"/>
        <w:tblW w:w="14140" w:type="dxa"/>
        <w:jc w:val="center"/>
        <w:tblLayout w:type="fixed"/>
        <w:tblCellMar>
          <w:top w:w="0" w:type="dxa"/>
          <w:left w:w="108" w:type="dxa"/>
          <w:bottom w:w="0" w:type="dxa"/>
          <w:right w:w="108" w:type="dxa"/>
        </w:tblCellMar>
      </w:tblPr>
      <w:tblGrid>
        <w:gridCol w:w="1108"/>
        <w:gridCol w:w="2252"/>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事业收入</w:t>
            </w:r>
          </w:p>
          <w:p>
            <w:pPr>
              <w:widowControl/>
              <w:jc w:val="left"/>
              <w:rPr>
                <w:rFonts w:ascii="宋体" w:hAnsi="宋体" w:cs="Arial"/>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25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6369.93</w:t>
            </w:r>
          </w:p>
        </w:tc>
        <w:tc>
          <w:tcPr>
            <w:tcW w:w="1540"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6131.71</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238.22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205</w:t>
            </w:r>
          </w:p>
        </w:tc>
        <w:tc>
          <w:tcPr>
            <w:tcW w:w="2252"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教育支出</w:t>
            </w:r>
          </w:p>
        </w:tc>
        <w:tc>
          <w:tcPr>
            <w:tcW w:w="1540"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6044.16</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5805.95</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238.22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20502</w:t>
            </w:r>
          </w:p>
        </w:tc>
        <w:tc>
          <w:tcPr>
            <w:tcW w:w="2252"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普通教育</w:t>
            </w:r>
          </w:p>
        </w:tc>
        <w:tc>
          <w:tcPr>
            <w:tcW w:w="1540"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6044.16</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5805.95</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238.22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2050204</w:t>
            </w:r>
            <w:r>
              <w:rPr>
                <w:rFonts w:hint="eastAsia" w:ascii="宋体" w:hAnsi="宋体" w:cs="Arial"/>
                <w:color w:val="000000"/>
                <w:kern w:val="0"/>
                <w:sz w:val="22"/>
                <w:szCs w:val="22"/>
              </w:rPr>
              <w:t xml:space="preserve"> </w:t>
            </w:r>
          </w:p>
        </w:tc>
        <w:tc>
          <w:tcPr>
            <w:tcW w:w="2252"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高中教育</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5994.16</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5755.95</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238.22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2050299</w:t>
            </w:r>
          </w:p>
        </w:tc>
        <w:tc>
          <w:tcPr>
            <w:tcW w:w="2252"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其他普通教育</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50.00</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50.00</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w:t>
            </w:r>
          </w:p>
        </w:tc>
        <w:tc>
          <w:tcPr>
            <w:tcW w:w="2252"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卫生健康支出</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302.02</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21011</w:t>
            </w:r>
          </w:p>
        </w:tc>
        <w:tc>
          <w:tcPr>
            <w:tcW w:w="2252"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行政事业单位医疗</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302.02</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2101102</w:t>
            </w:r>
          </w:p>
        </w:tc>
        <w:tc>
          <w:tcPr>
            <w:tcW w:w="2252"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事业单位医疗</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302.02</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w:t>
            </w:r>
          </w:p>
        </w:tc>
        <w:tc>
          <w:tcPr>
            <w:tcW w:w="2252"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城乡社区支出</w:t>
            </w:r>
          </w:p>
        </w:tc>
        <w:tc>
          <w:tcPr>
            <w:tcW w:w="1540"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21205</w:t>
            </w:r>
          </w:p>
        </w:tc>
        <w:tc>
          <w:tcPr>
            <w:tcW w:w="2252"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城乡社区环境卫生</w:t>
            </w:r>
          </w:p>
        </w:tc>
        <w:tc>
          <w:tcPr>
            <w:tcW w:w="1540"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2120501</w:t>
            </w:r>
          </w:p>
        </w:tc>
        <w:tc>
          <w:tcPr>
            <w:tcW w:w="2252"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城乡社区环境卫生</w:t>
            </w:r>
          </w:p>
        </w:tc>
        <w:tc>
          <w:tcPr>
            <w:tcW w:w="1540"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w:t>
            </w:r>
          </w:p>
        </w:tc>
        <w:tc>
          <w:tcPr>
            <w:tcW w:w="2252"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农林水支出</w:t>
            </w:r>
          </w:p>
        </w:tc>
        <w:tc>
          <w:tcPr>
            <w:tcW w:w="1540"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21302</w:t>
            </w:r>
          </w:p>
        </w:tc>
        <w:tc>
          <w:tcPr>
            <w:tcW w:w="2252"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林业和草原</w:t>
            </w:r>
          </w:p>
        </w:tc>
        <w:tc>
          <w:tcPr>
            <w:tcW w:w="1540"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2130204</w:t>
            </w:r>
          </w:p>
        </w:tc>
        <w:tc>
          <w:tcPr>
            <w:tcW w:w="2252"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事业机构</w:t>
            </w:r>
          </w:p>
        </w:tc>
        <w:tc>
          <w:tcPr>
            <w:tcW w:w="1540"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221</w:t>
            </w:r>
          </w:p>
        </w:tc>
        <w:tc>
          <w:tcPr>
            <w:tcW w:w="2252" w:type="dxa"/>
            <w:tcBorders>
              <w:top w:val="nil"/>
              <w:left w:val="nil"/>
              <w:bottom w:val="single" w:color="auto" w:sz="4" w:space="0"/>
              <w:right w:val="single" w:color="auto" w:sz="4" w:space="0"/>
            </w:tcBorders>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住房保障支出</w:t>
            </w:r>
          </w:p>
        </w:tc>
        <w:tc>
          <w:tcPr>
            <w:tcW w:w="1540"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1540"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22103</w:t>
            </w:r>
          </w:p>
        </w:tc>
        <w:tc>
          <w:tcPr>
            <w:tcW w:w="2252"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住房改革支出</w:t>
            </w:r>
          </w:p>
        </w:tc>
        <w:tc>
          <w:tcPr>
            <w:tcW w:w="1540"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08" w:type="dxa"/>
            <w:tcBorders>
              <w:top w:val="nil"/>
              <w:left w:val="single" w:color="auto" w:sz="4" w:space="0"/>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2210203</w:t>
            </w:r>
          </w:p>
        </w:tc>
        <w:tc>
          <w:tcPr>
            <w:tcW w:w="2252"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购房补贴</w:t>
            </w:r>
          </w:p>
        </w:tc>
        <w:tc>
          <w:tcPr>
            <w:tcW w:w="1540" w:type="dxa"/>
            <w:tcBorders>
              <w:top w:val="nil"/>
              <w:left w:val="nil"/>
              <w:bottom w:val="single" w:color="auto" w:sz="4" w:space="0"/>
              <w:right w:val="single" w:color="auto" w:sz="4" w:space="0"/>
            </w:tcBorders>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1540"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bl>
    <w:p>
      <w:pPr>
        <w:rPr>
          <w:rFonts w:hint="eastAsia"/>
        </w:rPr>
      </w:pPr>
    </w:p>
    <w:p>
      <w:r>
        <w:rPr>
          <w:rFonts w:hint="eastAsia"/>
        </w:rPr>
        <w:t>注：本表反映部门本年度取得的各项收入情况。</w:t>
      </w:r>
    </w:p>
    <w:p>
      <w:pPr>
        <w:widowControl/>
        <w:jc w:val="center"/>
        <w:rPr>
          <w:rFonts w:hint="eastAsia"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表三：支出决算表</w:t>
      </w:r>
    </w:p>
    <w:p>
      <w:pPr>
        <w:jc w:val="right"/>
      </w:pPr>
      <w:r>
        <w:rPr>
          <w:rFonts w:hint="eastAsia"/>
          <w:sz w:val="22"/>
          <w:szCs w:val="22"/>
        </w:rPr>
        <w:t>单位：万元</w:t>
      </w:r>
    </w:p>
    <w:tbl>
      <w:tblPr>
        <w:tblStyle w:val="6"/>
        <w:tblW w:w="14049" w:type="dxa"/>
        <w:jc w:val="center"/>
        <w:tblLayout w:type="fixed"/>
        <w:tblCellMar>
          <w:top w:w="0" w:type="dxa"/>
          <w:left w:w="108" w:type="dxa"/>
          <w:bottom w:w="0" w:type="dxa"/>
          <w:right w:w="108" w:type="dxa"/>
        </w:tblCellMar>
      </w:tblPr>
      <w:tblGrid>
        <w:gridCol w:w="1180"/>
        <w:gridCol w:w="2193"/>
        <w:gridCol w:w="1604"/>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337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6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219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3373"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60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3373"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6637.01</w:t>
            </w:r>
          </w:p>
        </w:tc>
        <w:tc>
          <w:tcPr>
            <w:tcW w:w="1842"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6377.00</w:t>
            </w:r>
          </w:p>
        </w:tc>
        <w:tc>
          <w:tcPr>
            <w:tcW w:w="1701"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260.01</w:t>
            </w: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205</w:t>
            </w:r>
          </w:p>
        </w:tc>
        <w:tc>
          <w:tcPr>
            <w:tcW w:w="2193"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教育支出</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6311.24</w:t>
            </w:r>
          </w:p>
        </w:tc>
        <w:tc>
          <w:tcPr>
            <w:tcW w:w="1842"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6051.23</w:t>
            </w:r>
          </w:p>
        </w:tc>
        <w:tc>
          <w:tcPr>
            <w:tcW w:w="1701"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260.01</w:t>
            </w: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20502</w:t>
            </w:r>
          </w:p>
        </w:tc>
        <w:tc>
          <w:tcPr>
            <w:tcW w:w="2193"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普通教育</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6311.24</w:t>
            </w:r>
          </w:p>
        </w:tc>
        <w:tc>
          <w:tcPr>
            <w:tcW w:w="1842"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6051.23</w:t>
            </w:r>
          </w:p>
        </w:tc>
        <w:tc>
          <w:tcPr>
            <w:tcW w:w="1701"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260.01</w:t>
            </w: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2050204</w:t>
            </w:r>
            <w:r>
              <w:rPr>
                <w:rFonts w:hint="eastAsia" w:ascii="宋体" w:hAnsi="宋体" w:cs="Arial"/>
                <w:color w:val="000000"/>
                <w:kern w:val="0"/>
                <w:sz w:val="22"/>
                <w:szCs w:val="22"/>
              </w:rPr>
              <w:t xml:space="preserve"> </w:t>
            </w:r>
          </w:p>
        </w:tc>
        <w:tc>
          <w:tcPr>
            <w:tcW w:w="219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高中教育</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6276.48</w:t>
            </w:r>
          </w:p>
        </w:tc>
        <w:tc>
          <w:tcPr>
            <w:tcW w:w="1842"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6051.23</w:t>
            </w:r>
          </w:p>
        </w:tc>
        <w:tc>
          <w:tcPr>
            <w:tcW w:w="1701"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225.25</w:t>
            </w: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2050299</w:t>
            </w:r>
          </w:p>
        </w:tc>
        <w:tc>
          <w:tcPr>
            <w:tcW w:w="2193"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其他普通教育</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34.76</w:t>
            </w:r>
          </w:p>
        </w:tc>
        <w:tc>
          <w:tcPr>
            <w:tcW w:w="1842"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701"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34.76</w:t>
            </w: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w:t>
            </w:r>
          </w:p>
        </w:tc>
        <w:tc>
          <w:tcPr>
            <w:tcW w:w="2193"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卫生健康支出</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302.02</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w:t>
            </w:r>
          </w:p>
        </w:tc>
        <w:tc>
          <w:tcPr>
            <w:tcW w:w="2193"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行政事业单位医疗</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302.02</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2101102</w:t>
            </w:r>
          </w:p>
        </w:tc>
        <w:tc>
          <w:tcPr>
            <w:tcW w:w="2193"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事业单位医疗</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302.02</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w:t>
            </w:r>
          </w:p>
        </w:tc>
        <w:tc>
          <w:tcPr>
            <w:tcW w:w="2193"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城乡社区支出</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0.06</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21205</w:t>
            </w:r>
          </w:p>
        </w:tc>
        <w:tc>
          <w:tcPr>
            <w:tcW w:w="2193"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城乡社区环境卫生</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0.06</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2120501</w:t>
            </w:r>
          </w:p>
        </w:tc>
        <w:tc>
          <w:tcPr>
            <w:tcW w:w="2193" w:type="dxa"/>
            <w:tcBorders>
              <w:top w:val="nil"/>
              <w:left w:val="nil"/>
              <w:bottom w:val="single" w:color="auto" w:sz="4" w:space="0"/>
              <w:right w:val="single" w:color="auto" w:sz="4" w:space="0"/>
            </w:tcBorders>
            <w:vAlign w:val="top"/>
          </w:tcPr>
          <w:p>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城乡社区环境生</w:t>
            </w:r>
          </w:p>
        </w:tc>
        <w:tc>
          <w:tcPr>
            <w:tcW w:w="1604"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0.06</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w:t>
            </w:r>
          </w:p>
        </w:tc>
        <w:tc>
          <w:tcPr>
            <w:tcW w:w="2193"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农林水支出</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21.70</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21302</w:t>
            </w:r>
          </w:p>
        </w:tc>
        <w:tc>
          <w:tcPr>
            <w:tcW w:w="2193"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林业和草原</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21.70</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2130204</w:t>
            </w:r>
          </w:p>
        </w:tc>
        <w:tc>
          <w:tcPr>
            <w:tcW w:w="219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事业机构</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21.70</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w:t>
            </w:r>
          </w:p>
        </w:tc>
        <w:tc>
          <w:tcPr>
            <w:tcW w:w="2193"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住房保障支出</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1.98</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22103</w:t>
            </w:r>
          </w:p>
        </w:tc>
        <w:tc>
          <w:tcPr>
            <w:tcW w:w="2193"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住房改革支出</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1.98</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2210203</w:t>
            </w:r>
          </w:p>
        </w:tc>
        <w:tc>
          <w:tcPr>
            <w:tcW w:w="2193"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购房补贴</w:t>
            </w:r>
          </w:p>
        </w:tc>
        <w:tc>
          <w:tcPr>
            <w:tcW w:w="1604"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1842" w:type="dxa"/>
            <w:tcBorders>
              <w:top w:val="nil"/>
              <w:left w:val="nil"/>
              <w:bottom w:val="single" w:color="auto" w:sz="4" w:space="0"/>
              <w:right w:val="single" w:color="auto" w:sz="4" w:space="0"/>
            </w:tcBorders>
            <w:vAlign w:val="top"/>
          </w:tcPr>
          <w:p>
            <w:pPr>
              <w:widowControl/>
              <w:jc w:val="center"/>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1.98</w:t>
            </w:r>
          </w:p>
        </w:tc>
        <w:tc>
          <w:tcPr>
            <w:tcW w:w="170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701"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843" w:type="dxa"/>
            <w:tcBorders>
              <w:top w:val="nil"/>
              <w:left w:val="nil"/>
              <w:bottom w:val="single" w:color="auto" w:sz="4" w:space="0"/>
              <w:right w:val="single" w:color="auto" w:sz="4" w:space="0"/>
            </w:tcBorders>
          </w:tcPr>
          <w:p>
            <w:pPr>
              <w:widowControl/>
              <w:ind w:firstLine="440" w:firstLineChars="200"/>
              <w:jc w:val="center"/>
              <w:rPr>
                <w:rFonts w:ascii="宋体" w:hAnsi="宋体" w:cs="Arial"/>
                <w:color w:val="000000"/>
                <w:kern w:val="0"/>
                <w:sz w:val="22"/>
                <w:szCs w:val="22"/>
              </w:rPr>
            </w:pPr>
          </w:p>
        </w:tc>
        <w:tc>
          <w:tcPr>
            <w:tcW w:w="1985"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bl>
    <w:p>
      <w:pPr>
        <w:rPr>
          <w:rFonts w:hint="eastAsia"/>
        </w:rPr>
      </w:pPr>
    </w:p>
    <w:p>
      <w:r>
        <w:rPr>
          <w:rFonts w:hint="eastAsia"/>
        </w:rPr>
        <w:t>注：本表反映部门本年度各项支出情况。</w:t>
      </w:r>
    </w:p>
    <w:p>
      <w:pPr>
        <w:widowControl/>
        <w:jc w:val="center"/>
        <w:rPr>
          <w:rFonts w:hint="eastAsia"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表四：财政拨款收入支出决算总表</w:t>
      </w:r>
    </w:p>
    <w:p>
      <w:pPr>
        <w:jc w:val="right"/>
        <w:rPr>
          <w:rFonts w:hint="default" w:ascii="宋体" w:hAnsi="宋体" w:cs="宋体"/>
          <w:kern w:val="0"/>
          <w:sz w:val="22"/>
          <w:szCs w:val="22"/>
          <w:lang w:val="en-US" w:eastAsia="zh-CN"/>
        </w:rPr>
      </w:pPr>
      <w:r>
        <w:rPr>
          <w:rFonts w:hint="eastAsia" w:ascii="宋体" w:hAnsi="宋体" w:cs="宋体"/>
          <w:kern w:val="0"/>
          <w:sz w:val="22"/>
          <w:szCs w:val="22"/>
          <w:lang w:val="en-US" w:eastAsia="zh-CN"/>
        </w:rPr>
        <w:t>单位：万元</w:t>
      </w:r>
    </w:p>
    <w:tbl>
      <w:tblPr>
        <w:tblStyle w:val="6"/>
        <w:tblW w:w="13765" w:type="dxa"/>
        <w:tblInd w:w="0" w:type="dxa"/>
        <w:tblLayout w:type="fixed"/>
        <w:tblCellMar>
          <w:top w:w="0" w:type="dxa"/>
          <w:left w:w="108" w:type="dxa"/>
          <w:bottom w:w="0" w:type="dxa"/>
          <w:right w:w="108" w:type="dxa"/>
        </w:tblCellMar>
      </w:tblPr>
      <w:tblGrid>
        <w:gridCol w:w="3738"/>
        <w:gridCol w:w="1125"/>
        <w:gridCol w:w="1117"/>
        <w:gridCol w:w="3372"/>
        <w:gridCol w:w="681"/>
        <w:gridCol w:w="1267"/>
        <w:gridCol w:w="1149"/>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373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112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1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112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1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17"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6131.71</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97"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17"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17"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6057.87</w:t>
            </w:r>
          </w:p>
        </w:tc>
        <w:tc>
          <w:tcPr>
            <w:tcW w:w="1149"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6057.87</w:t>
            </w:r>
          </w:p>
        </w:tc>
        <w:tc>
          <w:tcPr>
            <w:tcW w:w="1316"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17"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17"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17"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七、卫生健康支出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1149"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17"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八、农林水支出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1149"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327"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17"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九、住房保障支出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1149"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17"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17"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本年收入合计</w:t>
            </w: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117"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6131.71</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6383.63</w:t>
            </w: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117"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267.61</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15.69</w:t>
            </w: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一般公共预算财政拨款</w:t>
            </w: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117"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267.61</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1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117" w:type="dxa"/>
            <w:tcBorders>
              <w:top w:val="nil"/>
              <w:left w:val="nil"/>
              <w:bottom w:val="single" w:color="auto" w:sz="4" w:space="0"/>
              <w:right w:val="single" w:color="auto" w:sz="4" w:space="0"/>
            </w:tcBorders>
          </w:tcPr>
          <w:p>
            <w:pPr>
              <w:widowControl/>
              <w:ind w:firstLine="220" w:firstLineChars="100"/>
              <w:jc w:val="center"/>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trPr>
        <w:tc>
          <w:tcPr>
            <w:tcW w:w="3738"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2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117" w:type="dxa"/>
            <w:tcBorders>
              <w:top w:val="nil"/>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6399.32</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6399.32</w:t>
            </w:r>
          </w:p>
        </w:tc>
      </w:tr>
    </w:tbl>
    <w:p>
      <w:r>
        <w:rPr>
          <w:rFonts w:hint="eastAsia"/>
        </w:rPr>
        <w:t>注：本表反映部门本年度一般公共预算财政拨款和政府性基金预算财政拨款的总收支和年末结转结余情况。</w:t>
      </w:r>
    </w:p>
    <w:p/>
    <w:p>
      <w:pPr>
        <w:widowControl/>
        <w:jc w:val="center"/>
        <w:rPr>
          <w:rFonts w:hint="eastAsia"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表五：一般公共预算财政拨款支出决算表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6383.63</w:t>
            </w:r>
          </w:p>
        </w:tc>
        <w:tc>
          <w:tcPr>
            <w:tcW w:w="2900"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6123.62</w:t>
            </w:r>
          </w:p>
        </w:tc>
        <w:tc>
          <w:tcPr>
            <w:tcW w:w="3396"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260.01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205</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教育支出</w:t>
            </w:r>
          </w:p>
        </w:tc>
        <w:tc>
          <w:tcPr>
            <w:tcW w:w="2900"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6057.87</w:t>
            </w:r>
          </w:p>
        </w:tc>
        <w:tc>
          <w:tcPr>
            <w:tcW w:w="2900"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5797.86</w:t>
            </w:r>
          </w:p>
        </w:tc>
        <w:tc>
          <w:tcPr>
            <w:tcW w:w="3396"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260.01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20502</w:t>
            </w:r>
          </w:p>
        </w:tc>
        <w:tc>
          <w:tcPr>
            <w:tcW w:w="30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普通教育</w:t>
            </w:r>
          </w:p>
        </w:tc>
        <w:tc>
          <w:tcPr>
            <w:tcW w:w="2900"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6057.87</w:t>
            </w:r>
          </w:p>
        </w:tc>
        <w:tc>
          <w:tcPr>
            <w:tcW w:w="2900"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5797.86</w:t>
            </w:r>
          </w:p>
        </w:tc>
        <w:tc>
          <w:tcPr>
            <w:tcW w:w="3396"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260.01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2050204</w:t>
            </w:r>
            <w:r>
              <w:rPr>
                <w:rFonts w:hint="eastAsia" w:ascii="宋体" w:hAnsi="宋体" w:cs="Arial"/>
                <w:color w:val="000000"/>
                <w:kern w:val="0"/>
                <w:sz w:val="22"/>
                <w:szCs w:val="22"/>
              </w:rPr>
              <w:t xml:space="preserve"> </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高中教育</w:t>
            </w:r>
          </w:p>
        </w:tc>
        <w:tc>
          <w:tcPr>
            <w:tcW w:w="2900"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6023.11</w:t>
            </w:r>
          </w:p>
        </w:tc>
        <w:tc>
          <w:tcPr>
            <w:tcW w:w="2900"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5797.86</w:t>
            </w:r>
          </w:p>
        </w:tc>
        <w:tc>
          <w:tcPr>
            <w:tcW w:w="3396"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225.25</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2050299</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其他普通教育</w:t>
            </w:r>
          </w:p>
        </w:tc>
        <w:tc>
          <w:tcPr>
            <w:tcW w:w="2900"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34.76</w:t>
            </w:r>
          </w:p>
        </w:tc>
        <w:tc>
          <w:tcPr>
            <w:tcW w:w="2900"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3396"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34.76</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w:t>
            </w:r>
          </w:p>
        </w:tc>
        <w:tc>
          <w:tcPr>
            <w:tcW w:w="30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卫生健康支出</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2900" w:type="dxa"/>
            <w:tcBorders>
              <w:top w:val="nil"/>
              <w:left w:val="nil"/>
              <w:bottom w:val="single" w:color="auto" w:sz="4" w:space="0"/>
              <w:right w:val="single" w:color="auto" w:sz="4" w:space="0"/>
            </w:tcBorders>
            <w:vAlign w:val="top"/>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3396"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w:t>
            </w:r>
          </w:p>
        </w:tc>
        <w:tc>
          <w:tcPr>
            <w:tcW w:w="30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行政事业单位医疗</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3396"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2101102</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事业单位医疗</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3396"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w:t>
            </w:r>
          </w:p>
        </w:tc>
        <w:tc>
          <w:tcPr>
            <w:tcW w:w="30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城乡社区支出</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3396"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21205</w:t>
            </w:r>
          </w:p>
        </w:tc>
        <w:tc>
          <w:tcPr>
            <w:tcW w:w="30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城乡社区环境卫生</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3396"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2120501</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城乡社区环境生</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0.06</w:t>
            </w:r>
          </w:p>
        </w:tc>
        <w:tc>
          <w:tcPr>
            <w:tcW w:w="3396"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w:t>
            </w:r>
          </w:p>
        </w:tc>
        <w:tc>
          <w:tcPr>
            <w:tcW w:w="30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农林水支出</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3396"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21302</w:t>
            </w:r>
          </w:p>
        </w:tc>
        <w:tc>
          <w:tcPr>
            <w:tcW w:w="30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林业和草原</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3396"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2130204</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事业机构</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21.70</w:t>
            </w:r>
          </w:p>
        </w:tc>
        <w:tc>
          <w:tcPr>
            <w:tcW w:w="3396"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住房保障支出</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3396"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22103</w:t>
            </w:r>
          </w:p>
        </w:tc>
        <w:tc>
          <w:tcPr>
            <w:tcW w:w="30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住房改革支出</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3396"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2210203</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购房补贴</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2900" w:type="dxa"/>
            <w:tcBorders>
              <w:top w:val="nil"/>
              <w:left w:val="nil"/>
              <w:bottom w:val="single" w:color="auto" w:sz="4" w:space="0"/>
              <w:right w:val="single" w:color="auto" w:sz="4" w:space="0"/>
            </w:tcBorders>
            <w:vAlign w:val="top"/>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3396" w:type="dxa"/>
            <w:tcBorders>
              <w:top w:val="nil"/>
              <w:left w:val="nil"/>
              <w:bottom w:val="single" w:color="auto" w:sz="4" w:space="0"/>
              <w:right w:val="single" w:color="auto" w:sz="4" w:space="0"/>
            </w:tcBorders>
          </w:tcPr>
          <w:p>
            <w:pPr>
              <w:widowControl/>
              <w:jc w:val="center"/>
              <w:rPr>
                <w:rFonts w:hint="eastAsia" w:ascii="宋体" w:hAnsi="宋体" w:cs="Arial"/>
                <w:color w:val="000000"/>
                <w:kern w:val="0"/>
                <w:sz w:val="22"/>
                <w:szCs w:val="22"/>
                <w:lang w:val="en-US" w:eastAsia="zh-CN"/>
              </w:rPr>
            </w:pPr>
          </w:p>
        </w:tc>
      </w:tr>
    </w:tbl>
    <w:p>
      <w:pPr>
        <w:rPr>
          <w:rFonts w:hint="eastAsia"/>
        </w:rPr>
      </w:pPr>
      <w:r>
        <w:rPr>
          <w:rFonts w:hint="eastAsia"/>
        </w:rPr>
        <w:t>注：本表反映部门本年度一般公共预算财政拨款实际支出情况。</w:t>
      </w:r>
    </w:p>
    <w:p>
      <w:pPr>
        <w:rPr>
          <w:rFonts w:hint="eastAsia"/>
        </w:rPr>
      </w:pPr>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widowControl/>
        <w:jc w:val="center"/>
        <w:rPr>
          <w:rFonts w:hint="eastAsia"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表六：一般公共预算财政拨款基本支出决算表</w:t>
      </w: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6"/>
        <w:tblW w:w="9151" w:type="dxa"/>
        <w:jc w:val="center"/>
        <w:tblLayout w:type="fixed"/>
        <w:tblCellMar>
          <w:top w:w="0" w:type="dxa"/>
          <w:left w:w="108" w:type="dxa"/>
          <w:bottom w:w="0" w:type="dxa"/>
          <w:right w:w="108" w:type="dxa"/>
        </w:tblCellMar>
      </w:tblPr>
      <w:tblGrid>
        <w:gridCol w:w="916"/>
        <w:gridCol w:w="2933"/>
        <w:gridCol w:w="1138"/>
        <w:gridCol w:w="849"/>
        <w:gridCol w:w="1710"/>
        <w:gridCol w:w="1605"/>
      </w:tblGrid>
      <w:tr>
        <w:tblPrEx>
          <w:tblCellMar>
            <w:top w:w="0" w:type="dxa"/>
            <w:left w:w="108" w:type="dxa"/>
            <w:bottom w:w="0" w:type="dxa"/>
            <w:right w:w="108" w:type="dxa"/>
          </w:tblCellMar>
        </w:tblPrEx>
        <w:trPr>
          <w:trHeight w:val="564" w:hRule="atLeast"/>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933"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38"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84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71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60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2933"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5520.52</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0"/>
                <w:szCs w:val="20"/>
              </w:rPr>
              <w:t>商品和服务支出</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435.36</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30101</w:t>
            </w:r>
          </w:p>
        </w:tc>
        <w:tc>
          <w:tcPr>
            <w:tcW w:w="293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基本工资</w:t>
            </w:r>
          </w:p>
        </w:tc>
        <w:tc>
          <w:tcPr>
            <w:tcW w:w="1138"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1435.56</w:t>
            </w:r>
          </w:p>
        </w:tc>
        <w:tc>
          <w:tcPr>
            <w:tcW w:w="84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171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办公费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44.83</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30102</w:t>
            </w:r>
          </w:p>
        </w:tc>
        <w:tc>
          <w:tcPr>
            <w:tcW w:w="293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津贴补贴</w:t>
            </w:r>
          </w:p>
        </w:tc>
        <w:tc>
          <w:tcPr>
            <w:tcW w:w="1138"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72.63</w:t>
            </w:r>
          </w:p>
        </w:tc>
        <w:tc>
          <w:tcPr>
            <w:tcW w:w="84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171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印刷费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5.34</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30103</w:t>
            </w:r>
          </w:p>
        </w:tc>
        <w:tc>
          <w:tcPr>
            <w:tcW w:w="2933"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奖金</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9.00</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1710"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咨询费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30106</w:t>
            </w:r>
          </w:p>
        </w:tc>
        <w:tc>
          <w:tcPr>
            <w:tcW w:w="2933"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伙食补助费</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1710"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手续费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30107</w:t>
            </w:r>
          </w:p>
        </w:tc>
        <w:tc>
          <w:tcPr>
            <w:tcW w:w="2933"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绩效工资</w:t>
            </w:r>
          </w:p>
        </w:tc>
        <w:tc>
          <w:tcPr>
            <w:tcW w:w="1138"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2158.91</w:t>
            </w:r>
          </w:p>
        </w:tc>
        <w:tc>
          <w:tcPr>
            <w:tcW w:w="84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171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水费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53.17</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30108</w:t>
            </w:r>
          </w:p>
        </w:tc>
        <w:tc>
          <w:tcPr>
            <w:tcW w:w="2933" w:type="dxa"/>
            <w:tcBorders>
              <w:top w:val="nil"/>
              <w:left w:val="nil"/>
              <w:bottom w:val="single" w:color="auto" w:sz="4" w:space="0"/>
              <w:right w:val="single" w:color="auto" w:sz="4" w:space="0"/>
            </w:tcBorders>
            <w:vAlign w:val="center"/>
          </w:tcPr>
          <w:p>
            <w:pPr>
              <w:widowControl/>
              <w:jc w:val="left"/>
              <w:textAlignment w:val="center"/>
              <w:rPr>
                <w:rFonts w:ascii="宋体" w:hAnsi="宋体" w:cs="Arial"/>
                <w:color w:val="000000"/>
                <w:kern w:val="0"/>
                <w:sz w:val="22"/>
                <w:szCs w:val="22"/>
              </w:rPr>
            </w:pPr>
            <w:r>
              <w:rPr>
                <w:rFonts w:hint="eastAsia" w:ascii="宋体" w:hAnsi="宋体" w:cs="宋体"/>
                <w:color w:val="000000"/>
                <w:kern w:val="0"/>
                <w:sz w:val="18"/>
                <w:szCs w:val="18"/>
                <w:lang w:bidi="ar"/>
              </w:rPr>
              <w:t>机关事业单位基本养老保险缴费</w:t>
            </w:r>
          </w:p>
        </w:tc>
        <w:tc>
          <w:tcPr>
            <w:tcW w:w="1138"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583.13</w:t>
            </w:r>
          </w:p>
        </w:tc>
        <w:tc>
          <w:tcPr>
            <w:tcW w:w="849"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171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电费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126.72</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30109</w:t>
            </w:r>
          </w:p>
        </w:tc>
        <w:tc>
          <w:tcPr>
            <w:tcW w:w="2933"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职业年金缴费</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246.14</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1710"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邮电费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11.76</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30110</w:t>
            </w:r>
          </w:p>
        </w:tc>
        <w:tc>
          <w:tcPr>
            <w:tcW w:w="2933"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职工基本医疗保险缴费</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265.67</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1710"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取暖费</w:t>
            </w:r>
          </w:p>
        </w:tc>
        <w:tc>
          <w:tcPr>
            <w:tcW w:w="160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30111</w:t>
            </w:r>
          </w:p>
        </w:tc>
        <w:tc>
          <w:tcPr>
            <w:tcW w:w="2933"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公务员医疗补助缴费</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206.32</w:t>
            </w:r>
          </w:p>
        </w:tc>
        <w:tc>
          <w:tcPr>
            <w:tcW w:w="849"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1710" w:type="dxa"/>
            <w:tcBorders>
              <w:top w:val="nil"/>
              <w:left w:val="nil"/>
              <w:bottom w:val="single" w:color="auto" w:sz="4" w:space="0"/>
              <w:right w:val="single" w:color="auto" w:sz="4" w:space="0"/>
            </w:tcBorders>
            <w:vAlign w:val="bottom"/>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物业管理费</w:t>
            </w:r>
          </w:p>
        </w:tc>
        <w:tc>
          <w:tcPr>
            <w:tcW w:w="160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4.32</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30112</w:t>
            </w:r>
          </w:p>
        </w:tc>
        <w:tc>
          <w:tcPr>
            <w:tcW w:w="2933"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其他社会保障缴费</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52.00</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30211</w:t>
            </w:r>
          </w:p>
        </w:tc>
        <w:tc>
          <w:tcPr>
            <w:tcW w:w="1710"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差旅费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19.96</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30113</w:t>
            </w:r>
          </w:p>
        </w:tc>
        <w:tc>
          <w:tcPr>
            <w:tcW w:w="2933"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住房公积金</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491.15</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30213</w:t>
            </w:r>
          </w:p>
        </w:tc>
        <w:tc>
          <w:tcPr>
            <w:tcW w:w="1710" w:type="dxa"/>
            <w:tcBorders>
              <w:top w:val="nil"/>
              <w:left w:val="nil"/>
              <w:bottom w:val="single" w:color="auto" w:sz="4" w:space="0"/>
              <w:right w:val="single" w:color="auto" w:sz="4" w:space="0"/>
            </w:tcBorders>
            <w:vAlign w:val="bottom"/>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维修（护）费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23.41</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30114</w:t>
            </w:r>
          </w:p>
        </w:tc>
        <w:tc>
          <w:tcPr>
            <w:tcW w:w="2933"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医疗费</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30216</w:t>
            </w:r>
          </w:p>
        </w:tc>
        <w:tc>
          <w:tcPr>
            <w:tcW w:w="1710"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培训费</w:t>
            </w:r>
          </w:p>
        </w:tc>
        <w:tc>
          <w:tcPr>
            <w:tcW w:w="1605"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0.34</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30199</w:t>
            </w:r>
          </w:p>
        </w:tc>
        <w:tc>
          <w:tcPr>
            <w:tcW w:w="2933" w:type="dxa"/>
            <w:tcBorders>
              <w:top w:val="nil"/>
              <w:left w:val="nil"/>
              <w:bottom w:val="single" w:color="auto" w:sz="4" w:space="0"/>
              <w:right w:val="single" w:color="auto" w:sz="4" w:space="0"/>
            </w:tcBorders>
            <w:vAlign w:val="center"/>
          </w:tcPr>
          <w:p>
            <w:pPr>
              <w:widowControl/>
              <w:ind w:firstLine="200" w:firstLineChars="100"/>
              <w:jc w:val="left"/>
              <w:textAlignment w:val="center"/>
              <w:rPr>
                <w:rFonts w:ascii="宋体" w:hAnsi="宋体" w:cs="Arial"/>
                <w:color w:val="000000"/>
                <w:kern w:val="0"/>
                <w:sz w:val="22"/>
                <w:szCs w:val="22"/>
              </w:rPr>
            </w:pPr>
            <w:r>
              <w:rPr>
                <w:rFonts w:hint="eastAsia" w:ascii="宋体" w:hAnsi="宋体" w:cs="宋体"/>
                <w:color w:val="000000"/>
                <w:kern w:val="0"/>
                <w:sz w:val="20"/>
                <w:szCs w:val="20"/>
                <w:lang w:bidi="ar"/>
              </w:rPr>
              <w:t>其他工资福利支出</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30218</w:t>
            </w:r>
          </w:p>
        </w:tc>
        <w:tc>
          <w:tcPr>
            <w:tcW w:w="1710" w:type="dxa"/>
            <w:tcBorders>
              <w:top w:val="nil"/>
              <w:left w:val="nil"/>
              <w:bottom w:val="single" w:color="auto" w:sz="4" w:space="0"/>
              <w:right w:val="single" w:color="auto" w:sz="4" w:space="0"/>
            </w:tcBorders>
            <w:vAlign w:val="bottom"/>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专用材料费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6.87</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w:t>
            </w:r>
          </w:p>
        </w:tc>
        <w:tc>
          <w:tcPr>
            <w:tcW w:w="2933"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167.75</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FF0000"/>
                <w:kern w:val="0"/>
                <w:sz w:val="22"/>
                <w:szCs w:val="22"/>
                <w:lang w:val="en-US" w:eastAsia="zh-CN"/>
              </w:rPr>
            </w:pPr>
            <w:r>
              <w:rPr>
                <w:rFonts w:hint="eastAsia" w:ascii="宋体" w:hAnsi="宋体" w:cs="Arial"/>
                <w:color w:val="000000"/>
                <w:kern w:val="0"/>
                <w:sz w:val="22"/>
                <w:szCs w:val="22"/>
                <w:lang w:val="en-US" w:eastAsia="zh-CN"/>
              </w:rPr>
              <w:t>30226</w:t>
            </w:r>
          </w:p>
        </w:tc>
        <w:tc>
          <w:tcPr>
            <w:tcW w:w="1710"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eastAsia="宋体" w:cs="Arial"/>
                <w:color w:val="FF0000"/>
                <w:kern w:val="0"/>
                <w:sz w:val="22"/>
                <w:szCs w:val="22"/>
                <w:lang w:val="en-US" w:eastAsia="zh-CN"/>
              </w:rPr>
            </w:pPr>
            <w:r>
              <w:rPr>
                <w:rFonts w:hint="eastAsia" w:ascii="宋体" w:hAnsi="宋体" w:cs="Arial"/>
                <w:color w:val="000000"/>
                <w:kern w:val="0"/>
                <w:sz w:val="22"/>
                <w:szCs w:val="22"/>
                <w:lang w:val="en-US" w:eastAsia="zh-CN"/>
              </w:rPr>
              <w:t>劳务费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5.21</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30301</w:t>
            </w:r>
          </w:p>
        </w:tc>
        <w:tc>
          <w:tcPr>
            <w:tcW w:w="2933" w:type="dxa"/>
            <w:tcBorders>
              <w:top w:val="nil"/>
              <w:left w:val="nil"/>
              <w:bottom w:val="single" w:color="auto" w:sz="4" w:space="0"/>
              <w:right w:val="single" w:color="auto" w:sz="4" w:space="0"/>
            </w:tcBorders>
            <w:vAlign w:val="bottom"/>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离休费</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29.56</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30228</w:t>
            </w:r>
          </w:p>
        </w:tc>
        <w:tc>
          <w:tcPr>
            <w:tcW w:w="1710"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工会经费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62.56</w:t>
            </w:r>
          </w:p>
        </w:tc>
      </w:tr>
      <w:tr>
        <w:tblPrEx>
          <w:tblCellMar>
            <w:top w:w="0" w:type="dxa"/>
            <w:left w:w="108" w:type="dxa"/>
            <w:bottom w:w="0" w:type="dxa"/>
            <w:right w:w="108" w:type="dxa"/>
          </w:tblCellMar>
        </w:tblPrEx>
        <w:trPr>
          <w:trHeight w:val="327"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30302</w:t>
            </w:r>
          </w:p>
        </w:tc>
        <w:tc>
          <w:tcPr>
            <w:tcW w:w="2933"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退休费</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106.50</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30229</w:t>
            </w:r>
          </w:p>
        </w:tc>
        <w:tc>
          <w:tcPr>
            <w:tcW w:w="1710"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福利费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6.03</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30305</w:t>
            </w:r>
          </w:p>
        </w:tc>
        <w:tc>
          <w:tcPr>
            <w:tcW w:w="2933"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生活补助</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2.40</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30231</w:t>
            </w:r>
          </w:p>
        </w:tc>
        <w:tc>
          <w:tcPr>
            <w:tcW w:w="171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公务用车运行维护费</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1.73</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30308</w:t>
            </w:r>
          </w:p>
        </w:tc>
        <w:tc>
          <w:tcPr>
            <w:tcW w:w="2933"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助学金</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27.31</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30299</w:t>
            </w:r>
          </w:p>
        </w:tc>
        <w:tc>
          <w:tcPr>
            <w:tcW w:w="1710"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16"/>
                <w:szCs w:val="16"/>
                <w:lang w:val="en-US" w:eastAsia="zh-CN"/>
              </w:rPr>
            </w:pPr>
            <w:r>
              <w:rPr>
                <w:rFonts w:hint="eastAsia" w:ascii="宋体" w:hAnsi="宋体" w:cs="Arial"/>
                <w:color w:val="000000"/>
                <w:kern w:val="0"/>
                <w:sz w:val="16"/>
                <w:szCs w:val="16"/>
                <w:lang w:val="en-US" w:eastAsia="zh-CN"/>
              </w:rPr>
              <w:t>其他商品和服务支出</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63.12</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30399</w:t>
            </w:r>
          </w:p>
        </w:tc>
        <w:tc>
          <w:tcPr>
            <w:tcW w:w="2933" w:type="dxa"/>
            <w:tcBorders>
              <w:top w:val="nil"/>
              <w:left w:val="nil"/>
              <w:bottom w:val="single" w:color="auto" w:sz="4" w:space="0"/>
              <w:right w:val="single" w:color="auto" w:sz="4" w:space="0"/>
            </w:tcBorders>
            <w:vAlign w:val="bottom"/>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其他对个人和家庭的补助</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rPr>
            </w:pPr>
          </w:p>
        </w:tc>
        <w:tc>
          <w:tcPr>
            <w:tcW w:w="160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3849"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138"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5688.26</w:t>
            </w:r>
          </w:p>
        </w:tc>
        <w:tc>
          <w:tcPr>
            <w:tcW w:w="255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605" w:type="dxa"/>
            <w:tcBorders>
              <w:top w:val="nil"/>
              <w:left w:val="nil"/>
              <w:bottom w:val="single" w:color="auto" w:sz="4" w:space="0"/>
              <w:right w:val="single" w:color="auto" w:sz="4" w:space="0"/>
            </w:tcBorders>
            <w:vAlign w:val="bottom"/>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435.36</w:t>
            </w:r>
          </w:p>
        </w:tc>
      </w:tr>
    </w:tbl>
    <w:p>
      <w:pPr>
        <w:rPr>
          <w:rFonts w:hint="eastAsia"/>
        </w:rPr>
      </w:pPr>
    </w:p>
    <w:p>
      <w:pPr>
        <w:rPr>
          <w:rFonts w:hint="eastAsia"/>
        </w:rPr>
      </w:pPr>
      <w:r>
        <w:rPr>
          <w:rFonts w:hint="eastAsia"/>
        </w:rPr>
        <w:t>注：本表反映部门本年度一般公共预算财政拨款基本支出明细情况。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pgSz w:w="11906" w:h="16838"/>
          <w:pgMar w:top="1440" w:right="1797" w:bottom="1440" w:left="1797" w:header="851" w:footer="992" w:gutter="0"/>
          <w:pgNumType w:fmt="numberInDash"/>
          <w:cols w:space="720" w:num="1"/>
          <w:docGrid w:type="lines" w:linePitch="312" w:charSpace="0"/>
        </w:sectPr>
      </w:pPr>
    </w:p>
    <w:p>
      <w:pPr>
        <w:widowControl/>
        <w:jc w:val="center"/>
        <w:rPr>
          <w:rFonts w:hint="eastAsia"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表七：一般公共预算财政拨款安排的“三公”经费支出决算表</w:t>
      </w:r>
    </w:p>
    <w:p/>
    <w:p>
      <w:pPr>
        <w:jc w:val="right"/>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2.00</w:t>
            </w:r>
          </w:p>
        </w:tc>
        <w:tc>
          <w:tcPr>
            <w:tcW w:w="1603"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28"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2.00</w:t>
            </w:r>
          </w:p>
        </w:tc>
        <w:tc>
          <w:tcPr>
            <w:tcW w:w="1242"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42"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2.00</w:t>
            </w:r>
          </w:p>
        </w:tc>
        <w:tc>
          <w:tcPr>
            <w:tcW w:w="1216"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06"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1.73</w:t>
            </w:r>
          </w:p>
        </w:tc>
        <w:tc>
          <w:tcPr>
            <w:tcW w:w="1560"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806"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1.73</w:t>
            </w:r>
          </w:p>
        </w:tc>
        <w:tc>
          <w:tcPr>
            <w:tcW w:w="1398"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c>
          <w:tcPr>
            <w:tcW w:w="1208"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1.73</w:t>
            </w:r>
          </w:p>
        </w:tc>
        <w:tc>
          <w:tcPr>
            <w:tcW w:w="1183" w:type="dxa"/>
            <w:tcBorders>
              <w:top w:val="nil"/>
              <w:left w:val="nil"/>
              <w:bottom w:val="single" w:color="auto" w:sz="4" w:space="0"/>
              <w:right w:val="single" w:color="auto" w:sz="4" w:space="0"/>
            </w:tcBorders>
          </w:tcPr>
          <w:p>
            <w:pPr>
              <w:widowControl/>
              <w:jc w:val="center"/>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0.00</w:t>
            </w:r>
          </w:p>
        </w:tc>
      </w:tr>
    </w:tbl>
    <w:p>
      <w:pPr>
        <w:rPr>
          <w:rFonts w:hint="eastAsia"/>
        </w:rPr>
      </w:pPr>
      <w:r>
        <w:rPr>
          <w:rFonts w:hint="eastAsia"/>
        </w:rPr>
        <w:t>注：本表反映部门本年度“三公”经费支出预决算情况。其中，2020年度预算数为“三公”经费年初预算数，决算数是包括当年一般公共预算财政拨款和以前年度结转资金安排的实际支出。</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pgSz w:w="16838" w:h="11906" w:orient="landscape"/>
          <w:pgMar w:top="1797" w:right="1440" w:bottom="1797" w:left="1440" w:header="851" w:footer="992" w:gutter="0"/>
          <w:pgNumType w:fmt="numberInDash"/>
          <w:cols w:space="720" w:num="1"/>
          <w:docGrid w:type="lines" w:linePitch="312" w:charSpace="0"/>
        </w:sectPr>
      </w:pPr>
    </w:p>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936" w:hRule="atLeast"/>
          <w:jc w:val="center"/>
        </w:trPr>
        <w:tc>
          <w:tcPr>
            <w:tcW w:w="12480" w:type="dxa"/>
            <w:gridSpan w:val="12"/>
            <w:tcBorders>
              <w:top w:val="nil"/>
              <w:left w:val="nil"/>
              <w:bottom w:val="nil"/>
              <w:right w:val="nil"/>
            </w:tcBorders>
            <w:vAlign w:val="bottom"/>
          </w:tcPr>
          <w:p>
            <w:pPr>
              <w:widowControl/>
              <w:jc w:val="center"/>
              <w:rPr>
                <w:rFonts w:hint="eastAsia"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表八：政府性基金预算财政拨款收入支出决算表</w:t>
            </w:r>
          </w:p>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97"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tabs>
                <w:tab w:val="left" w:pos="520"/>
                <w:tab w:val="right" w:pos="889"/>
              </w:tabs>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76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bl>
    <w:p>
      <w:pPr>
        <w:spacing w:line="560" w:lineRule="exact"/>
        <w:ind w:firstLine="420"/>
        <w:rPr>
          <w:rFonts w:hint="eastAsia" w:eastAsia="宋体"/>
          <w:lang w:eastAsia="zh-CN"/>
        </w:rPr>
      </w:pPr>
      <w:r>
        <w:rPr>
          <w:rFonts w:hint="eastAsia"/>
        </w:rPr>
        <w:t>注：</w:t>
      </w:r>
      <w:r>
        <w:rPr>
          <w:rFonts w:hint="eastAsia"/>
          <w:lang w:val="en-US" w:eastAsia="zh-CN"/>
        </w:rPr>
        <w:t>柳州市第二中学</w:t>
      </w:r>
      <w:r>
        <w:rPr>
          <w:rFonts w:hint="eastAsia"/>
        </w:rPr>
        <w:t>没有</w:t>
      </w:r>
      <w:r>
        <w:rPr>
          <w:rFonts w:hint="eastAsia"/>
          <w:lang w:val="en-US" w:eastAsia="zh-CN"/>
        </w:rPr>
        <w:t>政府性基金预算收入，也没有政府性基金预算安排的支</w:t>
      </w:r>
      <w:r>
        <w:rPr>
          <w:rFonts w:hint="eastAsia"/>
        </w:rPr>
        <w:t>出，故本表无数据</w:t>
      </w:r>
      <w:r>
        <w:rPr>
          <w:rFonts w:hint="eastAsia"/>
          <w:lang w:eastAsia="zh-CN"/>
        </w:rPr>
        <w:t>。</w:t>
      </w:r>
    </w:p>
    <w:p>
      <w:pPr>
        <w:spacing w:line="560" w:lineRule="exact"/>
        <w:ind w:firstLine="420"/>
        <w:rPr>
          <w:rFonts w:hint="eastAsia"/>
        </w:rPr>
      </w:pPr>
    </w:p>
    <w:p>
      <w:pPr>
        <w:spacing w:line="560" w:lineRule="exact"/>
        <w:ind w:firstLine="420"/>
        <w:rPr>
          <w:rFonts w:hint="eastAsia"/>
        </w:rPr>
      </w:pPr>
    </w:p>
    <w:tbl>
      <w:tblPr>
        <w:tblStyle w:val="6"/>
        <w:tblW w:w="13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8" w:hRule="atLeast"/>
          <w:jc w:val="center"/>
        </w:trPr>
        <w:tc>
          <w:tcPr>
            <w:tcW w:w="13520" w:type="dxa"/>
            <w:gridSpan w:val="6"/>
            <w:shd w:val="clear" w:color="auto" w:fill="FFFFFF"/>
            <w:vAlign w:val="center"/>
          </w:tcPr>
          <w:p>
            <w:pPr>
              <w:keepNext w:val="0"/>
              <w:keepLines w:val="0"/>
              <w:widowControl/>
              <w:suppressLineNumbers w:val="0"/>
              <w:jc w:val="center"/>
              <w:textAlignment w:val="center"/>
              <w:rPr>
                <w:rFonts w:hint="default" w:ascii="华文中宋" w:hAnsi="华文中宋" w:eastAsia="华文中宋" w:cs="华文中宋"/>
                <w:i w:val="0"/>
                <w:color w:val="000000"/>
                <w:sz w:val="32"/>
                <w:szCs w:val="32"/>
                <w:highlight w:val="none"/>
                <w:u w:val="none"/>
                <w:lang w:val="en-US"/>
              </w:rPr>
            </w:pPr>
            <w:r>
              <w:rPr>
                <w:rFonts w:hint="eastAsia" w:ascii="方正小标宋简体" w:hAnsi="宋体" w:eastAsia="方正小标宋简体" w:cs="宋体"/>
                <w:kern w:val="0"/>
                <w:sz w:val="36"/>
                <w:szCs w:val="36"/>
                <w:highlight w:val="none"/>
                <w:lang w:val="en-US" w:eastAsia="zh-CN"/>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0" w:hRule="atLeast"/>
          <w:jc w:val="center"/>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jc w:val="center"/>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10"/>
                <w:highlight w:val="none"/>
                <w:lang w:val="en-US" w:eastAsia="zh-CN" w:bidi="ar"/>
              </w:rPr>
              <w:t xml:space="preserve">   </w:t>
            </w:r>
            <w:r>
              <w:rPr>
                <w:rStyle w:val="11"/>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highlight w:val="none"/>
                <w:u w:val="none"/>
                <w:lang w:val="en-US" w:eastAsia="zh-CN"/>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jc w:val="center"/>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8" w:hRule="atLeast"/>
          <w:jc w:val="center"/>
        </w:trPr>
        <w:tc>
          <w:tcPr>
            <w:tcW w:w="13520" w:type="dxa"/>
            <w:gridSpan w:val="6"/>
            <w:tcBorders>
              <w:top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kern w:val="0"/>
                <w:sz w:val="24"/>
                <w:szCs w:val="24"/>
                <w:highlight w:val="none"/>
                <w:u w:val="none"/>
                <w:lang w:val="en-US" w:eastAsia="zh-CN" w:bidi="ar"/>
              </w:rPr>
              <w:t>注：</w:t>
            </w:r>
            <w:r>
              <w:rPr>
                <w:rFonts w:hint="eastAsia"/>
                <w:highlight w:val="none"/>
                <w:lang w:eastAsia="zh-CN"/>
              </w:rPr>
              <w:t>柳州市</w:t>
            </w:r>
            <w:r>
              <w:rPr>
                <w:rFonts w:hint="eastAsia"/>
                <w:highlight w:val="none"/>
                <w:lang w:val="en-US" w:eastAsia="zh-CN"/>
              </w:rPr>
              <w:t>第二中学</w:t>
            </w:r>
            <w:r>
              <w:rPr>
                <w:rFonts w:hint="eastAsia"/>
                <w:highlight w:val="none"/>
              </w:rPr>
              <w:t>没有</w:t>
            </w:r>
            <w:r>
              <w:rPr>
                <w:rFonts w:hint="eastAsia"/>
                <w:highlight w:val="none"/>
                <w:lang w:val="en-US" w:eastAsia="zh-CN"/>
              </w:rPr>
              <w:t>国有资本经营预算</w:t>
            </w:r>
            <w:r>
              <w:rPr>
                <w:rFonts w:hint="eastAsia"/>
                <w:highlight w:val="none"/>
                <w:lang w:eastAsia="zh-CN"/>
              </w:rPr>
              <w:t>收入，也没有</w:t>
            </w:r>
            <w:r>
              <w:rPr>
                <w:rFonts w:hint="eastAsia"/>
                <w:highlight w:val="none"/>
                <w:lang w:val="en-US" w:eastAsia="zh-CN"/>
              </w:rPr>
              <w:t>国有资本经营预算</w:t>
            </w:r>
            <w:r>
              <w:rPr>
                <w:rFonts w:hint="eastAsia"/>
                <w:highlight w:val="none"/>
              </w:rPr>
              <w:t>安排的支出，故本表无数据</w:t>
            </w:r>
            <w:r>
              <w:rPr>
                <w:rFonts w:hint="eastAsia"/>
                <w:highlight w:val="none"/>
                <w:lang w:eastAsia="zh-CN"/>
              </w:rPr>
              <w:t>。</w:t>
            </w:r>
          </w:p>
        </w:tc>
      </w:tr>
    </w:tbl>
    <w:p>
      <w:pPr>
        <w:spacing w:line="560" w:lineRule="exact"/>
        <w:ind w:firstLine="420"/>
        <w:rPr>
          <w:rFonts w:hint="eastAsia"/>
          <w:highlight w:val="none"/>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val="en-US" w:eastAsia="zh-CN"/>
        </w:rPr>
        <w:t>柳州市第二中学</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bCs w:val="0"/>
          <w:kern w:val="0"/>
          <w:sz w:val="32"/>
          <w:szCs w:val="32"/>
          <w:highlight w:val="none"/>
        </w:rPr>
        <w:t>一、</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2020年度收入总计</w:t>
      </w:r>
      <w:r>
        <w:rPr>
          <w:rFonts w:hint="eastAsia" w:ascii="仿宋_GB2312" w:eastAsia="仿宋_GB2312" w:cs="仿宋_GB2312"/>
          <w:bCs/>
          <w:kern w:val="0"/>
          <w:sz w:val="32"/>
          <w:szCs w:val="32"/>
          <w:highlight w:val="none"/>
          <w:lang w:val="en-US" w:eastAsia="zh-CN"/>
        </w:rPr>
        <w:t>6652.69</w:t>
      </w:r>
      <w:r>
        <w:rPr>
          <w:rFonts w:hint="eastAsia" w:ascii="仿宋_GB2312" w:eastAsia="仿宋_GB2312" w:cs="仿宋_GB2312"/>
          <w:bCs/>
          <w:kern w:val="0"/>
          <w:sz w:val="32"/>
          <w:szCs w:val="32"/>
          <w:highlight w:val="none"/>
        </w:rPr>
        <w:t>万元，与2019年相比</w:t>
      </w:r>
      <w:r>
        <w:rPr>
          <w:rFonts w:hint="eastAsia" w:ascii="仿宋_GB2312" w:eastAsia="仿宋_GB2312" w:cs="仿宋_GB2312"/>
          <w:bCs/>
          <w:kern w:val="0"/>
          <w:sz w:val="32"/>
          <w:szCs w:val="32"/>
          <w:highlight w:val="none"/>
          <w:lang w:eastAsia="zh-CN"/>
        </w:rPr>
        <w:t>年度收入</w:t>
      </w:r>
      <w:r>
        <w:rPr>
          <w:rFonts w:hint="eastAsia" w:ascii="仿宋_GB2312" w:eastAsia="仿宋_GB2312" w:cs="仿宋_GB2312"/>
          <w:bCs/>
          <w:kern w:val="0"/>
          <w:sz w:val="32"/>
          <w:szCs w:val="32"/>
          <w:highlight w:val="none"/>
          <w:lang w:val="en-US" w:eastAsia="zh-CN"/>
        </w:rPr>
        <w:t>减少101.76万元，下降1.51</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val="en-US" w:eastAsia="zh-CN"/>
        </w:rPr>
        <w:t>2020年度</w:t>
      </w:r>
      <w:r>
        <w:rPr>
          <w:rFonts w:hint="eastAsia" w:ascii="仿宋_GB2312" w:eastAsia="仿宋_GB2312" w:cs="仿宋_GB2312"/>
          <w:bCs/>
          <w:kern w:val="0"/>
          <w:sz w:val="32"/>
          <w:szCs w:val="32"/>
          <w:highlight w:val="none"/>
        </w:rPr>
        <w:t>支出总计</w:t>
      </w:r>
      <w:r>
        <w:rPr>
          <w:rFonts w:hint="eastAsia" w:ascii="仿宋_GB2312" w:eastAsia="仿宋_GB2312" w:cs="仿宋_GB2312"/>
          <w:bCs/>
          <w:kern w:val="0"/>
          <w:sz w:val="32"/>
          <w:szCs w:val="32"/>
          <w:highlight w:val="none"/>
          <w:lang w:val="en-US" w:eastAsia="zh-CN"/>
        </w:rPr>
        <w:t>6652.69</w:t>
      </w:r>
      <w:r>
        <w:rPr>
          <w:rFonts w:hint="eastAsia" w:ascii="仿宋_GB2312" w:eastAsia="仿宋_GB2312" w:cs="仿宋_GB2312"/>
          <w:bCs/>
          <w:kern w:val="0"/>
          <w:sz w:val="32"/>
          <w:szCs w:val="32"/>
          <w:highlight w:val="none"/>
        </w:rPr>
        <w:t>万元，与2019年相比</w:t>
      </w:r>
      <w:r>
        <w:rPr>
          <w:rFonts w:hint="eastAsia" w:ascii="仿宋_GB2312" w:eastAsia="仿宋_GB2312" w:cs="仿宋_GB2312"/>
          <w:bCs/>
          <w:kern w:val="0"/>
          <w:sz w:val="32"/>
          <w:szCs w:val="32"/>
          <w:highlight w:val="none"/>
          <w:lang w:eastAsia="zh-CN"/>
        </w:rPr>
        <w:t>年度支出减少</w:t>
      </w:r>
      <w:r>
        <w:rPr>
          <w:rFonts w:hint="eastAsia" w:ascii="仿宋_GB2312" w:eastAsia="仿宋_GB2312" w:cs="仿宋_GB2312"/>
          <w:bCs/>
          <w:kern w:val="0"/>
          <w:sz w:val="32"/>
          <w:szCs w:val="32"/>
          <w:highlight w:val="none"/>
          <w:lang w:val="en-US" w:eastAsia="zh-CN"/>
        </w:rPr>
        <w:t>101.76万元，下降1.51</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bCs w:val="0"/>
          <w:kern w:val="0"/>
          <w:sz w:val="32"/>
          <w:szCs w:val="32"/>
        </w:rPr>
      </w:pPr>
      <w:r>
        <w:rPr>
          <w:rFonts w:hint="eastAsia" w:ascii="仿宋_GB2312" w:eastAsia="仿宋_GB2312" w:cs="仿宋_GB2312"/>
          <w:b/>
          <w:bCs w:val="0"/>
          <w:kern w:val="0"/>
          <w:sz w:val="32"/>
          <w:szCs w:val="32"/>
        </w:rPr>
        <w:t>二、</w:t>
      </w:r>
      <w:r>
        <w:rPr>
          <w:rFonts w:hint="eastAsia" w:eastAsia="仿宋_GB2312"/>
          <w:b/>
          <w:bCs w:val="0"/>
          <w:kern w:val="0"/>
          <w:sz w:val="32"/>
          <w:szCs w:val="32"/>
        </w:rPr>
        <w:t>2020</w:t>
      </w:r>
      <w:r>
        <w:rPr>
          <w:rFonts w:hint="eastAsia" w:ascii="仿宋_GB2312" w:eastAsia="仿宋_GB2312" w:cs="仿宋_GB2312"/>
          <w:b/>
          <w:bCs w:val="0"/>
          <w:kern w:val="0"/>
          <w:sz w:val="32"/>
          <w:szCs w:val="32"/>
        </w:rPr>
        <w:t>年度收入决算情况</w:t>
      </w:r>
    </w:p>
    <w:p>
      <w:pPr>
        <w:autoSpaceDE w:val="0"/>
        <w:autoSpaceDN w:val="0"/>
        <w:adjustRightInd w:val="0"/>
        <w:spacing w:line="580" w:lineRule="exact"/>
        <w:ind w:firstLine="640" w:firstLineChars="200"/>
        <w:jc w:val="left"/>
        <w:rPr>
          <w:rFonts w:hint="eastAsia" w:ascii="仿宋_GB2312" w:eastAsia="仿宋_GB2312" w:cs="仿宋_GB2312"/>
          <w:b/>
          <w:kern w:val="0"/>
          <w:sz w:val="32"/>
          <w:szCs w:val="32"/>
          <w:lang w:eastAsia="zh-CN"/>
        </w:rPr>
      </w:pPr>
      <w:r>
        <w:rPr>
          <w:rFonts w:hint="eastAsia" w:ascii="仿宋_GB2312" w:eastAsia="仿宋_GB2312" w:cs="仿宋_GB2312"/>
          <w:b w:val="0"/>
          <w:bCs/>
          <w:kern w:val="0"/>
          <w:sz w:val="32"/>
          <w:szCs w:val="32"/>
          <w:highlight w:val="none"/>
        </w:rPr>
        <w:t>本年收入总计</w:t>
      </w:r>
      <w:r>
        <w:rPr>
          <w:rFonts w:hint="eastAsia" w:ascii="仿宋_GB2312" w:eastAsia="仿宋_GB2312" w:cs="仿宋_GB2312"/>
          <w:bCs/>
          <w:kern w:val="0"/>
          <w:sz w:val="32"/>
          <w:szCs w:val="32"/>
          <w:lang w:val="en-US" w:eastAsia="zh-CN"/>
        </w:rPr>
        <w:t>6652.69</w:t>
      </w:r>
      <w:r>
        <w:rPr>
          <w:rFonts w:hint="eastAsia" w:ascii="仿宋_GB2312" w:eastAsia="仿宋_GB2312" w:cs="仿宋_GB2312"/>
          <w:b w:val="0"/>
          <w:bCs/>
          <w:kern w:val="0"/>
          <w:sz w:val="32"/>
          <w:szCs w:val="32"/>
          <w:highlight w:val="none"/>
        </w:rPr>
        <w:t>万元，</w:t>
      </w:r>
      <w:r>
        <w:rPr>
          <w:rFonts w:hint="eastAsia" w:ascii="仿宋_GB2312" w:eastAsia="仿宋_GB2312" w:cs="仿宋_GB2312"/>
          <w:bCs/>
          <w:kern w:val="0"/>
          <w:sz w:val="32"/>
          <w:szCs w:val="32"/>
          <w:highlight w:val="none"/>
        </w:rPr>
        <w:t>其中：本年收入合计</w:t>
      </w:r>
      <w:r>
        <w:rPr>
          <w:rFonts w:hint="eastAsia" w:ascii="仿宋_GB2312" w:eastAsia="仿宋_GB2312" w:cs="仿宋_GB2312"/>
          <w:bCs/>
          <w:kern w:val="0"/>
          <w:sz w:val="32"/>
          <w:szCs w:val="32"/>
          <w:highlight w:val="none"/>
          <w:lang w:val="en-US" w:eastAsia="zh-CN"/>
        </w:rPr>
        <w:t>6369.93</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一般公共预算财政拨款收入</w:t>
      </w:r>
      <w:r>
        <w:rPr>
          <w:rFonts w:hint="eastAsia" w:ascii="仿宋_GB2312" w:eastAsia="仿宋_GB2312" w:cs="仿宋_GB2312"/>
          <w:bCs/>
          <w:kern w:val="0"/>
          <w:sz w:val="32"/>
          <w:szCs w:val="32"/>
          <w:lang w:val="en-US" w:eastAsia="zh-CN"/>
        </w:rPr>
        <w:t>6131.71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96.26%</w:t>
      </w:r>
      <w:r>
        <w:rPr>
          <w:rFonts w:hint="eastAsia" w:ascii="仿宋_GB2312" w:eastAsia="仿宋_GB2312" w:cs="仿宋_GB2312"/>
          <w:bCs/>
          <w:kern w:val="0"/>
          <w:sz w:val="32"/>
          <w:szCs w:val="32"/>
        </w:rPr>
        <w:t>；政府</w:t>
      </w:r>
      <w:r>
        <w:rPr>
          <w:rFonts w:hint="eastAsia" w:ascii="仿宋_GB2312" w:eastAsia="仿宋_GB2312" w:cs="仿宋_GB2312"/>
          <w:bCs/>
          <w:kern w:val="0"/>
          <w:sz w:val="32"/>
          <w:szCs w:val="32"/>
          <w:lang w:val="en-US" w:eastAsia="zh-CN"/>
        </w:rPr>
        <w:t>性</w:t>
      </w:r>
      <w:r>
        <w:rPr>
          <w:rFonts w:hint="eastAsia" w:ascii="仿宋_GB2312" w:eastAsia="仿宋_GB2312" w:cs="仿宋_GB2312"/>
          <w:bCs/>
          <w:kern w:val="0"/>
          <w:sz w:val="32"/>
          <w:szCs w:val="32"/>
        </w:rPr>
        <w:t>基金预算财政拨款收入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238.22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3.74%</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highlight w:val="none"/>
        </w:rPr>
        <w:t>使用非财政拨款结余</w:t>
      </w:r>
      <w:r>
        <w:rPr>
          <w:rFonts w:hint="eastAsia" w:ascii="仿宋_GB2312" w:eastAsia="仿宋_GB2312" w:cs="仿宋_GB2312"/>
          <w:bCs/>
          <w:kern w:val="0"/>
          <w:sz w:val="32"/>
          <w:szCs w:val="32"/>
          <w:highlight w:val="none"/>
          <w:lang w:val="en-US" w:eastAsia="zh-CN"/>
        </w:rPr>
        <w:t>15.16</w:t>
      </w:r>
      <w:r>
        <w:rPr>
          <w:rFonts w:hint="eastAsia" w:ascii="仿宋_GB2312" w:eastAsia="仿宋_GB2312" w:cs="仿宋_GB2312"/>
          <w:bCs/>
          <w:kern w:val="0"/>
          <w:sz w:val="32"/>
          <w:szCs w:val="32"/>
          <w:highlight w:val="none"/>
        </w:rPr>
        <w:t>万元，年初结转和结余</w:t>
      </w:r>
      <w:r>
        <w:rPr>
          <w:rFonts w:hint="eastAsia" w:ascii="仿宋_GB2312" w:eastAsia="仿宋_GB2312" w:cs="仿宋_GB2312"/>
          <w:bCs/>
          <w:kern w:val="0"/>
          <w:sz w:val="32"/>
          <w:szCs w:val="32"/>
          <w:highlight w:val="none"/>
          <w:lang w:val="en-US" w:eastAsia="zh-CN"/>
        </w:rPr>
        <w:t>267.61</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bCs w:val="0"/>
          <w:kern w:val="0"/>
          <w:sz w:val="32"/>
          <w:szCs w:val="32"/>
        </w:rPr>
      </w:pPr>
      <w:r>
        <w:rPr>
          <w:rFonts w:hint="eastAsia" w:ascii="仿宋_GB2312" w:eastAsia="仿宋_GB2312" w:cs="仿宋_GB2312"/>
          <w:b/>
          <w:bCs w:val="0"/>
          <w:kern w:val="0"/>
          <w:sz w:val="32"/>
          <w:szCs w:val="32"/>
        </w:rPr>
        <w:t>三、</w:t>
      </w:r>
      <w:r>
        <w:rPr>
          <w:rFonts w:hint="eastAsia" w:eastAsia="仿宋_GB2312"/>
          <w:b/>
          <w:bCs w:val="0"/>
          <w:kern w:val="0"/>
          <w:sz w:val="32"/>
          <w:szCs w:val="32"/>
        </w:rPr>
        <w:t>2020</w:t>
      </w:r>
      <w:r>
        <w:rPr>
          <w:rFonts w:hint="eastAsia" w:ascii="仿宋_GB2312" w:eastAsia="仿宋_GB2312" w:cs="仿宋_GB2312"/>
          <w:b/>
          <w:bCs w:val="0"/>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6637.01</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6377.00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96.08</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260.01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3.92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bCs w:val="0"/>
          <w:kern w:val="0"/>
          <w:sz w:val="32"/>
          <w:szCs w:val="32"/>
          <w:highlight w:val="none"/>
        </w:rPr>
      </w:pPr>
      <w:r>
        <w:rPr>
          <w:rFonts w:hint="eastAsia" w:ascii="仿宋_GB2312" w:eastAsia="仿宋_GB2312" w:cs="仿宋_GB2312"/>
          <w:b/>
          <w:bCs w:val="0"/>
          <w:kern w:val="0"/>
          <w:sz w:val="32"/>
          <w:szCs w:val="32"/>
          <w:highlight w:val="none"/>
        </w:rPr>
        <w:t>四、</w:t>
      </w:r>
      <w:r>
        <w:rPr>
          <w:rFonts w:hint="eastAsia" w:eastAsia="仿宋_GB2312"/>
          <w:b/>
          <w:bCs w:val="0"/>
          <w:kern w:val="0"/>
          <w:sz w:val="32"/>
          <w:szCs w:val="32"/>
          <w:highlight w:val="none"/>
        </w:rPr>
        <w:t>2020</w:t>
      </w:r>
      <w:r>
        <w:rPr>
          <w:rFonts w:hint="eastAsia" w:ascii="仿宋_GB2312" w:eastAsia="仿宋_GB2312" w:cs="仿宋_GB2312"/>
          <w:b/>
          <w:bCs w:val="0"/>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本</w:t>
      </w:r>
      <w:r>
        <w:rPr>
          <w:rFonts w:hint="eastAsia" w:ascii="仿宋_GB2312" w:eastAsia="仿宋_GB2312" w:cs="仿宋_GB2312"/>
          <w:bCs/>
          <w:kern w:val="0"/>
          <w:sz w:val="32"/>
          <w:szCs w:val="32"/>
          <w:highlight w:val="none"/>
          <w:lang w:val="en-US" w:eastAsia="zh-CN"/>
        </w:rPr>
        <w:t>单位</w:t>
      </w:r>
      <w:r>
        <w:rPr>
          <w:rFonts w:hint="eastAsia" w:ascii="仿宋_GB2312" w:eastAsia="仿宋_GB2312" w:cs="仿宋_GB2312"/>
          <w:bCs/>
          <w:kern w:val="0"/>
          <w:sz w:val="32"/>
          <w:szCs w:val="32"/>
          <w:highlight w:val="none"/>
        </w:rPr>
        <w:t>2020年度财政拨款收</w:t>
      </w:r>
      <w:r>
        <w:rPr>
          <w:rFonts w:hint="eastAsia" w:ascii="仿宋_GB2312" w:eastAsia="仿宋_GB2312" w:cs="仿宋_GB2312"/>
          <w:bCs/>
          <w:kern w:val="0"/>
          <w:sz w:val="32"/>
          <w:szCs w:val="32"/>
          <w:highlight w:val="none"/>
          <w:lang w:eastAsia="zh-CN"/>
        </w:rPr>
        <w:t>入总决算</w:t>
      </w:r>
      <w:r>
        <w:rPr>
          <w:rFonts w:hint="eastAsia" w:ascii="仿宋_GB2312" w:eastAsia="仿宋_GB2312" w:cs="仿宋_GB2312"/>
          <w:bCs/>
          <w:kern w:val="0"/>
          <w:sz w:val="32"/>
          <w:szCs w:val="32"/>
          <w:highlight w:val="none"/>
          <w:lang w:val="en-US" w:eastAsia="zh-CN"/>
        </w:rPr>
        <w:t>6399.32</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与2019年相比财政拨款收</w:t>
      </w:r>
      <w:r>
        <w:rPr>
          <w:rFonts w:hint="eastAsia" w:ascii="仿宋_GB2312" w:eastAsia="仿宋_GB2312" w:cs="仿宋_GB2312"/>
          <w:bCs/>
          <w:kern w:val="0"/>
          <w:sz w:val="32"/>
          <w:szCs w:val="32"/>
          <w:highlight w:val="none"/>
          <w:lang w:eastAsia="zh-CN"/>
        </w:rPr>
        <w:t>入</w:t>
      </w:r>
      <w:r>
        <w:rPr>
          <w:rFonts w:hint="eastAsia" w:ascii="仿宋_GB2312" w:eastAsia="仿宋_GB2312" w:cs="仿宋_GB2312"/>
          <w:bCs/>
          <w:kern w:val="0"/>
          <w:sz w:val="32"/>
          <w:szCs w:val="32"/>
          <w:highlight w:val="none"/>
        </w:rPr>
        <w:t>增加</w:t>
      </w:r>
      <w:r>
        <w:rPr>
          <w:rFonts w:hint="eastAsia" w:ascii="仿宋_GB2312" w:eastAsia="仿宋_GB2312" w:cs="仿宋_GB2312"/>
          <w:bCs/>
          <w:kern w:val="0"/>
          <w:sz w:val="32"/>
          <w:szCs w:val="32"/>
          <w:highlight w:val="none"/>
          <w:lang w:val="en-US" w:eastAsia="zh-CN"/>
        </w:rPr>
        <w:t>247.03</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增长</w:t>
      </w:r>
      <w:r>
        <w:rPr>
          <w:rFonts w:hint="eastAsia" w:ascii="仿宋_GB2312" w:eastAsia="仿宋_GB2312" w:cs="仿宋_GB2312"/>
          <w:bCs/>
          <w:kern w:val="0"/>
          <w:sz w:val="32"/>
          <w:szCs w:val="32"/>
          <w:highlight w:val="none"/>
          <w:lang w:val="en-US" w:eastAsia="zh-CN"/>
        </w:rPr>
        <w:t>4.02</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2020年度财政拨款</w:t>
      </w:r>
      <w:r>
        <w:rPr>
          <w:rFonts w:hint="eastAsia" w:ascii="仿宋_GB2312" w:eastAsia="仿宋_GB2312" w:cs="仿宋_GB2312"/>
          <w:bCs/>
          <w:kern w:val="0"/>
          <w:sz w:val="32"/>
          <w:szCs w:val="32"/>
          <w:highlight w:val="none"/>
          <w:lang w:eastAsia="zh-CN"/>
        </w:rPr>
        <w:t>支出</w:t>
      </w:r>
      <w:r>
        <w:rPr>
          <w:rFonts w:hint="eastAsia" w:ascii="仿宋_GB2312" w:eastAsia="仿宋_GB2312" w:cs="仿宋_GB2312"/>
          <w:bCs/>
          <w:kern w:val="0"/>
          <w:sz w:val="32"/>
          <w:szCs w:val="32"/>
          <w:highlight w:val="none"/>
        </w:rPr>
        <w:t>总决算</w:t>
      </w:r>
      <w:r>
        <w:rPr>
          <w:rFonts w:hint="eastAsia" w:ascii="仿宋_GB2312" w:eastAsia="仿宋_GB2312" w:cs="仿宋_GB2312"/>
          <w:bCs/>
          <w:kern w:val="0"/>
          <w:sz w:val="32"/>
          <w:szCs w:val="32"/>
          <w:highlight w:val="none"/>
          <w:lang w:val="en-US" w:eastAsia="zh-CN"/>
        </w:rPr>
        <w:t>6399.32</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与2019年相比财政拨款</w:t>
      </w:r>
      <w:r>
        <w:rPr>
          <w:rFonts w:hint="eastAsia" w:ascii="仿宋_GB2312" w:eastAsia="仿宋_GB2312" w:cs="仿宋_GB2312"/>
          <w:bCs/>
          <w:kern w:val="0"/>
          <w:sz w:val="32"/>
          <w:szCs w:val="32"/>
          <w:highlight w:val="none"/>
          <w:lang w:eastAsia="zh-CN"/>
        </w:rPr>
        <w:t>支出</w:t>
      </w:r>
      <w:r>
        <w:rPr>
          <w:rFonts w:hint="eastAsia" w:ascii="仿宋_GB2312" w:eastAsia="仿宋_GB2312" w:cs="仿宋_GB2312"/>
          <w:bCs/>
          <w:kern w:val="0"/>
          <w:sz w:val="32"/>
          <w:szCs w:val="32"/>
          <w:highlight w:val="none"/>
        </w:rPr>
        <w:t>增加</w:t>
      </w:r>
      <w:r>
        <w:rPr>
          <w:rFonts w:hint="eastAsia" w:ascii="仿宋_GB2312" w:eastAsia="仿宋_GB2312" w:cs="仿宋_GB2312"/>
          <w:bCs/>
          <w:kern w:val="0"/>
          <w:sz w:val="32"/>
          <w:szCs w:val="32"/>
          <w:highlight w:val="none"/>
          <w:lang w:val="en-US" w:eastAsia="zh-CN"/>
        </w:rPr>
        <w:t>247.03</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增长</w:t>
      </w:r>
      <w:r>
        <w:rPr>
          <w:rFonts w:hint="eastAsia" w:ascii="仿宋_GB2312" w:eastAsia="仿宋_GB2312" w:cs="仿宋_GB2312"/>
          <w:bCs/>
          <w:kern w:val="0"/>
          <w:sz w:val="32"/>
          <w:szCs w:val="32"/>
          <w:highlight w:val="none"/>
          <w:lang w:val="en-US" w:eastAsia="zh-CN"/>
        </w:rPr>
        <w:t>4.02</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rPr>
        <w:t>本</w:t>
      </w:r>
      <w:r>
        <w:rPr>
          <w:rFonts w:hint="eastAsia" w:ascii="仿宋_GB2312" w:eastAsia="仿宋_GB2312" w:cs="仿宋_GB2312"/>
          <w:bCs/>
          <w:kern w:val="0"/>
          <w:sz w:val="32"/>
          <w:szCs w:val="32"/>
          <w:lang w:val="en-US" w:eastAsia="zh-CN"/>
        </w:rPr>
        <w:t>单位</w:t>
      </w: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6383.63</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99.75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highlight w:val="none"/>
        </w:rPr>
        <w:t>与2019年相比，财政拨款支出增</w:t>
      </w:r>
      <w:r>
        <w:rPr>
          <w:rFonts w:hint="eastAsia" w:ascii="仿宋_GB2312" w:eastAsia="仿宋_GB2312" w:cs="仿宋_GB2312"/>
          <w:bCs/>
          <w:kern w:val="0"/>
          <w:sz w:val="32"/>
          <w:szCs w:val="32"/>
          <w:highlight w:val="none"/>
          <w:lang w:val="en-US" w:eastAsia="zh-CN"/>
        </w:rPr>
        <w:t>加551.68</w:t>
      </w:r>
      <w:r>
        <w:rPr>
          <w:rFonts w:hint="eastAsia" w:ascii="仿宋_GB2312" w:eastAsia="仿宋_GB2312" w:cs="仿宋_GB2312"/>
          <w:bCs/>
          <w:kern w:val="0"/>
          <w:sz w:val="32"/>
          <w:szCs w:val="32"/>
          <w:highlight w:val="none"/>
        </w:rPr>
        <w:t>万元，增加</w:t>
      </w:r>
      <w:r>
        <w:rPr>
          <w:rFonts w:hint="eastAsia" w:ascii="仿宋_GB2312" w:eastAsia="仿宋_GB2312" w:cs="仿宋_GB2312"/>
          <w:bCs/>
          <w:kern w:val="0"/>
          <w:sz w:val="32"/>
          <w:szCs w:val="32"/>
          <w:highlight w:val="none"/>
          <w:lang w:val="en-US" w:eastAsia="zh-CN"/>
        </w:rPr>
        <w:t>9.46</w:t>
      </w:r>
      <w:r>
        <w:rPr>
          <w:rFonts w:hint="eastAsia" w:ascii="仿宋_GB2312" w:eastAsia="仿宋_GB2312" w:cs="仿宋_GB2312"/>
          <w:bCs/>
          <w:kern w:val="0"/>
          <w:sz w:val="32"/>
          <w:szCs w:val="32"/>
          <w:highlight w:val="none"/>
        </w:rPr>
        <w:t>%。</w:t>
      </w:r>
    </w:p>
    <w:p>
      <w:pPr>
        <w:numPr>
          <w:ilvl w:val="0"/>
          <w:numId w:val="1"/>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财政拨款支出决算结构情况</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2020年度财政拨款支出</w:t>
      </w:r>
      <w:r>
        <w:rPr>
          <w:rFonts w:hint="eastAsia" w:ascii="仿宋_GB2312" w:eastAsia="仿宋_GB2312" w:cs="仿宋_GB2312"/>
          <w:bCs/>
          <w:kern w:val="0"/>
          <w:sz w:val="32"/>
          <w:szCs w:val="32"/>
          <w:lang w:val="en-US" w:eastAsia="zh-CN"/>
        </w:rPr>
        <w:t>6383.63</w:t>
      </w:r>
      <w:r>
        <w:rPr>
          <w:rFonts w:hint="eastAsia" w:ascii="仿宋_GB2312" w:eastAsia="仿宋_GB2312" w:cs="仿宋_GB2312"/>
          <w:bCs/>
          <w:kern w:val="0"/>
          <w:sz w:val="32"/>
          <w:szCs w:val="32"/>
        </w:rPr>
        <w:t>万元，主要用于以下方面：教育（类）支出</w:t>
      </w:r>
      <w:r>
        <w:rPr>
          <w:rFonts w:hint="eastAsia" w:ascii="仿宋_GB2312" w:eastAsia="仿宋_GB2312" w:cs="仿宋_GB2312"/>
          <w:bCs/>
          <w:kern w:val="0"/>
          <w:sz w:val="32"/>
          <w:szCs w:val="32"/>
          <w:lang w:val="en-US" w:eastAsia="zh-CN"/>
        </w:rPr>
        <w:t>6057.87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94.66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302.02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4.72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城乡社区支出</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0.06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0.00</w:t>
      </w:r>
      <w:r>
        <w:rPr>
          <w:rFonts w:hint="eastAsia" w:ascii="仿宋_GB2312" w:eastAsia="仿宋_GB2312" w:cs="仿宋_GB2312"/>
          <w:bCs/>
          <w:kern w:val="0"/>
          <w:sz w:val="32"/>
          <w:szCs w:val="32"/>
        </w:rPr>
        <w:t>%；农林水（类）支出</w:t>
      </w:r>
      <w:r>
        <w:rPr>
          <w:rFonts w:hint="eastAsia" w:ascii="仿宋_GB2312" w:eastAsia="仿宋_GB2312" w:cs="仿宋_GB2312"/>
          <w:bCs/>
          <w:kern w:val="0"/>
          <w:sz w:val="32"/>
          <w:szCs w:val="32"/>
          <w:lang w:val="en-US" w:eastAsia="zh-CN"/>
        </w:rPr>
        <w:t>21.70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0.34</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1.98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0.03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2020年度财政拨款支出年初预算为</w:t>
      </w:r>
      <w:r>
        <w:rPr>
          <w:rFonts w:hint="eastAsia" w:ascii="仿宋_GB2312" w:eastAsia="仿宋_GB2312" w:cs="仿宋_GB2312"/>
          <w:bCs/>
          <w:kern w:val="0"/>
          <w:sz w:val="32"/>
          <w:szCs w:val="32"/>
          <w:highlight w:val="none"/>
          <w:lang w:val="en-US" w:eastAsia="zh-CN"/>
        </w:rPr>
        <w:t>4702.13</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6383.63</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135.76</w:t>
      </w:r>
      <w:r>
        <w:rPr>
          <w:rFonts w:hint="eastAsia" w:ascii="仿宋_GB2312" w:eastAsia="仿宋_GB2312" w:cs="仿宋_GB2312"/>
          <w:bCs/>
          <w:kern w:val="0"/>
          <w:sz w:val="32"/>
          <w:szCs w:val="32"/>
          <w:highlight w:val="none"/>
        </w:rPr>
        <w:t>%。决算数大于预算数的主要原因：一是年中追加安排财政拨款支出预算，涉及的资金类别有</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高中教育类</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其他普通教育支出</w:t>
      </w:r>
      <w:r>
        <w:rPr>
          <w:rFonts w:hint="eastAsia" w:ascii="仿宋_GB2312" w:eastAsia="仿宋_GB2312" w:cs="仿宋_GB2312"/>
          <w:bCs/>
          <w:kern w:val="0"/>
          <w:sz w:val="32"/>
          <w:szCs w:val="32"/>
          <w:highlight w:val="none"/>
          <w:lang w:val="en-US" w:eastAsia="zh-CN"/>
        </w:rPr>
        <w:t>类、</w:t>
      </w:r>
      <w:r>
        <w:rPr>
          <w:rFonts w:hint="eastAsia" w:ascii="仿宋_GB2312" w:eastAsia="仿宋_GB2312" w:cs="仿宋_GB2312"/>
          <w:bCs/>
          <w:kern w:val="0"/>
          <w:sz w:val="32"/>
          <w:szCs w:val="32"/>
          <w:highlight w:val="none"/>
        </w:rPr>
        <w:t>事业单位医疗</w:t>
      </w:r>
      <w:r>
        <w:rPr>
          <w:rFonts w:hint="eastAsia" w:ascii="仿宋_GB2312" w:eastAsia="仿宋_GB2312" w:cs="仿宋_GB2312"/>
          <w:bCs/>
          <w:kern w:val="0"/>
          <w:sz w:val="32"/>
          <w:szCs w:val="32"/>
          <w:highlight w:val="none"/>
          <w:lang w:val="en-US" w:eastAsia="zh-CN"/>
        </w:rPr>
        <w:t>类、城乡社区环境卫生类、事业机构类和购房补贴类</w:t>
      </w:r>
      <w:r>
        <w:rPr>
          <w:rFonts w:hint="eastAsia" w:ascii="仿宋_GB2312" w:eastAsia="仿宋_GB2312" w:cs="仿宋_GB2312"/>
          <w:bCs/>
          <w:kern w:val="0"/>
          <w:sz w:val="32"/>
          <w:szCs w:val="32"/>
          <w:highlight w:val="none"/>
        </w:rPr>
        <w:t>；二是部分支出按规定，通过使用以前年度财政拨款结转资金解决。</w:t>
      </w:r>
    </w:p>
    <w:p>
      <w:pPr>
        <w:autoSpaceDE w:val="0"/>
        <w:autoSpaceDN w:val="0"/>
        <w:adjustRightInd w:val="0"/>
        <w:spacing w:line="58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eastAsia="仿宋_GB2312" w:cs="仿宋_GB2312"/>
          <w:bCs/>
          <w:kern w:val="0"/>
          <w:sz w:val="32"/>
          <w:szCs w:val="32"/>
        </w:rPr>
        <w:t>1.</w:t>
      </w:r>
      <w:r>
        <w:rPr>
          <w:rFonts w:hint="eastAsia" w:ascii="仿宋_GB2312" w:eastAsia="仿宋_GB2312" w:cs="仿宋_GB2312"/>
          <w:bCs/>
          <w:kern w:val="0"/>
          <w:sz w:val="32"/>
          <w:szCs w:val="32"/>
          <w:lang w:val="en-US" w:eastAsia="zh-CN"/>
        </w:rPr>
        <w:t>205</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04</w:t>
      </w:r>
      <w:r>
        <w:rPr>
          <w:rFonts w:hint="eastAsia" w:ascii="仿宋_GB2312" w:eastAsia="仿宋_GB2312" w:cs="仿宋_GB2312"/>
          <w:bCs/>
          <w:kern w:val="0"/>
          <w:sz w:val="32"/>
          <w:szCs w:val="32"/>
        </w:rPr>
        <w:t>项高中教育</w:t>
      </w:r>
      <w:r>
        <w:rPr>
          <w:rFonts w:hint="eastAsia" w:ascii="仿宋_GB2312" w:eastAsia="仿宋_GB2312" w:cs="仿宋_GB2312"/>
          <w:bCs/>
          <w:kern w:val="0"/>
          <w:sz w:val="32"/>
          <w:szCs w:val="32"/>
          <w:lang w:val="en-US" w:eastAsia="zh-CN"/>
        </w:rPr>
        <w:t>6023.11</w:t>
      </w:r>
      <w:r>
        <w:rPr>
          <w:rFonts w:hint="eastAsia" w:ascii="仿宋_GB2312" w:eastAsia="仿宋_GB2312" w:cs="仿宋_GB2312"/>
          <w:bCs/>
          <w:kern w:val="0"/>
          <w:sz w:val="32"/>
          <w:szCs w:val="32"/>
        </w:rPr>
        <w:t>万元。年初预算为</w:t>
      </w:r>
      <w:r>
        <w:rPr>
          <w:rFonts w:hint="eastAsia" w:ascii="仿宋_GB2312" w:eastAsia="仿宋_GB2312" w:cs="仿宋_GB2312"/>
          <w:bCs/>
          <w:kern w:val="0"/>
          <w:sz w:val="32"/>
          <w:szCs w:val="32"/>
          <w:lang w:val="en-US" w:eastAsia="zh-CN"/>
        </w:rPr>
        <w:t>4473.41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6023.11</w:t>
      </w:r>
      <w:r>
        <w:rPr>
          <w:rFonts w:hint="eastAsia" w:ascii="仿宋_GB2312" w:eastAsia="仿宋_GB2312" w:cs="仿宋_GB2312"/>
          <w:bCs/>
          <w:kern w:val="0"/>
          <w:sz w:val="32"/>
          <w:szCs w:val="32"/>
        </w:rPr>
        <w:t>万元，</w:t>
      </w:r>
      <w:r>
        <w:rPr>
          <w:rFonts w:hint="eastAsia" w:ascii="仿宋_GB2312" w:hAnsi="仿宋_GB2312" w:eastAsia="仿宋_GB2312" w:cs="仿宋_GB2312"/>
          <w:sz w:val="32"/>
          <w:szCs w:val="32"/>
        </w:rPr>
        <w:t>与年度预算</w:t>
      </w:r>
      <w:r>
        <w:rPr>
          <w:rFonts w:hint="eastAsia" w:ascii="仿宋_GB2312" w:hAnsi="仿宋_GB2312" w:eastAsia="仿宋_GB2312" w:cs="仿宋_GB2312"/>
          <w:sz w:val="32"/>
          <w:szCs w:val="32"/>
          <w:lang w:val="en-US" w:eastAsia="zh-CN"/>
        </w:rPr>
        <w:t>6023.56</w:t>
      </w:r>
      <w:r>
        <w:rPr>
          <w:rFonts w:hint="eastAsia" w:ascii="仿宋_GB2312" w:hAnsi="仿宋_GB2312" w:eastAsia="仿宋_GB2312" w:cs="仿宋_GB2312"/>
          <w:sz w:val="32"/>
          <w:szCs w:val="32"/>
        </w:rPr>
        <w:t>万元相比，少0.</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eastAsia="仿宋_GB2312" w:cs="仿宋_GB2312"/>
          <w:bCs/>
          <w:kern w:val="0"/>
          <w:sz w:val="32"/>
          <w:szCs w:val="32"/>
        </w:rPr>
        <w:t>完成</w:t>
      </w:r>
      <w:r>
        <w:rPr>
          <w:rFonts w:hint="eastAsia" w:ascii="仿宋_GB2312" w:eastAsia="仿宋_GB2312" w:cs="仿宋_GB2312"/>
          <w:bCs/>
          <w:kern w:val="0"/>
          <w:sz w:val="32"/>
          <w:szCs w:val="32"/>
          <w:lang w:val="en-US" w:eastAsia="zh-CN"/>
        </w:rPr>
        <w:t>年度</w:t>
      </w:r>
      <w:r>
        <w:rPr>
          <w:rFonts w:hint="eastAsia" w:ascii="仿宋_GB2312" w:eastAsia="仿宋_GB2312" w:cs="仿宋_GB2312"/>
          <w:bCs/>
          <w:kern w:val="0"/>
          <w:sz w:val="32"/>
          <w:szCs w:val="32"/>
        </w:rPr>
        <w:t>预算的</w:t>
      </w:r>
      <w:r>
        <w:rPr>
          <w:rFonts w:hint="eastAsia" w:ascii="仿宋_GB2312" w:eastAsia="仿宋_GB2312" w:cs="仿宋_GB2312"/>
          <w:bCs/>
          <w:kern w:val="0"/>
          <w:sz w:val="32"/>
          <w:szCs w:val="32"/>
          <w:lang w:val="en-US" w:eastAsia="zh-CN"/>
        </w:rPr>
        <w:t>99.99%</w:t>
      </w:r>
      <w:r>
        <w:rPr>
          <w:rFonts w:hint="eastAsia" w:ascii="仿宋_GB2312" w:eastAsia="仿宋_GB2312" w:cs="仿宋_GB2312"/>
          <w:bCs/>
          <w:kern w:val="0"/>
          <w:sz w:val="32"/>
          <w:szCs w:val="32"/>
        </w:rPr>
        <w:t>。</w:t>
      </w:r>
      <w:r>
        <w:rPr>
          <w:rFonts w:hint="eastAsia" w:ascii="仿宋_GB2312" w:hAnsi="仿宋_GB2312" w:eastAsia="仿宋_GB2312" w:cs="仿宋_GB2312"/>
          <w:sz w:val="32"/>
          <w:szCs w:val="32"/>
        </w:rPr>
        <w:t>决算数与年度预算数存在差异原因如下：</w:t>
      </w:r>
      <w:r>
        <w:rPr>
          <w:rFonts w:hint="eastAsia" w:ascii="仿宋_GB2312" w:hAnsi="仿宋_GB2312" w:eastAsia="仿宋_GB2312" w:cs="仿宋_GB2312"/>
          <w:sz w:val="32"/>
          <w:szCs w:val="32"/>
          <w:lang w:eastAsia="zh-CN"/>
        </w:rPr>
        <w:t>此资金</w:t>
      </w:r>
      <w:r>
        <w:rPr>
          <w:rFonts w:hint="eastAsia" w:ascii="仿宋_GB2312" w:hAnsi="仿宋_GB2312" w:eastAsia="仿宋_GB2312" w:cs="仿宋_GB2312"/>
          <w:sz w:val="32"/>
          <w:szCs w:val="32"/>
          <w:lang w:val="en-US" w:eastAsia="zh-CN"/>
        </w:rPr>
        <w:t>为2020年</w:t>
      </w:r>
      <w:r>
        <w:rPr>
          <w:rFonts w:hint="eastAsia" w:ascii="仿宋_GB2312" w:hAnsi="仿宋_GB2312" w:eastAsia="仿宋_GB2312" w:cs="仿宋_GB2312"/>
          <w:sz w:val="32"/>
          <w:szCs w:val="32"/>
          <w:lang w:eastAsia="zh-CN"/>
        </w:rPr>
        <w:t>学校专职保安人员聘用经费，12月未来得及支付，结转2021年支付。</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rPr>
      </w:pP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val="en-US" w:eastAsia="zh-CN"/>
        </w:rPr>
        <w:t>205</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02款99</w:t>
      </w:r>
      <w:r>
        <w:rPr>
          <w:rFonts w:hint="eastAsia" w:ascii="仿宋_GB2312" w:eastAsia="仿宋_GB2312" w:cs="仿宋_GB2312"/>
          <w:bCs/>
          <w:kern w:val="0"/>
          <w:sz w:val="32"/>
          <w:szCs w:val="32"/>
        </w:rPr>
        <w:t>项其他普通教育支出</w:t>
      </w:r>
      <w:r>
        <w:rPr>
          <w:rFonts w:hint="eastAsia" w:ascii="仿宋_GB2312" w:eastAsia="仿宋_GB2312" w:cs="仿宋_GB2312"/>
          <w:bCs/>
          <w:kern w:val="0"/>
          <w:sz w:val="32"/>
          <w:szCs w:val="32"/>
          <w:lang w:val="en-US" w:eastAsia="zh-CN"/>
        </w:rPr>
        <w:t>34.76</w:t>
      </w:r>
      <w:r>
        <w:rPr>
          <w:rFonts w:hint="eastAsia" w:ascii="仿宋_GB2312" w:eastAsia="仿宋_GB2312" w:cs="仿宋_GB2312"/>
          <w:bCs/>
          <w:kern w:val="0"/>
          <w:sz w:val="32"/>
          <w:szCs w:val="32"/>
        </w:rPr>
        <w:t>万元。年初预算为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34.76</w:t>
      </w:r>
      <w:r>
        <w:rPr>
          <w:rFonts w:hint="eastAsia" w:ascii="仿宋_GB2312" w:eastAsia="仿宋_GB2312" w:cs="仿宋_GB2312"/>
          <w:bCs/>
          <w:kern w:val="0"/>
          <w:sz w:val="32"/>
          <w:szCs w:val="32"/>
        </w:rPr>
        <w:t>万元，</w:t>
      </w:r>
      <w:r>
        <w:rPr>
          <w:rFonts w:hint="eastAsia" w:ascii="仿宋_GB2312" w:hAnsi="仿宋_GB2312" w:eastAsia="仿宋_GB2312" w:cs="仿宋_GB2312"/>
          <w:sz w:val="32"/>
          <w:szCs w:val="32"/>
        </w:rPr>
        <w:t>与年度预算</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万元相比，少</w:t>
      </w:r>
      <w:r>
        <w:rPr>
          <w:rFonts w:hint="eastAsia" w:ascii="仿宋_GB2312" w:hAnsi="仿宋_GB2312" w:eastAsia="仿宋_GB2312" w:cs="仿宋_GB2312"/>
          <w:sz w:val="32"/>
          <w:szCs w:val="32"/>
          <w:lang w:val="en-US" w:eastAsia="zh-CN"/>
        </w:rPr>
        <w:t>15.24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eastAsia="仿宋_GB2312" w:cs="仿宋_GB2312"/>
          <w:bCs/>
          <w:kern w:val="0"/>
          <w:sz w:val="32"/>
          <w:szCs w:val="32"/>
        </w:rPr>
        <w:t>完成</w:t>
      </w:r>
      <w:r>
        <w:rPr>
          <w:rFonts w:hint="eastAsia" w:ascii="仿宋_GB2312" w:eastAsia="仿宋_GB2312" w:cs="仿宋_GB2312"/>
          <w:bCs/>
          <w:kern w:val="0"/>
          <w:sz w:val="32"/>
          <w:szCs w:val="32"/>
          <w:lang w:val="en-US" w:eastAsia="zh-CN"/>
        </w:rPr>
        <w:t>年度</w:t>
      </w:r>
      <w:r>
        <w:rPr>
          <w:rFonts w:hint="eastAsia" w:ascii="仿宋_GB2312" w:eastAsia="仿宋_GB2312" w:cs="仿宋_GB2312"/>
          <w:bCs/>
          <w:kern w:val="0"/>
          <w:sz w:val="32"/>
          <w:szCs w:val="32"/>
        </w:rPr>
        <w:t>预算的</w:t>
      </w:r>
      <w:r>
        <w:rPr>
          <w:rFonts w:hint="eastAsia" w:ascii="仿宋_GB2312" w:eastAsia="仿宋_GB2312" w:cs="仿宋_GB2312"/>
          <w:bCs/>
          <w:kern w:val="0"/>
          <w:sz w:val="32"/>
          <w:szCs w:val="32"/>
          <w:lang w:val="en-US" w:eastAsia="zh-CN"/>
        </w:rPr>
        <w:t>69.52%</w:t>
      </w:r>
      <w:r>
        <w:rPr>
          <w:rFonts w:hint="eastAsia" w:ascii="仿宋_GB2312" w:eastAsia="仿宋_GB2312" w:cs="仿宋_GB2312"/>
          <w:bCs/>
          <w:kern w:val="0"/>
          <w:sz w:val="32"/>
          <w:szCs w:val="32"/>
        </w:rPr>
        <w:t>。</w:t>
      </w:r>
      <w:r>
        <w:rPr>
          <w:rFonts w:hint="eastAsia" w:ascii="仿宋_GB2312" w:hAnsi="仿宋_GB2312" w:eastAsia="仿宋_GB2312" w:cs="仿宋_GB2312"/>
          <w:sz w:val="32"/>
          <w:szCs w:val="32"/>
        </w:rPr>
        <w:t>决算数与年度预算数存在差异原因如下：</w:t>
      </w:r>
      <w:r>
        <w:rPr>
          <w:rFonts w:hint="eastAsia" w:ascii="仿宋_GB2312" w:hAnsi="仿宋_GB2312" w:eastAsia="仿宋_GB2312" w:cs="仿宋_GB2312"/>
          <w:sz w:val="32"/>
          <w:szCs w:val="32"/>
          <w:lang w:eastAsia="zh-CN"/>
        </w:rPr>
        <w:t>此资金</w:t>
      </w:r>
      <w:r>
        <w:rPr>
          <w:rFonts w:hint="eastAsia" w:ascii="仿宋_GB2312" w:hAnsi="仿宋_GB2312" w:eastAsia="仿宋_GB2312" w:cs="仿宋_GB2312"/>
          <w:sz w:val="32"/>
          <w:szCs w:val="32"/>
          <w:lang w:val="en-US" w:eastAsia="zh-CN"/>
        </w:rPr>
        <w:t>为2020年</w:t>
      </w:r>
      <w:r>
        <w:rPr>
          <w:rFonts w:hint="eastAsia" w:ascii="仿宋_GB2312" w:hAnsi="仿宋_GB2312" w:eastAsia="仿宋_GB2312" w:cs="仿宋_GB2312"/>
          <w:sz w:val="32"/>
          <w:szCs w:val="32"/>
          <w:lang w:eastAsia="zh-CN"/>
        </w:rPr>
        <w:t>定制公交车及接驳车费用，12月未来得及支付，结转2021年支付</w:t>
      </w:r>
      <w:r>
        <w:rPr>
          <w:rFonts w:hint="eastAsia" w:ascii="仿宋_GB2312" w:eastAsia="仿宋_GB2312" w:cs="仿宋_GB2312"/>
          <w:bCs/>
          <w:kern w:val="0"/>
          <w:sz w:val="32"/>
          <w:szCs w:val="32"/>
          <w:lang w:val="en-US"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ascii="仿宋_GB2312" w:eastAsia="仿宋_GB2312" w:cs="仿宋_GB2312"/>
          <w:bCs/>
          <w:kern w:val="0"/>
          <w:sz w:val="32"/>
          <w:szCs w:val="32"/>
          <w:lang w:val="en-US" w:eastAsia="zh-CN"/>
        </w:rPr>
        <w:t>210</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11款02</w:t>
      </w:r>
      <w:r>
        <w:rPr>
          <w:rFonts w:hint="eastAsia" w:ascii="仿宋_GB2312" w:eastAsia="仿宋_GB2312" w:cs="仿宋_GB2312"/>
          <w:bCs/>
          <w:kern w:val="0"/>
          <w:sz w:val="32"/>
          <w:szCs w:val="32"/>
        </w:rPr>
        <w:t>项事业单位医疗</w:t>
      </w:r>
      <w:r>
        <w:rPr>
          <w:rFonts w:hint="eastAsia" w:ascii="仿宋_GB2312" w:eastAsia="仿宋_GB2312" w:cs="仿宋_GB2312"/>
          <w:bCs/>
          <w:kern w:val="0"/>
          <w:sz w:val="32"/>
          <w:szCs w:val="32"/>
          <w:lang w:val="en-US" w:eastAsia="zh-CN"/>
        </w:rPr>
        <w:t>302.02</w:t>
      </w:r>
      <w:r>
        <w:rPr>
          <w:rFonts w:hint="eastAsia" w:ascii="仿宋_GB2312" w:eastAsia="仿宋_GB2312" w:cs="仿宋_GB2312"/>
          <w:bCs/>
          <w:kern w:val="0"/>
          <w:sz w:val="32"/>
          <w:szCs w:val="32"/>
        </w:rPr>
        <w:t>万元。年初预算为</w:t>
      </w:r>
      <w:r>
        <w:rPr>
          <w:rFonts w:hint="eastAsia" w:ascii="仿宋_GB2312" w:eastAsia="仿宋_GB2312" w:cs="仿宋_GB2312"/>
          <w:bCs/>
          <w:kern w:val="0"/>
          <w:sz w:val="32"/>
          <w:szCs w:val="32"/>
          <w:lang w:val="en-US" w:eastAsia="zh-CN"/>
        </w:rPr>
        <w:t>228.72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302.02</w:t>
      </w:r>
      <w:r>
        <w:rPr>
          <w:rFonts w:hint="eastAsia" w:ascii="仿宋_GB2312" w:eastAsia="仿宋_GB2312" w:cs="仿宋_GB2312"/>
          <w:bCs/>
          <w:kern w:val="0"/>
          <w:sz w:val="32"/>
          <w:szCs w:val="32"/>
        </w:rPr>
        <w:t>万元，</w:t>
      </w:r>
      <w:r>
        <w:rPr>
          <w:rFonts w:hint="eastAsia" w:ascii="仿宋_GB2312" w:hAnsi="仿宋_GB2312" w:eastAsia="仿宋_GB2312" w:cs="仿宋_GB2312"/>
          <w:sz w:val="32"/>
          <w:szCs w:val="32"/>
        </w:rPr>
        <w:t>与年度预算</w:t>
      </w:r>
      <w:r>
        <w:rPr>
          <w:rFonts w:hint="eastAsia" w:ascii="仿宋_GB2312" w:hAnsi="仿宋_GB2312" w:eastAsia="仿宋_GB2312" w:cs="仿宋_GB2312"/>
          <w:sz w:val="32"/>
          <w:szCs w:val="32"/>
          <w:lang w:val="en-US" w:eastAsia="zh-CN"/>
        </w:rPr>
        <w:t>302.02</w:t>
      </w:r>
      <w:r>
        <w:rPr>
          <w:rFonts w:hint="eastAsia" w:ascii="仿宋_GB2312" w:hAnsi="仿宋_GB2312" w:eastAsia="仿宋_GB2312" w:cs="仿宋_GB2312"/>
          <w:sz w:val="32"/>
          <w:szCs w:val="32"/>
        </w:rPr>
        <w:t>万元相比，少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eastAsia="仿宋_GB2312" w:cs="仿宋_GB2312"/>
          <w:bCs/>
          <w:kern w:val="0"/>
          <w:sz w:val="32"/>
          <w:szCs w:val="32"/>
        </w:rPr>
        <w:t>完成年</w:t>
      </w:r>
      <w:r>
        <w:rPr>
          <w:rFonts w:hint="eastAsia" w:ascii="仿宋_GB2312" w:eastAsia="仿宋_GB2312" w:cs="仿宋_GB2312"/>
          <w:bCs/>
          <w:kern w:val="0"/>
          <w:sz w:val="32"/>
          <w:szCs w:val="32"/>
          <w:lang w:val="en-US" w:eastAsia="zh-CN"/>
        </w:rPr>
        <w:t>度</w:t>
      </w:r>
      <w:r>
        <w:rPr>
          <w:rFonts w:hint="eastAsia" w:ascii="仿宋_GB2312" w:eastAsia="仿宋_GB2312" w:cs="仿宋_GB2312"/>
          <w:bCs/>
          <w:kern w:val="0"/>
          <w:sz w:val="32"/>
          <w:szCs w:val="32"/>
        </w:rPr>
        <w:t>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212</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05</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01</w:t>
      </w:r>
      <w:r>
        <w:rPr>
          <w:rFonts w:hint="eastAsia" w:ascii="仿宋_GB2312" w:eastAsia="仿宋_GB2312" w:cs="仿宋_GB2312"/>
          <w:bCs/>
          <w:kern w:val="0"/>
          <w:sz w:val="32"/>
          <w:szCs w:val="32"/>
        </w:rPr>
        <w:t>项城乡社区环境卫生</w:t>
      </w:r>
      <w:r>
        <w:rPr>
          <w:rFonts w:hint="eastAsia" w:ascii="仿宋_GB2312" w:eastAsia="仿宋_GB2312" w:cs="仿宋_GB2312"/>
          <w:bCs/>
          <w:kern w:val="0"/>
          <w:sz w:val="32"/>
          <w:szCs w:val="32"/>
          <w:lang w:val="en-US" w:eastAsia="zh-CN"/>
        </w:rPr>
        <w:t>0.06</w:t>
      </w:r>
      <w:r>
        <w:rPr>
          <w:rFonts w:hint="eastAsia" w:ascii="仿宋_GB2312" w:eastAsia="仿宋_GB2312" w:cs="仿宋_GB2312"/>
          <w:bCs/>
          <w:kern w:val="0"/>
          <w:sz w:val="32"/>
          <w:szCs w:val="32"/>
        </w:rPr>
        <w:t>万元。年初预算为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0.06</w:t>
      </w:r>
      <w:r>
        <w:rPr>
          <w:rFonts w:hint="eastAsia" w:ascii="仿宋_GB2312" w:eastAsia="仿宋_GB2312" w:cs="仿宋_GB2312"/>
          <w:bCs/>
          <w:kern w:val="0"/>
          <w:sz w:val="32"/>
          <w:szCs w:val="32"/>
        </w:rPr>
        <w:t>万元，</w:t>
      </w:r>
      <w:r>
        <w:rPr>
          <w:rFonts w:hint="eastAsia" w:ascii="仿宋_GB2312" w:hAnsi="仿宋_GB2312" w:eastAsia="仿宋_GB2312" w:cs="仿宋_GB2312"/>
          <w:sz w:val="32"/>
          <w:szCs w:val="32"/>
        </w:rPr>
        <w:t>与年度预算</w:t>
      </w:r>
      <w:r>
        <w:rPr>
          <w:rFonts w:hint="eastAsia" w:ascii="仿宋_GB2312" w:hAnsi="仿宋_GB2312" w:eastAsia="仿宋_GB2312" w:cs="仿宋_GB2312"/>
          <w:sz w:val="32"/>
          <w:szCs w:val="32"/>
          <w:lang w:val="en-US" w:eastAsia="zh-CN"/>
        </w:rPr>
        <w:t>0.06</w:t>
      </w:r>
      <w:r>
        <w:rPr>
          <w:rFonts w:hint="eastAsia" w:ascii="仿宋_GB2312" w:hAnsi="仿宋_GB2312" w:eastAsia="仿宋_GB2312" w:cs="仿宋_GB2312"/>
          <w:sz w:val="32"/>
          <w:szCs w:val="32"/>
        </w:rPr>
        <w:t>万元相比，少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eastAsia="仿宋_GB2312" w:cs="仿宋_GB2312"/>
          <w:bCs/>
          <w:kern w:val="0"/>
          <w:sz w:val="32"/>
          <w:szCs w:val="32"/>
        </w:rPr>
        <w:t>完成年</w:t>
      </w:r>
      <w:r>
        <w:rPr>
          <w:rFonts w:hint="eastAsia" w:ascii="仿宋_GB2312" w:eastAsia="仿宋_GB2312" w:cs="仿宋_GB2312"/>
          <w:bCs/>
          <w:kern w:val="0"/>
          <w:sz w:val="32"/>
          <w:szCs w:val="32"/>
          <w:lang w:val="en-US" w:eastAsia="zh-CN"/>
        </w:rPr>
        <w:t>度</w:t>
      </w:r>
      <w:r>
        <w:rPr>
          <w:rFonts w:hint="eastAsia" w:ascii="仿宋_GB2312" w:eastAsia="仿宋_GB2312" w:cs="仿宋_GB2312"/>
          <w:bCs/>
          <w:kern w:val="0"/>
          <w:sz w:val="32"/>
          <w:szCs w:val="32"/>
        </w:rPr>
        <w:t>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213</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04</w:t>
      </w:r>
      <w:r>
        <w:rPr>
          <w:rFonts w:hint="eastAsia" w:ascii="仿宋_GB2312" w:eastAsia="仿宋_GB2312" w:cs="仿宋_GB2312"/>
          <w:bCs/>
          <w:kern w:val="0"/>
          <w:sz w:val="32"/>
          <w:szCs w:val="32"/>
        </w:rPr>
        <w:t>项事业机构</w:t>
      </w:r>
      <w:r>
        <w:rPr>
          <w:rFonts w:hint="eastAsia" w:ascii="仿宋_GB2312" w:eastAsia="仿宋_GB2312" w:cs="仿宋_GB2312"/>
          <w:bCs/>
          <w:kern w:val="0"/>
          <w:sz w:val="32"/>
          <w:szCs w:val="32"/>
          <w:lang w:val="en-US" w:eastAsia="zh-CN"/>
        </w:rPr>
        <w:t>21.70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21.70</w:t>
      </w:r>
      <w:r>
        <w:rPr>
          <w:rFonts w:hint="eastAsia" w:ascii="仿宋_GB2312" w:eastAsia="仿宋_GB2312" w:cs="仿宋_GB2312"/>
          <w:bCs/>
          <w:kern w:val="0"/>
          <w:sz w:val="32"/>
          <w:szCs w:val="32"/>
        </w:rPr>
        <w:t>万元，</w:t>
      </w:r>
      <w:r>
        <w:rPr>
          <w:rFonts w:hint="eastAsia" w:ascii="仿宋_GB2312" w:hAnsi="仿宋_GB2312" w:eastAsia="仿宋_GB2312" w:cs="仿宋_GB2312"/>
          <w:sz w:val="32"/>
          <w:szCs w:val="32"/>
        </w:rPr>
        <w:t>与年度预算</w:t>
      </w:r>
      <w:r>
        <w:rPr>
          <w:rFonts w:hint="eastAsia" w:ascii="仿宋_GB2312" w:hAnsi="仿宋_GB2312" w:eastAsia="仿宋_GB2312" w:cs="仿宋_GB2312"/>
          <w:sz w:val="32"/>
          <w:szCs w:val="32"/>
          <w:lang w:val="en-US" w:eastAsia="zh-CN"/>
        </w:rPr>
        <w:t>21.70</w:t>
      </w:r>
      <w:r>
        <w:rPr>
          <w:rFonts w:hint="eastAsia" w:ascii="仿宋_GB2312" w:hAnsi="仿宋_GB2312" w:eastAsia="仿宋_GB2312" w:cs="仿宋_GB2312"/>
          <w:sz w:val="32"/>
          <w:szCs w:val="32"/>
        </w:rPr>
        <w:t>万元相比，少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eastAsia="仿宋_GB2312" w:cs="仿宋_GB2312"/>
          <w:bCs/>
          <w:kern w:val="0"/>
          <w:sz w:val="32"/>
          <w:szCs w:val="32"/>
        </w:rPr>
        <w:t>完成年</w:t>
      </w:r>
      <w:r>
        <w:rPr>
          <w:rFonts w:hint="eastAsia" w:ascii="仿宋_GB2312" w:eastAsia="仿宋_GB2312" w:cs="仿宋_GB2312"/>
          <w:bCs/>
          <w:kern w:val="0"/>
          <w:sz w:val="32"/>
          <w:szCs w:val="32"/>
          <w:lang w:val="en-US" w:eastAsia="zh-CN"/>
        </w:rPr>
        <w:t>度</w:t>
      </w:r>
      <w:r>
        <w:rPr>
          <w:rFonts w:hint="eastAsia" w:ascii="仿宋_GB2312" w:eastAsia="仿宋_GB2312" w:cs="仿宋_GB2312"/>
          <w:bCs/>
          <w:kern w:val="0"/>
          <w:sz w:val="32"/>
          <w:szCs w:val="32"/>
        </w:rPr>
        <w:t>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221</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val="en-US" w:eastAsia="zh-CN"/>
        </w:rPr>
        <w:t>02</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val="en-US" w:eastAsia="zh-CN"/>
        </w:rPr>
        <w:t>03</w:t>
      </w:r>
      <w:r>
        <w:rPr>
          <w:rFonts w:hint="eastAsia" w:ascii="仿宋_GB2312" w:eastAsia="仿宋_GB2312" w:cs="仿宋_GB2312"/>
          <w:bCs/>
          <w:kern w:val="0"/>
          <w:sz w:val="32"/>
          <w:szCs w:val="32"/>
        </w:rPr>
        <w:t>项购房补贴</w:t>
      </w:r>
      <w:r>
        <w:rPr>
          <w:rFonts w:hint="eastAsia" w:ascii="仿宋_GB2312" w:eastAsia="仿宋_GB2312" w:cs="仿宋_GB2312"/>
          <w:bCs/>
          <w:kern w:val="0"/>
          <w:sz w:val="32"/>
          <w:szCs w:val="32"/>
          <w:lang w:val="en-US" w:eastAsia="zh-CN"/>
        </w:rPr>
        <w:t>1.98</w:t>
      </w:r>
      <w:r>
        <w:rPr>
          <w:rFonts w:hint="eastAsia" w:ascii="仿宋_GB2312" w:eastAsia="仿宋_GB2312" w:cs="仿宋_GB2312"/>
          <w:bCs/>
          <w:kern w:val="0"/>
          <w:sz w:val="32"/>
          <w:szCs w:val="32"/>
        </w:rPr>
        <w:t>万元。年初预算为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1.98</w:t>
      </w:r>
      <w:r>
        <w:rPr>
          <w:rFonts w:hint="eastAsia" w:ascii="仿宋_GB2312" w:eastAsia="仿宋_GB2312" w:cs="仿宋_GB2312"/>
          <w:bCs/>
          <w:kern w:val="0"/>
          <w:sz w:val="32"/>
          <w:szCs w:val="32"/>
        </w:rPr>
        <w:t>万元，</w:t>
      </w:r>
      <w:r>
        <w:rPr>
          <w:rFonts w:hint="eastAsia" w:ascii="仿宋_GB2312" w:hAnsi="仿宋_GB2312" w:eastAsia="仿宋_GB2312" w:cs="仿宋_GB2312"/>
          <w:sz w:val="32"/>
          <w:szCs w:val="32"/>
        </w:rPr>
        <w:t>与年度预算</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万元相比，少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eastAsia="仿宋_GB2312" w:cs="仿宋_GB2312"/>
          <w:bCs/>
          <w:kern w:val="0"/>
          <w:sz w:val="32"/>
          <w:szCs w:val="32"/>
        </w:rPr>
        <w:t>完成完成年</w:t>
      </w:r>
      <w:r>
        <w:rPr>
          <w:rFonts w:hint="eastAsia" w:ascii="仿宋_GB2312" w:eastAsia="仿宋_GB2312" w:cs="仿宋_GB2312"/>
          <w:bCs/>
          <w:kern w:val="0"/>
          <w:sz w:val="32"/>
          <w:szCs w:val="32"/>
          <w:lang w:val="en-US" w:eastAsia="zh-CN"/>
        </w:rPr>
        <w:t>度</w:t>
      </w:r>
      <w:r>
        <w:rPr>
          <w:rFonts w:hint="eastAsia" w:ascii="仿宋_GB2312" w:eastAsia="仿宋_GB2312" w:cs="仿宋_GB2312"/>
          <w:bCs/>
          <w:kern w:val="0"/>
          <w:sz w:val="32"/>
          <w:szCs w:val="32"/>
        </w:rPr>
        <w:t>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6123.62</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5688.26</w:t>
      </w:r>
      <w:r>
        <w:rPr>
          <w:rFonts w:hint="eastAsia" w:ascii="仿宋_GB2312" w:eastAsia="仿宋_GB2312" w:cs="仿宋_GB2312"/>
          <w:bCs/>
          <w:kern w:val="0"/>
          <w:sz w:val="32"/>
          <w:szCs w:val="32"/>
        </w:rPr>
        <w:t>万元，主要包括：基本工资、津贴补贴、奖金、绩效工资、机关事业单位基本养老保险缴费、职业年金缴费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基本医疗保险缴费、公务员医疗补助缴费</w:t>
      </w:r>
      <w:r>
        <w:rPr>
          <w:rFonts w:hint="eastAsia" w:ascii="仿宋_GB2312" w:eastAsia="仿宋_GB2312" w:cs="仿宋_GB2312"/>
          <w:bCs/>
          <w:kern w:val="0"/>
          <w:sz w:val="32"/>
          <w:szCs w:val="32"/>
        </w:rPr>
        <w:t>、其他社会保障缴费、</w:t>
      </w:r>
      <w:r>
        <w:rPr>
          <w:rFonts w:hint="eastAsia" w:ascii="仿宋_GB2312" w:eastAsia="仿宋_GB2312" w:cs="仿宋_GB2312"/>
          <w:bCs/>
          <w:kern w:val="0"/>
          <w:sz w:val="32"/>
          <w:szCs w:val="32"/>
          <w:lang w:val="en-US" w:eastAsia="zh-CN"/>
        </w:rPr>
        <w:t>住房公积金、</w:t>
      </w:r>
      <w:r>
        <w:rPr>
          <w:rFonts w:hint="eastAsia" w:ascii="仿宋_GB2312" w:eastAsia="仿宋_GB2312" w:cs="仿宋_GB2312"/>
          <w:bCs/>
          <w:kern w:val="0"/>
          <w:sz w:val="32"/>
          <w:szCs w:val="32"/>
        </w:rPr>
        <w:t>离休费、退休费、生活补助、</w:t>
      </w:r>
      <w:r>
        <w:rPr>
          <w:rFonts w:hint="eastAsia" w:ascii="仿宋_GB2312" w:eastAsia="仿宋_GB2312" w:cs="仿宋_GB2312"/>
          <w:bCs/>
          <w:kern w:val="0"/>
          <w:sz w:val="32"/>
          <w:szCs w:val="32"/>
          <w:lang w:val="en-US" w:eastAsia="zh-CN"/>
        </w:rPr>
        <w:t>助学金及其他对个人和家庭的补助。</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435.36</w:t>
      </w:r>
      <w:r>
        <w:rPr>
          <w:rFonts w:hint="eastAsia" w:ascii="仿宋_GB2312" w:eastAsia="仿宋_GB2312" w:cs="仿宋_GB2312"/>
          <w:bCs/>
          <w:kern w:val="0"/>
          <w:sz w:val="32"/>
          <w:szCs w:val="32"/>
        </w:rPr>
        <w:t>万元，主要包括：办公费、印刷费、水费、电费、邮电费、物业管理费、差旅费、维修（护）费、培训费、专用材料费、劳务费、工会经费、福利费、公务用车运行维护费、其他商品和服务支出</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2.00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1.73</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86.50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1.73</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86.50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%。2020年度“三公”经费支出决算数小于预算数的主要原因是认真贯彻落实中央</w:t>
      </w:r>
      <w:bookmarkStart w:id="0" w:name="_GoBack"/>
      <w:bookmarkEnd w:id="0"/>
      <w:r>
        <w:rPr>
          <w:rFonts w:hint="eastAsia" w:ascii="仿宋_GB2312" w:eastAsia="仿宋_GB2312" w:cs="仿宋_GB2312"/>
          <w:bCs/>
          <w:kern w:val="0"/>
          <w:sz w:val="32"/>
          <w:szCs w:val="32"/>
        </w:rPr>
        <w:t>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w:t>
      </w:r>
      <w:r>
        <w:rPr>
          <w:rFonts w:hint="eastAsia" w:ascii="仿宋_GB2312" w:eastAsia="仿宋_GB2312" w:cs="仿宋_GB2312"/>
          <w:bCs/>
          <w:kern w:val="0"/>
          <w:sz w:val="32"/>
          <w:szCs w:val="32"/>
          <w:highlight w:val="none"/>
        </w:rPr>
        <w:t>2019年减少</w:t>
      </w:r>
      <w:r>
        <w:rPr>
          <w:rFonts w:hint="eastAsia" w:ascii="仿宋_GB2312" w:eastAsia="仿宋_GB2312" w:cs="仿宋_GB2312"/>
          <w:bCs/>
          <w:kern w:val="0"/>
          <w:sz w:val="32"/>
          <w:szCs w:val="32"/>
          <w:highlight w:val="none"/>
          <w:lang w:val="en-US" w:eastAsia="zh-CN"/>
        </w:rPr>
        <w:t>0.08</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4.42</w:t>
      </w:r>
      <w:r>
        <w:rPr>
          <w:rFonts w:hint="eastAsia" w:ascii="仿宋_GB2312" w:eastAsia="仿宋_GB2312" w:cs="仿宋_GB2312"/>
          <w:bCs/>
          <w:kern w:val="0"/>
          <w:sz w:val="32"/>
          <w:szCs w:val="32"/>
          <w:highlight w:val="none"/>
        </w:rPr>
        <w:t>%，其中：因公出国（境）费支出</w:t>
      </w:r>
      <w:r>
        <w:rPr>
          <w:rFonts w:hint="eastAsia" w:ascii="仿宋_GB2312" w:eastAsia="仿宋_GB2312" w:cs="仿宋_GB2312"/>
          <w:bCs/>
          <w:kern w:val="0"/>
          <w:sz w:val="32"/>
          <w:szCs w:val="32"/>
        </w:rPr>
        <w:t>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%；公务用车购置及运行费支出决算减少</w:t>
      </w:r>
      <w:r>
        <w:rPr>
          <w:rFonts w:hint="eastAsia" w:ascii="仿宋_GB2312" w:eastAsia="仿宋_GB2312" w:cs="仿宋_GB2312"/>
          <w:bCs/>
          <w:kern w:val="0"/>
          <w:sz w:val="32"/>
          <w:szCs w:val="32"/>
          <w:lang w:val="en-US" w:eastAsia="zh-CN"/>
        </w:rPr>
        <w:t>0.08</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4.42</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公务用车购置及运行费支出减少的主要原因是</w:t>
      </w:r>
      <w:r>
        <w:rPr>
          <w:rFonts w:hint="eastAsia" w:ascii="仿宋_GB2312" w:eastAsia="仿宋_GB2312" w:cs="仿宋_GB2312"/>
          <w:bCs/>
          <w:kern w:val="0"/>
          <w:sz w:val="32"/>
          <w:szCs w:val="32"/>
          <w:lang w:eastAsia="zh-CN"/>
        </w:rPr>
        <w:t>：</w:t>
      </w:r>
      <w:r>
        <w:rPr>
          <w:rFonts w:hint="eastAsia" w:ascii="Times New Roman" w:hAnsi="Times New Roman" w:eastAsia="仿宋_GB2312" w:cs="Times New Roman"/>
          <w:color w:val="000000"/>
          <w:sz w:val="32"/>
          <w:szCs w:val="32"/>
          <w:lang w:val="en-US" w:eastAsia="zh-CN"/>
        </w:rPr>
        <w:t>油费减少</w:t>
      </w:r>
      <w:r>
        <w:rPr>
          <w:rFonts w:hint="eastAsia" w:eastAsia="仿宋_GB2312" w:cs="Times New Roman"/>
          <w:color w:val="000000"/>
          <w:sz w:val="32"/>
          <w:szCs w:val="32"/>
          <w:lang w:val="en-US" w:eastAsia="zh-CN"/>
        </w:rPr>
        <w:t>0.</w:t>
      </w:r>
      <w:r>
        <w:rPr>
          <w:rFonts w:hint="eastAsia" w:ascii="Times New Roman" w:hAnsi="Times New Roman" w:eastAsia="仿宋_GB2312" w:cs="Times New Roman"/>
          <w:color w:val="000000"/>
          <w:sz w:val="32"/>
          <w:szCs w:val="32"/>
          <w:lang w:val="en-US" w:eastAsia="zh-CN"/>
        </w:rPr>
        <w:t>1</w:t>
      </w:r>
      <w:r>
        <w:rPr>
          <w:rFonts w:hint="eastAsia" w:eastAsia="仿宋_GB2312" w:cs="Times New Roman"/>
          <w:color w:val="000000"/>
          <w:sz w:val="32"/>
          <w:szCs w:val="32"/>
          <w:lang w:val="en-US" w:eastAsia="zh-CN"/>
        </w:rPr>
        <w:t>万</w:t>
      </w:r>
      <w:r>
        <w:rPr>
          <w:rFonts w:hint="eastAsia" w:ascii="Times New Roman" w:hAnsi="Times New Roman" w:eastAsia="仿宋_GB2312" w:cs="Times New Roman"/>
          <w:color w:val="000000"/>
          <w:sz w:val="32"/>
          <w:szCs w:val="32"/>
          <w:lang w:val="en-US" w:eastAsia="zh-CN"/>
        </w:rPr>
        <w:t>元，校车维护费减少</w:t>
      </w:r>
      <w:r>
        <w:rPr>
          <w:rFonts w:hint="eastAsia" w:eastAsia="仿宋_GB2312" w:cs="Times New Roman"/>
          <w:color w:val="000000"/>
          <w:sz w:val="32"/>
          <w:szCs w:val="32"/>
          <w:lang w:val="en-US" w:eastAsia="zh-CN"/>
        </w:rPr>
        <w:t>0.03万</w:t>
      </w:r>
      <w:r>
        <w:rPr>
          <w:rFonts w:hint="eastAsia" w:ascii="Times New Roman" w:hAnsi="Times New Roman" w:eastAsia="仿宋_GB2312" w:cs="Times New Roman"/>
          <w:color w:val="000000"/>
          <w:sz w:val="32"/>
          <w:szCs w:val="32"/>
          <w:lang w:val="en-US" w:eastAsia="zh-CN"/>
        </w:rPr>
        <w:t>元，车险增加</w:t>
      </w:r>
      <w:r>
        <w:rPr>
          <w:rFonts w:hint="eastAsia" w:eastAsia="仿宋_GB2312" w:cs="Times New Roman"/>
          <w:color w:val="000000"/>
          <w:sz w:val="32"/>
          <w:szCs w:val="32"/>
          <w:lang w:val="en-US" w:eastAsia="zh-CN"/>
        </w:rPr>
        <w:t>0.05万</w:t>
      </w:r>
      <w:r>
        <w:rPr>
          <w:rFonts w:hint="eastAsia" w:ascii="Times New Roman" w:hAnsi="Times New Roman" w:eastAsia="仿宋_GB2312" w:cs="Times New Roman"/>
          <w:color w:val="000000"/>
          <w:sz w:val="32"/>
          <w:szCs w:val="32"/>
          <w:lang w:val="en-US" w:eastAsia="zh-CN"/>
        </w:rPr>
        <w:t>元</w:t>
      </w:r>
      <w:r>
        <w:rPr>
          <w:rFonts w:hint="eastAsia" w:eastAsia="仿宋_GB2312" w:cs="Times New Roman"/>
          <w:color w:val="000000"/>
          <w:sz w:val="32"/>
          <w:szCs w:val="32"/>
          <w:lang w:val="en-US" w:eastAsia="zh-CN"/>
        </w:rPr>
        <w:t>，共计减少0.08万元</w:t>
      </w:r>
      <w:r>
        <w:rPr>
          <w:rFonts w:hint="eastAsia" w:eastAsia="仿宋_GB2312"/>
          <w:color w:val="000000"/>
          <w:sz w:val="32"/>
          <w:szCs w:val="32"/>
        </w:rPr>
        <w:t>。</w:t>
      </w:r>
    </w:p>
    <w:p>
      <w:pPr>
        <w:numPr>
          <w:ilvl w:val="0"/>
          <w:numId w:val="2"/>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“三公”经费财政拨款支出决算具体情况</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1.73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%。具体情况如下：</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1.73</w:t>
      </w:r>
      <w:r>
        <w:rPr>
          <w:rFonts w:hint="eastAsia" w:ascii="仿宋_GB2312" w:eastAsia="仿宋_GB2312" w:cs="仿宋_GB2312"/>
          <w:bCs/>
          <w:kern w:val="0"/>
          <w:sz w:val="32"/>
          <w:szCs w:val="32"/>
        </w:rPr>
        <w:t>万元。其中：公务用</w:t>
      </w:r>
      <w:r>
        <w:rPr>
          <w:rFonts w:hint="eastAsia" w:ascii="仿宋_GB2312" w:eastAsia="仿宋_GB2312" w:cs="仿宋_GB2312"/>
          <w:bCs/>
          <w:kern w:val="0"/>
          <w:sz w:val="32"/>
          <w:szCs w:val="32"/>
          <w:highlight w:val="none"/>
        </w:rPr>
        <w:t>车购置支出为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万元。公务用车运行支出</w:t>
      </w:r>
      <w:r>
        <w:rPr>
          <w:rFonts w:hint="eastAsia" w:ascii="仿宋_GB2312" w:eastAsia="仿宋_GB2312" w:cs="仿宋_GB2312"/>
          <w:bCs/>
          <w:kern w:val="0"/>
          <w:sz w:val="32"/>
          <w:szCs w:val="32"/>
          <w:highlight w:val="none"/>
          <w:lang w:val="en-US" w:eastAsia="zh-CN"/>
        </w:rPr>
        <w:t>1.73</w:t>
      </w:r>
      <w:r>
        <w:rPr>
          <w:rFonts w:hint="eastAsia" w:ascii="仿宋_GB2312" w:eastAsia="仿宋_GB2312" w:cs="仿宋_GB2312"/>
          <w:bCs/>
          <w:kern w:val="0"/>
          <w:sz w:val="32"/>
          <w:szCs w:val="32"/>
          <w:highlight w:val="none"/>
        </w:rPr>
        <w:t>万元。主要用于</w:t>
      </w:r>
      <w:r>
        <w:rPr>
          <w:rFonts w:hint="eastAsia" w:ascii="仿宋_GB2312" w:eastAsia="仿宋_GB2312" w:cs="仿宋_GB2312"/>
          <w:bCs/>
          <w:kern w:val="0"/>
          <w:sz w:val="32"/>
          <w:szCs w:val="32"/>
          <w:highlight w:val="none"/>
          <w:lang w:val="en-US" w:eastAsia="zh-CN"/>
        </w:rPr>
        <w:t>车辆的</w:t>
      </w:r>
      <w:r>
        <w:rPr>
          <w:rFonts w:hint="eastAsia" w:ascii="Times New Roman" w:hAnsi="Times New Roman" w:eastAsia="仿宋_GB2312" w:cs="Times New Roman"/>
          <w:color w:val="000000"/>
          <w:sz w:val="32"/>
          <w:szCs w:val="32"/>
          <w:highlight w:val="none"/>
        </w:rPr>
        <w:t>检修费</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油费、校车维护费和车险费用等</w:t>
      </w:r>
      <w:r>
        <w:rPr>
          <w:rFonts w:hint="eastAsia" w:ascii="仿宋_GB2312" w:eastAsia="仿宋_GB2312" w:cs="仿宋_GB2312"/>
          <w:bCs/>
          <w:kern w:val="0"/>
          <w:sz w:val="32"/>
          <w:szCs w:val="32"/>
          <w:highlight w:val="none"/>
        </w:rPr>
        <w:t>。2020年，单位开支财政拨款的公务用车保有量为</w:t>
      </w:r>
      <w:r>
        <w:rPr>
          <w:rFonts w:hint="eastAsia" w:ascii="仿宋_GB2312" w:eastAsia="仿宋_GB2312" w:cs="仿宋_GB2312"/>
          <w:bCs/>
          <w:kern w:val="0"/>
          <w:sz w:val="32"/>
          <w:szCs w:val="32"/>
          <w:highlight w:val="none"/>
          <w:lang w:val="en-US" w:eastAsia="zh-CN"/>
        </w:rPr>
        <w:t>1</w:t>
      </w:r>
      <w:r>
        <w:rPr>
          <w:rFonts w:hint="eastAsia" w:ascii="仿宋_GB2312" w:eastAsia="仿宋_GB2312" w:cs="仿宋_GB2312"/>
          <w:bCs/>
          <w:kern w:val="0"/>
          <w:sz w:val="32"/>
          <w:szCs w:val="32"/>
          <w:highlight w:val="none"/>
        </w:rPr>
        <w:t>辆。</w:t>
      </w:r>
    </w:p>
    <w:p>
      <w:pPr>
        <w:numPr>
          <w:ilvl w:val="0"/>
          <w:numId w:val="0"/>
        </w:num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numPr>
          <w:ilvl w:val="0"/>
          <w:numId w:val="0"/>
        </w:numPr>
        <w:autoSpaceDE w:val="0"/>
        <w:autoSpaceDN w:val="0"/>
        <w:adjustRightInd w:val="0"/>
        <w:spacing w:line="58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2020年度政府性基金预算财政拨款收入支出决算情况说明</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lang w:val="en-US" w:eastAsia="zh-CN"/>
        </w:rPr>
        <w:t>本单位</w:t>
      </w:r>
      <w:r>
        <w:rPr>
          <w:rFonts w:hint="eastAsia" w:ascii="仿宋_GB2312" w:eastAsia="仿宋_GB2312" w:cs="仿宋_GB2312"/>
          <w:b w:val="0"/>
          <w:bCs/>
          <w:kern w:val="0"/>
          <w:sz w:val="32"/>
          <w:szCs w:val="32"/>
        </w:rPr>
        <w:t>202</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年度没有政府性基金收入，也没有政府性基金安排的支出，故无数据情况说明。</w:t>
      </w:r>
    </w:p>
    <w:p>
      <w:pPr>
        <w:numPr>
          <w:ilvl w:val="0"/>
          <w:numId w:val="3"/>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Times New Roman"/>
          <w:b w:val="0"/>
          <w:bCs/>
          <w:kern w:val="0"/>
          <w:sz w:val="32"/>
          <w:szCs w:val="32"/>
          <w:lang w:eastAsia="zh-CN"/>
        </w:rPr>
        <w:t>本单位</w:t>
      </w:r>
      <w:r>
        <w:rPr>
          <w:rFonts w:hint="eastAsia" w:ascii="仿宋_GB2312" w:eastAsia="仿宋_GB2312" w:cs="Times New Roman"/>
          <w:b w:val="0"/>
          <w:bCs/>
          <w:kern w:val="0"/>
          <w:sz w:val="32"/>
          <w:szCs w:val="32"/>
        </w:rPr>
        <w:t>202</w:t>
      </w:r>
      <w:r>
        <w:rPr>
          <w:rFonts w:hint="eastAsia" w:ascii="仿宋_GB2312" w:eastAsia="仿宋_GB2312" w:cs="Times New Roman"/>
          <w:b w:val="0"/>
          <w:bCs/>
          <w:kern w:val="0"/>
          <w:sz w:val="32"/>
          <w:szCs w:val="32"/>
          <w:lang w:val="en-US" w:eastAsia="zh-CN"/>
        </w:rPr>
        <w:t>0</w:t>
      </w:r>
      <w:r>
        <w:rPr>
          <w:rFonts w:hint="eastAsia" w:ascii="仿宋_GB2312" w:eastAsia="仿宋_GB2312" w:cs="Times New Roman"/>
          <w:b w:val="0"/>
          <w:bCs/>
          <w:kern w:val="0"/>
          <w:sz w:val="32"/>
          <w:szCs w:val="32"/>
        </w:rPr>
        <w:t>年度没有</w:t>
      </w:r>
      <w:r>
        <w:rPr>
          <w:rFonts w:hint="eastAsia" w:ascii="仿宋_GB2312" w:eastAsia="仿宋_GB2312"/>
          <w:b w:val="0"/>
          <w:bCs/>
          <w:kern w:val="0"/>
          <w:sz w:val="32"/>
          <w:szCs w:val="32"/>
        </w:rPr>
        <w:t>国有资本经营预算财政拨款</w:t>
      </w:r>
      <w:r>
        <w:rPr>
          <w:rFonts w:hint="eastAsia" w:ascii="仿宋_GB2312" w:eastAsia="仿宋_GB2312" w:cs="Times New Roman"/>
          <w:b w:val="0"/>
          <w:bCs/>
          <w:kern w:val="0"/>
          <w:sz w:val="32"/>
          <w:szCs w:val="32"/>
        </w:rPr>
        <w:t>收入，也没有</w:t>
      </w:r>
      <w:r>
        <w:rPr>
          <w:rFonts w:hint="eastAsia" w:ascii="仿宋_GB2312" w:eastAsia="仿宋_GB2312"/>
          <w:b w:val="0"/>
          <w:bCs/>
          <w:kern w:val="0"/>
          <w:sz w:val="32"/>
          <w:szCs w:val="32"/>
        </w:rPr>
        <w:t>国有资本经营预算财政拨款安排</w:t>
      </w:r>
      <w:r>
        <w:rPr>
          <w:rFonts w:hint="eastAsia" w:ascii="仿宋_GB2312" w:eastAsia="仿宋_GB2312" w:cs="Times New Roman"/>
          <w:b w:val="0"/>
          <w:bCs/>
          <w:kern w:val="0"/>
          <w:sz w:val="32"/>
          <w:szCs w:val="32"/>
        </w:rPr>
        <w:t>的支出，故无数据情况说明</w:t>
      </w:r>
      <w:r>
        <w:rPr>
          <w:rFonts w:hint="eastAsia" w:ascii="仿宋_GB2312" w:eastAsia="仿宋_GB2312" w:cs="Times New Roman"/>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eastAsia="仿宋_GB2312"/>
          <w:b/>
          <w:kern w:val="0"/>
          <w:sz w:val="32"/>
          <w:szCs w:val="32"/>
          <w:highlight w:val="none"/>
          <w:lang w:eastAsia="zh-CN"/>
        </w:rPr>
        <w:t>十、</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年度预算绩效情况说明</w:t>
      </w:r>
    </w:p>
    <w:p>
      <w:pPr>
        <w:numPr>
          <w:ilvl w:val="0"/>
          <w:numId w:val="4"/>
        </w:num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绩效管理工作开展情况</w:t>
      </w:r>
    </w:p>
    <w:p>
      <w:pPr>
        <w:autoSpaceDE w:val="0"/>
        <w:autoSpaceDN w:val="0"/>
        <w:adjustRightInd w:val="0"/>
        <w:spacing w:line="580" w:lineRule="exact"/>
        <w:jc w:val="left"/>
        <w:rPr>
          <w:rFonts w:hint="eastAsia" w:ascii="仿宋_GB2312" w:eastAsia="仿宋_GB2312" w:cs="仿宋_GB2312"/>
          <w:b/>
          <w:kern w:val="0"/>
          <w:sz w:val="32"/>
          <w:szCs w:val="32"/>
          <w:highlight w:val="none"/>
        </w:rPr>
      </w:pPr>
      <w:r>
        <w:rPr>
          <w:rFonts w:hint="eastAsia" w:ascii="仿宋_GB2312" w:eastAsia="仿宋_GB2312" w:cs="仿宋_GB2312"/>
          <w:bCs/>
          <w:kern w:val="0"/>
          <w:sz w:val="32"/>
          <w:szCs w:val="32"/>
          <w:highlight w:val="none"/>
        </w:rPr>
        <w:t xml:space="preserve">    根据财政预算管理要求，我</w:t>
      </w:r>
      <w:r>
        <w:rPr>
          <w:rFonts w:hint="eastAsia" w:ascii="仿宋_GB2312" w:eastAsia="仿宋_GB2312" w:cs="仿宋_GB2312"/>
          <w:bCs/>
          <w:kern w:val="0"/>
          <w:sz w:val="32"/>
          <w:szCs w:val="32"/>
          <w:highlight w:val="none"/>
          <w:lang w:eastAsia="zh-CN"/>
        </w:rPr>
        <w:t>单位</w:t>
      </w:r>
      <w:r>
        <w:rPr>
          <w:rFonts w:hint="eastAsia" w:ascii="仿宋_GB2312" w:eastAsia="仿宋_GB2312" w:cs="仿宋_GB2312"/>
          <w:bCs/>
          <w:kern w:val="0"/>
          <w:sz w:val="32"/>
          <w:szCs w:val="32"/>
          <w:highlight w:val="none"/>
        </w:rPr>
        <w:t>组织对2020年度一般公共预算项目支出全面开展绩效自评。涉及预算资金</w:t>
      </w:r>
      <w:r>
        <w:rPr>
          <w:rFonts w:hint="eastAsia" w:ascii="仿宋_GB2312" w:eastAsia="仿宋_GB2312" w:cs="仿宋_GB2312"/>
          <w:bCs/>
          <w:kern w:val="0"/>
          <w:sz w:val="32"/>
          <w:szCs w:val="32"/>
          <w:highlight w:val="none"/>
          <w:lang w:val="en-US" w:eastAsia="zh-CN"/>
        </w:rPr>
        <w:t>6132</w:t>
      </w:r>
      <w:r>
        <w:rPr>
          <w:rFonts w:hint="eastAsia" w:ascii="仿宋_GB2312" w:eastAsia="仿宋_GB2312" w:cs="仿宋_GB2312"/>
          <w:bCs/>
          <w:kern w:val="0"/>
          <w:sz w:val="32"/>
          <w:szCs w:val="32"/>
          <w:highlight w:val="none"/>
        </w:rPr>
        <w:t xml:space="preserve">万元，自评覆盖率达到 </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十</w:t>
      </w:r>
      <w:r>
        <w:rPr>
          <w:rFonts w:hint="eastAsia" w:ascii="仿宋_GB2312" w:eastAsia="仿宋_GB2312" w:cs="仿宋_GB2312"/>
          <w:b/>
          <w:kern w:val="0"/>
          <w:sz w:val="32"/>
          <w:szCs w:val="32"/>
          <w:highlight w:val="none"/>
          <w:lang w:eastAsia="zh-CN"/>
        </w:rPr>
        <w:t>一</w:t>
      </w:r>
      <w:r>
        <w:rPr>
          <w:rFonts w:hint="eastAsia" w:ascii="仿宋_GB2312" w:eastAsia="仿宋_GB2312" w:cs="仿宋_GB2312"/>
          <w:b/>
          <w:kern w:val="0"/>
          <w:sz w:val="32"/>
          <w:szCs w:val="32"/>
          <w:highlight w:val="none"/>
        </w:rPr>
        <w:t>、其他重要事项的情况</w:t>
      </w:r>
    </w:p>
    <w:p>
      <w:pPr>
        <w:autoSpaceDE w:val="0"/>
        <w:autoSpaceDN w:val="0"/>
        <w:adjustRightInd w:val="0"/>
        <w:spacing w:line="580" w:lineRule="exact"/>
        <w:ind w:firstLine="640" w:firstLineChars="200"/>
        <w:jc w:val="left"/>
        <w:rPr>
          <w:rFonts w:hint="default"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val="en-US" w:eastAsia="zh-CN"/>
        </w:rPr>
        <w:t>一</w:t>
      </w:r>
      <w:r>
        <w:rPr>
          <w:rFonts w:hint="eastAsia" w:ascii="仿宋_GB2312" w:eastAsia="仿宋_GB2312" w:cs="仿宋_GB2312"/>
          <w:kern w:val="0"/>
          <w:sz w:val="32"/>
          <w:szCs w:val="32"/>
          <w:highlight w:val="none"/>
        </w:rPr>
        <w:t>）机关运行经费支出情况</w:t>
      </w:r>
      <w:r>
        <w:rPr>
          <w:rFonts w:hint="eastAsia" w:ascii="仿宋_GB2312" w:eastAsia="仿宋_GB2312" w:cs="仿宋_GB2312"/>
          <w:kern w:val="0"/>
          <w:sz w:val="32"/>
          <w:szCs w:val="32"/>
          <w:highlight w:val="none"/>
          <w:lang w:eastAsia="zh-CN"/>
        </w:rPr>
        <w:t>。本单位</w:t>
      </w:r>
      <w:r>
        <w:rPr>
          <w:rFonts w:hint="eastAsia" w:ascii="仿宋_GB2312" w:eastAsia="仿宋_GB2312" w:cs="仿宋_GB2312"/>
          <w:kern w:val="0"/>
          <w:sz w:val="32"/>
          <w:szCs w:val="32"/>
          <w:highlight w:val="none"/>
          <w:lang w:val="en-US" w:eastAsia="zh-CN"/>
        </w:rPr>
        <w:t>2020年度没有机关运行经费收入，也没有机关运行经费安排的支出，故无数据情况说明。</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二</w:t>
      </w:r>
      <w:r>
        <w:rPr>
          <w:rFonts w:hint="eastAsia" w:ascii="仿宋_GB2312" w:eastAsia="仿宋_GB2312" w:cs="仿宋_GB2312"/>
          <w:kern w:val="0"/>
          <w:sz w:val="32"/>
          <w:szCs w:val="32"/>
          <w:highlight w:val="none"/>
        </w:rPr>
        <w:t>）政府采购支出情况。2020年度</w:t>
      </w:r>
      <w:r>
        <w:rPr>
          <w:rFonts w:hint="eastAsia" w:ascii="仿宋_GB2312" w:eastAsia="仿宋_GB2312" w:cs="仿宋_GB2312"/>
          <w:kern w:val="0"/>
          <w:sz w:val="32"/>
          <w:szCs w:val="32"/>
          <w:highlight w:val="none"/>
          <w:lang w:val="en-US" w:eastAsia="zh-CN"/>
        </w:rPr>
        <w:t>单位</w:t>
      </w:r>
      <w:r>
        <w:rPr>
          <w:rFonts w:hint="eastAsia" w:ascii="仿宋_GB2312" w:eastAsia="仿宋_GB2312" w:cs="仿宋_GB2312"/>
          <w:kern w:val="0"/>
          <w:sz w:val="32"/>
          <w:szCs w:val="32"/>
          <w:highlight w:val="none"/>
        </w:rPr>
        <w:t>政府采购支出总额</w:t>
      </w:r>
      <w:r>
        <w:rPr>
          <w:rFonts w:hint="eastAsia" w:ascii="仿宋_GB2312" w:eastAsia="仿宋_GB2312"/>
          <w:sz w:val="28"/>
          <w:szCs w:val="28"/>
          <w:highlight w:val="none"/>
          <w:lang w:val="en-US" w:eastAsia="zh-CN"/>
        </w:rPr>
        <w:t>97.87</w:t>
      </w:r>
      <w:r>
        <w:rPr>
          <w:rFonts w:hint="eastAsia" w:ascii="仿宋_GB2312" w:eastAsia="仿宋_GB2312" w:cs="仿宋_GB2312"/>
          <w:kern w:val="0"/>
          <w:sz w:val="32"/>
          <w:szCs w:val="32"/>
          <w:highlight w:val="none"/>
        </w:rPr>
        <w:t>万元，其中：货物支出</w:t>
      </w:r>
      <w:r>
        <w:rPr>
          <w:rFonts w:hint="eastAsia" w:ascii="仿宋_GB2312" w:eastAsia="仿宋_GB2312"/>
          <w:sz w:val="28"/>
          <w:szCs w:val="28"/>
          <w:highlight w:val="none"/>
          <w:lang w:val="en-US" w:eastAsia="zh-CN"/>
        </w:rPr>
        <w:t>97.87</w:t>
      </w:r>
      <w:r>
        <w:rPr>
          <w:rFonts w:hint="eastAsia" w:ascii="仿宋_GB2312" w:eastAsia="仿宋_GB2312" w:cs="仿宋_GB2312"/>
          <w:kern w:val="0"/>
          <w:sz w:val="32"/>
          <w:szCs w:val="32"/>
          <w:highlight w:val="none"/>
        </w:rPr>
        <w:t>万元。</w:t>
      </w:r>
    </w:p>
    <w:p>
      <w:pPr>
        <w:autoSpaceDE w:val="0"/>
        <w:autoSpaceDN w:val="0"/>
        <w:adjustRightInd w:val="0"/>
        <w:spacing w:line="580" w:lineRule="exact"/>
        <w:ind w:firstLine="627" w:firstLineChars="196"/>
        <w:jc w:val="left"/>
        <w:rPr>
          <w:rFonts w:hint="eastAsia" w:ascii="仿宋_GB2312" w:eastAsia="仿宋_GB2312"/>
          <w:b/>
          <w:sz w:val="32"/>
          <w:szCs w:val="32"/>
          <w:highlight w:val="none"/>
        </w:rPr>
      </w:pP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val="en-US" w:eastAsia="zh-CN"/>
        </w:rPr>
        <w:t>三</w:t>
      </w:r>
      <w:r>
        <w:rPr>
          <w:rFonts w:hint="eastAsia" w:ascii="仿宋_GB2312" w:eastAsia="仿宋_GB2312" w:cs="仿宋_GB2312"/>
          <w:kern w:val="0"/>
          <w:sz w:val="32"/>
          <w:szCs w:val="32"/>
          <w:highlight w:val="none"/>
        </w:rPr>
        <w:t>）国有资产占用情况。截至年末</w:t>
      </w:r>
      <w:r>
        <w:rPr>
          <w:rFonts w:hint="eastAsia" w:ascii="仿宋_GB2312" w:eastAsia="仿宋_GB2312" w:cs="仿宋_GB2312"/>
          <w:kern w:val="0"/>
          <w:sz w:val="32"/>
          <w:szCs w:val="32"/>
          <w:highlight w:val="none"/>
          <w:lang w:val="en-US" w:eastAsia="zh-CN"/>
        </w:rPr>
        <w:t>单位</w:t>
      </w:r>
      <w:r>
        <w:rPr>
          <w:rFonts w:hint="eastAsia" w:ascii="仿宋_GB2312" w:eastAsia="仿宋_GB2312" w:cs="仿宋_GB2312"/>
          <w:kern w:val="0"/>
          <w:sz w:val="32"/>
          <w:szCs w:val="32"/>
          <w:highlight w:val="none"/>
        </w:rPr>
        <w:t>共有车辆</w:t>
      </w:r>
      <w:r>
        <w:rPr>
          <w:rFonts w:hint="eastAsia" w:ascii="仿宋_GB2312" w:eastAsia="仿宋_GB2312" w:cs="仿宋_GB2312"/>
          <w:kern w:val="0"/>
          <w:sz w:val="32"/>
          <w:szCs w:val="32"/>
          <w:highlight w:val="none"/>
          <w:lang w:val="en-US" w:eastAsia="zh-CN"/>
        </w:rPr>
        <w:t>1</w:t>
      </w:r>
      <w:r>
        <w:rPr>
          <w:rFonts w:hint="eastAsia" w:ascii="仿宋_GB2312" w:eastAsia="仿宋_GB2312" w:cs="仿宋_GB2312"/>
          <w:kern w:val="0"/>
          <w:sz w:val="32"/>
          <w:szCs w:val="32"/>
          <w:highlight w:val="none"/>
        </w:rPr>
        <w:t>辆，其中：公务用车</w:t>
      </w:r>
      <w:r>
        <w:rPr>
          <w:rFonts w:hint="eastAsia" w:ascii="仿宋_GB2312" w:eastAsia="仿宋_GB2312" w:cs="仿宋_GB2312"/>
          <w:kern w:val="0"/>
          <w:sz w:val="32"/>
          <w:szCs w:val="32"/>
          <w:highlight w:val="none"/>
          <w:lang w:val="en-US" w:eastAsia="zh-CN"/>
        </w:rPr>
        <w:t>1</w:t>
      </w:r>
      <w:r>
        <w:rPr>
          <w:rFonts w:hint="eastAsia" w:ascii="仿宋_GB2312" w:eastAsia="仿宋_GB2312" w:cs="仿宋_GB2312"/>
          <w:kern w:val="0"/>
          <w:sz w:val="32"/>
          <w:szCs w:val="32"/>
          <w:highlight w:val="none"/>
        </w:rPr>
        <w:t>辆；单价50万元以上通用设备</w:t>
      </w:r>
      <w:r>
        <w:rPr>
          <w:rFonts w:hint="eastAsia" w:ascii="仿宋_GB2312" w:eastAsia="仿宋_GB2312" w:cs="仿宋_GB2312"/>
          <w:kern w:val="0"/>
          <w:sz w:val="32"/>
          <w:szCs w:val="32"/>
          <w:highlight w:val="none"/>
          <w:lang w:val="en-US" w:eastAsia="zh-CN"/>
        </w:rPr>
        <w:t>15</w:t>
      </w:r>
      <w:r>
        <w:rPr>
          <w:rFonts w:hint="eastAsia" w:ascii="仿宋_GB2312" w:eastAsia="仿宋_GB2312" w:cs="仿宋_GB2312"/>
          <w:kern w:val="0"/>
          <w:sz w:val="32"/>
          <w:szCs w:val="32"/>
          <w:highlight w:val="none"/>
        </w:rPr>
        <w:t>台（套），单价100万元以上专用设备</w:t>
      </w:r>
      <w:r>
        <w:rPr>
          <w:rFonts w:hint="eastAsia" w:ascii="仿宋_GB2312" w:eastAsia="仿宋_GB2312" w:cs="仿宋_GB2312"/>
          <w:kern w:val="0"/>
          <w:sz w:val="32"/>
          <w:szCs w:val="32"/>
          <w:highlight w:val="none"/>
          <w:lang w:val="en-US" w:eastAsia="zh-CN"/>
        </w:rPr>
        <w:t>1</w:t>
      </w:r>
      <w:r>
        <w:rPr>
          <w:rFonts w:hint="eastAsia" w:ascii="仿宋_GB2312" w:eastAsia="仿宋_GB2312" w:cs="仿宋_GB2312"/>
          <w:kern w:val="0"/>
          <w:sz w:val="32"/>
          <w:szCs w:val="32"/>
          <w:highlight w:val="none"/>
        </w:rPr>
        <w:t>台（套）。</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5"/>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5"/>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0"/>
        </w:numPr>
        <w:spacing w:line="580" w:lineRule="exact"/>
        <w:ind w:firstLine="640" w:firstLineChars="200"/>
        <w:rPr>
          <w:rFonts w:ascii="仿宋_GB2312" w:eastAsia="仿宋_GB2312"/>
          <w:bCs/>
          <w:sz w:val="32"/>
          <w:szCs w:val="32"/>
          <w:highlight w:val="yellow"/>
        </w:rPr>
      </w:pPr>
      <w:r>
        <w:rPr>
          <w:rFonts w:hint="eastAsia" w:ascii="仿宋_GB2312" w:eastAsia="仿宋_GB2312"/>
          <w:bCs/>
          <w:sz w:val="32"/>
          <w:szCs w:val="32"/>
          <w:lang w:val="en-US" w:eastAsia="zh-CN"/>
        </w:rPr>
        <w:t>十二、</w:t>
      </w: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MingLiU">
    <w:altName w:val="QIJIFALLBACK"/>
    <w:panose1 w:val="02020509000000000000"/>
    <w:charset w:val="88"/>
    <w:family w:val="modern"/>
    <w:pitch w:val="default"/>
    <w:sig w:usb0="00000000" w:usb1="00000000" w:usb2="00000016" w:usb3="00000000" w:csb0="00100001" w:csb1="00000000"/>
  </w:font>
  <w:font w:name="QIJIFALLBACK">
    <w:panose1 w:val="02000509000000000000"/>
    <w:charset w:val="88"/>
    <w:family w:val="auto"/>
    <w:pitch w:val="default"/>
    <w:sig w:usb0="00000000" w:usb1="08000000" w:usb2="00000000" w:usb3="00000000" w:csb0="0010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CF067734"/>
    <w:multiLevelType w:val="singleLevel"/>
    <w:tmpl w:val="CF067734"/>
    <w:lvl w:ilvl="0" w:tentative="0">
      <w:start w:val="2"/>
      <w:numFmt w:val="chineseCounting"/>
      <w:suff w:val="nothing"/>
      <w:lvlText w:val="（%1）"/>
      <w:lvlJc w:val="left"/>
      <w:rPr>
        <w:rFonts w:hint="eastAsia"/>
      </w:rPr>
    </w:lvl>
  </w:abstractNum>
  <w:abstractNum w:abstractNumId="2">
    <w:nsid w:val="335400A9"/>
    <w:multiLevelType w:val="singleLevel"/>
    <w:tmpl w:val="335400A9"/>
    <w:lvl w:ilvl="0" w:tentative="0">
      <w:start w:val="2"/>
      <w:numFmt w:val="chineseCounting"/>
      <w:suff w:val="nothing"/>
      <w:lvlText w:val="（%1）"/>
      <w:lvlJc w:val="left"/>
      <w:rPr>
        <w:rFonts w:hint="eastAsia"/>
      </w:rPr>
    </w:lvl>
  </w:abstractNum>
  <w:abstractNum w:abstractNumId="3">
    <w:nsid w:val="5B3C894F"/>
    <w:multiLevelType w:val="singleLevel"/>
    <w:tmpl w:val="5B3C894F"/>
    <w:lvl w:ilvl="0" w:tentative="0">
      <w:start w:val="1"/>
      <w:numFmt w:val="chineseCounting"/>
      <w:suff w:val="nothing"/>
      <w:lvlText w:val="（%1）"/>
      <w:lvlJc w:val="left"/>
    </w:lvl>
  </w:abstractNum>
  <w:abstractNum w:abstractNumId="4">
    <w:nsid w:val="5B3C8BA7"/>
    <w:multiLevelType w:val="singleLevel"/>
    <w:tmpl w:val="5B3C8BA7"/>
    <w:lvl w:ilvl="0" w:tentative="0">
      <w:start w:val="1"/>
      <w:numFmt w:val="chineseCounting"/>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1A1564"/>
    <w:rsid w:val="00457A32"/>
    <w:rsid w:val="006C1367"/>
    <w:rsid w:val="00715385"/>
    <w:rsid w:val="00966377"/>
    <w:rsid w:val="00F66C5B"/>
    <w:rsid w:val="021B47D2"/>
    <w:rsid w:val="0265463D"/>
    <w:rsid w:val="0390349E"/>
    <w:rsid w:val="03A079A8"/>
    <w:rsid w:val="03C253AD"/>
    <w:rsid w:val="044D6496"/>
    <w:rsid w:val="05311BF2"/>
    <w:rsid w:val="056D31A1"/>
    <w:rsid w:val="05E3477D"/>
    <w:rsid w:val="069C220B"/>
    <w:rsid w:val="075C09C2"/>
    <w:rsid w:val="075E2AE3"/>
    <w:rsid w:val="0798707E"/>
    <w:rsid w:val="07B668AD"/>
    <w:rsid w:val="07E55BD8"/>
    <w:rsid w:val="08047A45"/>
    <w:rsid w:val="08240394"/>
    <w:rsid w:val="08427DD7"/>
    <w:rsid w:val="0849206F"/>
    <w:rsid w:val="08942DB1"/>
    <w:rsid w:val="08A45A75"/>
    <w:rsid w:val="08FD1FDF"/>
    <w:rsid w:val="09164C52"/>
    <w:rsid w:val="098419D3"/>
    <w:rsid w:val="09E43757"/>
    <w:rsid w:val="0A702613"/>
    <w:rsid w:val="0B4E1007"/>
    <w:rsid w:val="0BA42523"/>
    <w:rsid w:val="0C057969"/>
    <w:rsid w:val="0C8A6D8F"/>
    <w:rsid w:val="0D090950"/>
    <w:rsid w:val="0D096590"/>
    <w:rsid w:val="0D0C3E80"/>
    <w:rsid w:val="0D482BFD"/>
    <w:rsid w:val="0D7D6A72"/>
    <w:rsid w:val="0DA86951"/>
    <w:rsid w:val="0DA877A1"/>
    <w:rsid w:val="0DEE59FB"/>
    <w:rsid w:val="0E074DDF"/>
    <w:rsid w:val="0E0A4F28"/>
    <w:rsid w:val="0E6C296B"/>
    <w:rsid w:val="0F3D33C4"/>
    <w:rsid w:val="0F756C89"/>
    <w:rsid w:val="0FA05C19"/>
    <w:rsid w:val="0FCF112C"/>
    <w:rsid w:val="10777194"/>
    <w:rsid w:val="107A77AE"/>
    <w:rsid w:val="10D14E53"/>
    <w:rsid w:val="120133EB"/>
    <w:rsid w:val="123C3860"/>
    <w:rsid w:val="124204B5"/>
    <w:rsid w:val="132E2F9A"/>
    <w:rsid w:val="13BC60CF"/>
    <w:rsid w:val="140D1992"/>
    <w:rsid w:val="14437FD4"/>
    <w:rsid w:val="14595F20"/>
    <w:rsid w:val="14C5458F"/>
    <w:rsid w:val="15423ED5"/>
    <w:rsid w:val="159B49A4"/>
    <w:rsid w:val="15A201CE"/>
    <w:rsid w:val="15E4325D"/>
    <w:rsid w:val="16024F0D"/>
    <w:rsid w:val="160E2B87"/>
    <w:rsid w:val="167433A2"/>
    <w:rsid w:val="16C25078"/>
    <w:rsid w:val="16D130C8"/>
    <w:rsid w:val="17422740"/>
    <w:rsid w:val="175A538A"/>
    <w:rsid w:val="182962AB"/>
    <w:rsid w:val="18434769"/>
    <w:rsid w:val="19096B9B"/>
    <w:rsid w:val="1912748E"/>
    <w:rsid w:val="19142DC2"/>
    <w:rsid w:val="191F6E8F"/>
    <w:rsid w:val="193463F1"/>
    <w:rsid w:val="19546E0E"/>
    <w:rsid w:val="19D073EB"/>
    <w:rsid w:val="19DF011F"/>
    <w:rsid w:val="1A7969F6"/>
    <w:rsid w:val="1AF66C59"/>
    <w:rsid w:val="1B4A3070"/>
    <w:rsid w:val="1B975897"/>
    <w:rsid w:val="1BE44302"/>
    <w:rsid w:val="1C1727DD"/>
    <w:rsid w:val="1CC31F67"/>
    <w:rsid w:val="1CDB591F"/>
    <w:rsid w:val="1CDB656B"/>
    <w:rsid w:val="1D010590"/>
    <w:rsid w:val="1D8B3B18"/>
    <w:rsid w:val="1E390936"/>
    <w:rsid w:val="1F3D367C"/>
    <w:rsid w:val="1F433377"/>
    <w:rsid w:val="1F6B7A2B"/>
    <w:rsid w:val="1FAF67D1"/>
    <w:rsid w:val="20865C95"/>
    <w:rsid w:val="21AC2571"/>
    <w:rsid w:val="2229562C"/>
    <w:rsid w:val="225F1E7B"/>
    <w:rsid w:val="241F65C0"/>
    <w:rsid w:val="2461543F"/>
    <w:rsid w:val="24D337DC"/>
    <w:rsid w:val="24DD5BB9"/>
    <w:rsid w:val="25995D82"/>
    <w:rsid w:val="25D46EE4"/>
    <w:rsid w:val="262D39A8"/>
    <w:rsid w:val="26460DBA"/>
    <w:rsid w:val="26FD3922"/>
    <w:rsid w:val="276D1308"/>
    <w:rsid w:val="27BE1F44"/>
    <w:rsid w:val="28B56FD1"/>
    <w:rsid w:val="28F30F15"/>
    <w:rsid w:val="29261DC7"/>
    <w:rsid w:val="293963D2"/>
    <w:rsid w:val="293A2E37"/>
    <w:rsid w:val="295B464C"/>
    <w:rsid w:val="2A0A078A"/>
    <w:rsid w:val="2A1F3C1B"/>
    <w:rsid w:val="2ACD6890"/>
    <w:rsid w:val="2B255861"/>
    <w:rsid w:val="2B26193E"/>
    <w:rsid w:val="2B5B6FF8"/>
    <w:rsid w:val="2B677875"/>
    <w:rsid w:val="2B6F74EB"/>
    <w:rsid w:val="2BA24E7F"/>
    <w:rsid w:val="2BAC548D"/>
    <w:rsid w:val="2C210A56"/>
    <w:rsid w:val="2C2D70FA"/>
    <w:rsid w:val="2C4219FE"/>
    <w:rsid w:val="2D491BF5"/>
    <w:rsid w:val="2E14337B"/>
    <w:rsid w:val="2E496424"/>
    <w:rsid w:val="2E822A35"/>
    <w:rsid w:val="303969E7"/>
    <w:rsid w:val="30B62225"/>
    <w:rsid w:val="30C42D99"/>
    <w:rsid w:val="30DE1559"/>
    <w:rsid w:val="31803865"/>
    <w:rsid w:val="336816EA"/>
    <w:rsid w:val="33CF7E37"/>
    <w:rsid w:val="34020F86"/>
    <w:rsid w:val="341C19BE"/>
    <w:rsid w:val="346821C4"/>
    <w:rsid w:val="346E0EB9"/>
    <w:rsid w:val="34765968"/>
    <w:rsid w:val="352C7CB9"/>
    <w:rsid w:val="355C26B7"/>
    <w:rsid w:val="358F3272"/>
    <w:rsid w:val="359975E2"/>
    <w:rsid w:val="35AB6897"/>
    <w:rsid w:val="363E1B8D"/>
    <w:rsid w:val="36790000"/>
    <w:rsid w:val="36F45E28"/>
    <w:rsid w:val="3808126D"/>
    <w:rsid w:val="38277248"/>
    <w:rsid w:val="384E3BDF"/>
    <w:rsid w:val="39A33ABA"/>
    <w:rsid w:val="39A63F06"/>
    <w:rsid w:val="3A5B5BB7"/>
    <w:rsid w:val="3B260D65"/>
    <w:rsid w:val="3C0E7C25"/>
    <w:rsid w:val="3C4D6442"/>
    <w:rsid w:val="3D422C30"/>
    <w:rsid w:val="3D764F4A"/>
    <w:rsid w:val="3D827AD2"/>
    <w:rsid w:val="3DB07B54"/>
    <w:rsid w:val="3E2A07F8"/>
    <w:rsid w:val="3E59113E"/>
    <w:rsid w:val="3ED1439F"/>
    <w:rsid w:val="3F013161"/>
    <w:rsid w:val="3F216835"/>
    <w:rsid w:val="3F290F7A"/>
    <w:rsid w:val="3F4661E5"/>
    <w:rsid w:val="3F871138"/>
    <w:rsid w:val="3FA84476"/>
    <w:rsid w:val="3FB60E5A"/>
    <w:rsid w:val="406D291C"/>
    <w:rsid w:val="406E63B6"/>
    <w:rsid w:val="41BF2CE4"/>
    <w:rsid w:val="42ED2FE9"/>
    <w:rsid w:val="431E1908"/>
    <w:rsid w:val="433D174F"/>
    <w:rsid w:val="433D39B8"/>
    <w:rsid w:val="43B32A95"/>
    <w:rsid w:val="44500BF5"/>
    <w:rsid w:val="45051B2B"/>
    <w:rsid w:val="4599291F"/>
    <w:rsid w:val="46084BE7"/>
    <w:rsid w:val="466555FC"/>
    <w:rsid w:val="46A13B3C"/>
    <w:rsid w:val="46EB3E3F"/>
    <w:rsid w:val="471B1CED"/>
    <w:rsid w:val="47E02888"/>
    <w:rsid w:val="48374EDC"/>
    <w:rsid w:val="48842309"/>
    <w:rsid w:val="48CA5046"/>
    <w:rsid w:val="494467BC"/>
    <w:rsid w:val="494657D7"/>
    <w:rsid w:val="49574933"/>
    <w:rsid w:val="4B790178"/>
    <w:rsid w:val="4B81349E"/>
    <w:rsid w:val="4BBE00C8"/>
    <w:rsid w:val="4C256E3D"/>
    <w:rsid w:val="4C89592C"/>
    <w:rsid w:val="4CB52F0F"/>
    <w:rsid w:val="4CB621C1"/>
    <w:rsid w:val="4CBC4488"/>
    <w:rsid w:val="4DD26894"/>
    <w:rsid w:val="4DE82FF3"/>
    <w:rsid w:val="4E835D84"/>
    <w:rsid w:val="4FAA6172"/>
    <w:rsid w:val="4FC172D8"/>
    <w:rsid w:val="500A4AE3"/>
    <w:rsid w:val="50342417"/>
    <w:rsid w:val="507E1DFE"/>
    <w:rsid w:val="512533B3"/>
    <w:rsid w:val="51514DCB"/>
    <w:rsid w:val="527E6125"/>
    <w:rsid w:val="528700A1"/>
    <w:rsid w:val="52F74843"/>
    <w:rsid w:val="532F1F9A"/>
    <w:rsid w:val="53547ADE"/>
    <w:rsid w:val="53FF13C1"/>
    <w:rsid w:val="547F067E"/>
    <w:rsid w:val="54F15F90"/>
    <w:rsid w:val="55141030"/>
    <w:rsid w:val="553860F6"/>
    <w:rsid w:val="556C3AF2"/>
    <w:rsid w:val="55B53B11"/>
    <w:rsid w:val="56165547"/>
    <w:rsid w:val="561F7992"/>
    <w:rsid w:val="56370A97"/>
    <w:rsid w:val="56EF09E2"/>
    <w:rsid w:val="572469A2"/>
    <w:rsid w:val="57410433"/>
    <w:rsid w:val="57FA59DB"/>
    <w:rsid w:val="585A216B"/>
    <w:rsid w:val="59070EC1"/>
    <w:rsid w:val="594F6225"/>
    <w:rsid w:val="59DB5D38"/>
    <w:rsid w:val="5A2D32DB"/>
    <w:rsid w:val="5A3404D2"/>
    <w:rsid w:val="5A470AF8"/>
    <w:rsid w:val="5A701415"/>
    <w:rsid w:val="5B1244D8"/>
    <w:rsid w:val="5B146873"/>
    <w:rsid w:val="5B7B4C9B"/>
    <w:rsid w:val="5B9E69ED"/>
    <w:rsid w:val="5C2950C1"/>
    <w:rsid w:val="5CB34EE8"/>
    <w:rsid w:val="5CCD59AA"/>
    <w:rsid w:val="5DFE7EA5"/>
    <w:rsid w:val="5E626A4F"/>
    <w:rsid w:val="5E8E2391"/>
    <w:rsid w:val="5E995A3E"/>
    <w:rsid w:val="5EB93225"/>
    <w:rsid w:val="5F350494"/>
    <w:rsid w:val="5F4E4456"/>
    <w:rsid w:val="5FE45562"/>
    <w:rsid w:val="607E12CC"/>
    <w:rsid w:val="60E0409A"/>
    <w:rsid w:val="61BC0530"/>
    <w:rsid w:val="62163194"/>
    <w:rsid w:val="624D024D"/>
    <w:rsid w:val="62587F09"/>
    <w:rsid w:val="63407B6C"/>
    <w:rsid w:val="63763248"/>
    <w:rsid w:val="63CD55A8"/>
    <w:rsid w:val="63D05F9A"/>
    <w:rsid w:val="63F65C05"/>
    <w:rsid w:val="64F1377B"/>
    <w:rsid w:val="65093E08"/>
    <w:rsid w:val="650E086A"/>
    <w:rsid w:val="653F0F97"/>
    <w:rsid w:val="65D9654B"/>
    <w:rsid w:val="66890CF4"/>
    <w:rsid w:val="66A041D2"/>
    <w:rsid w:val="66B6414F"/>
    <w:rsid w:val="66ED3FE6"/>
    <w:rsid w:val="671D450A"/>
    <w:rsid w:val="679C42AF"/>
    <w:rsid w:val="68056C6F"/>
    <w:rsid w:val="6834332D"/>
    <w:rsid w:val="68AE2C4C"/>
    <w:rsid w:val="68D60830"/>
    <w:rsid w:val="68E56079"/>
    <w:rsid w:val="69564FCD"/>
    <w:rsid w:val="696E179B"/>
    <w:rsid w:val="69903DF7"/>
    <w:rsid w:val="6A212E80"/>
    <w:rsid w:val="6A6156A8"/>
    <w:rsid w:val="6B0746C8"/>
    <w:rsid w:val="6B917EB2"/>
    <w:rsid w:val="6BAA0708"/>
    <w:rsid w:val="6C6E25EA"/>
    <w:rsid w:val="6D85492B"/>
    <w:rsid w:val="6E353162"/>
    <w:rsid w:val="6E9A54D2"/>
    <w:rsid w:val="6EE0660F"/>
    <w:rsid w:val="6F477E94"/>
    <w:rsid w:val="6F7C1A86"/>
    <w:rsid w:val="6F9E6DA4"/>
    <w:rsid w:val="6FA60633"/>
    <w:rsid w:val="7018292E"/>
    <w:rsid w:val="719B7721"/>
    <w:rsid w:val="72063A4D"/>
    <w:rsid w:val="72FE31DC"/>
    <w:rsid w:val="74054642"/>
    <w:rsid w:val="745D4662"/>
    <w:rsid w:val="74AE2BD8"/>
    <w:rsid w:val="74CF6C46"/>
    <w:rsid w:val="757B2C9C"/>
    <w:rsid w:val="75CC1203"/>
    <w:rsid w:val="75E56FEE"/>
    <w:rsid w:val="768B443F"/>
    <w:rsid w:val="769D4AE5"/>
    <w:rsid w:val="77B16D14"/>
    <w:rsid w:val="77CA173A"/>
    <w:rsid w:val="77DC0FE3"/>
    <w:rsid w:val="784D6AB1"/>
    <w:rsid w:val="78721D9E"/>
    <w:rsid w:val="787E56F8"/>
    <w:rsid w:val="79694504"/>
    <w:rsid w:val="797228C3"/>
    <w:rsid w:val="79BB71B5"/>
    <w:rsid w:val="79F3222F"/>
    <w:rsid w:val="7A141CAD"/>
    <w:rsid w:val="7B027FD1"/>
    <w:rsid w:val="7B1E2C7A"/>
    <w:rsid w:val="7B3F068D"/>
    <w:rsid w:val="7B4316BF"/>
    <w:rsid w:val="7B6B7B59"/>
    <w:rsid w:val="7C2C3249"/>
    <w:rsid w:val="7CA450FB"/>
    <w:rsid w:val="7D0522EA"/>
    <w:rsid w:val="7D1962BA"/>
    <w:rsid w:val="7E323067"/>
    <w:rsid w:val="7EA65D0A"/>
    <w:rsid w:val="7FB4079F"/>
    <w:rsid w:val="7FEF1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6143</Words>
  <Characters>8029</Characters>
  <Lines>60</Lines>
  <Paragraphs>17</Paragraphs>
  <TotalTime>7</TotalTime>
  <ScaleCrop>false</ScaleCrop>
  <LinksUpToDate>false</LinksUpToDate>
  <CharactersWithSpaces>8073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2021-07-07T01:10:00Z</cp:lastPrinted>
  <dcterms:modified xsi:type="dcterms:W3CDTF">2022-10-12T07:58:08Z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2F38EFFF79A54E7ABC16D882EC2F3A73</vt:lpwstr>
  </property>
</Properties>
</file>