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lang w:eastAsia="zh-CN"/>
        </w:rPr>
        <w:t>柳州白莲洞洞穴科学博物馆</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柳州白莲洞洞穴科学博物馆</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柳州白莲洞洞穴科学博物馆</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柳州白莲洞洞穴科学博物馆</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柳州白莲洞洞穴科学博物馆</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highlight w:val="none"/>
          <w:u w:val="none"/>
          <w:lang w:eastAsia="zh-CN"/>
        </w:rPr>
        <w:t>（</w:t>
      </w:r>
      <w:r>
        <w:rPr>
          <w:rFonts w:hint="eastAsia" w:ascii="仿宋_GB2312" w:hAnsi="仿宋_GB2312" w:eastAsia="仿宋_GB2312" w:cs="仿宋_GB2312"/>
          <w:b w:val="0"/>
          <w:bCs w:val="0"/>
          <w:color w:val="auto"/>
          <w:sz w:val="32"/>
          <w:highlight w:val="none"/>
          <w:u w:val="none"/>
          <w:lang w:val="en-US" w:eastAsia="zh-CN"/>
        </w:rPr>
        <w:t>1</w:t>
      </w:r>
      <w:r>
        <w:rPr>
          <w:rFonts w:hint="eastAsia" w:ascii="仿宋_GB2312" w:hAnsi="仿宋_GB2312" w:eastAsia="仿宋_GB2312" w:cs="仿宋_GB2312"/>
          <w:b w:val="0"/>
          <w:bCs w:val="0"/>
          <w:color w:val="auto"/>
          <w:sz w:val="32"/>
          <w:highlight w:val="none"/>
          <w:u w:val="none"/>
          <w:lang w:eastAsia="zh-CN"/>
        </w:rPr>
        <w:t>）贯彻落实中央、自治区、柳州市关于爱国主义教育、文物保护和博物馆事业的法律法规和方针政策。</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szCs w:val="22"/>
          <w:highlight w:val="none"/>
          <w:u w:val="none"/>
          <w:lang w:val="en-US" w:eastAsia="zh-CN"/>
        </w:rPr>
        <w:t>2</w:t>
      </w:r>
      <w:r>
        <w:rPr>
          <w:rFonts w:hint="eastAsia" w:ascii="仿宋_GB2312" w:hAnsi="仿宋_GB2312" w:eastAsia="仿宋_GB2312" w:cs="仿宋_GB2312"/>
          <w:b w:val="0"/>
          <w:bCs w:val="0"/>
          <w:color w:val="auto"/>
          <w:sz w:val="32"/>
          <w:szCs w:val="22"/>
          <w:highlight w:val="none"/>
          <w:u w:val="none"/>
          <w:lang w:eastAsia="zh-CN"/>
        </w:rPr>
        <w:t>）</w:t>
      </w:r>
      <w:r>
        <w:rPr>
          <w:rFonts w:hint="eastAsia" w:ascii="仿宋_GB2312" w:hAnsi="仿宋_GB2312" w:eastAsia="仿宋_GB2312" w:cs="仿宋_GB2312"/>
          <w:b w:val="0"/>
          <w:bCs w:val="0"/>
          <w:color w:val="auto"/>
          <w:sz w:val="32"/>
          <w:highlight w:val="none"/>
          <w:u w:val="none"/>
          <w:lang w:eastAsia="zh-CN"/>
        </w:rPr>
        <w:t>负责史前文物、古生物化石、自然类标本的征集、修复及各类藏品的保护和管理，负责陈列展览策划、设计、布展和日常管理工作，组织开展临时展览引进和交流合作项目。</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highlight w:val="none"/>
          <w:u w:val="none"/>
          <w:lang w:eastAsia="zh-CN"/>
        </w:rPr>
        <w:t>(三)负责公众接待，组织开展科普宣传教育、文化惠民活动、志愿者培训管理以及博物馆形象推介工作，发挥博物馆功能满足公众精神文化需求，提高公众思想道德和科学文化素质。负责爱国主义教育基地、研学活动中心的申报和管理。</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highlight w:val="none"/>
          <w:u w:val="none"/>
          <w:lang w:eastAsia="zh-CN"/>
        </w:rPr>
        <w:t>(四)组织开展史前文化遗产的咨询服务和文创产品的研发工作。承担相关文物调查、考古发掘、图书报告及科学项目研究工作，组织开展国内外学术交流活动。</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highlight w:val="none"/>
          <w:u w:val="none"/>
          <w:lang w:eastAsia="zh-CN"/>
        </w:rPr>
        <w:t>(五)负责白莲洞洞穴科学博物馆(含综合陈列楼、园区、洞穴地质景观)、鲤鱼嘴遗址保护展示中心、柳江人遗址的安全管理、对外开放工作。负责鹿谷岭遗址、都乐洞穴遗址群、响水遗址、兰家村遗址等市辖区史前遗址的研究、保护和管理工作</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highlight w:val="none"/>
          <w:u w:val="none"/>
          <w:lang w:eastAsia="zh-CN"/>
        </w:rPr>
      </w:pPr>
      <w:r>
        <w:rPr>
          <w:rFonts w:hint="eastAsia" w:ascii="仿宋_GB2312" w:hAnsi="仿宋_GB2312" w:eastAsia="仿宋_GB2312" w:cs="仿宋_GB2312"/>
          <w:b w:val="0"/>
          <w:bCs w:val="0"/>
          <w:color w:val="auto"/>
          <w:sz w:val="32"/>
          <w:highlight w:val="none"/>
          <w:u w:val="none"/>
          <w:lang w:eastAsia="zh-CN"/>
        </w:rPr>
        <w:t>(六)指导县区的史前文物保护工作</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b w:val="0"/>
          <w:bCs w:val="0"/>
          <w:color w:val="auto"/>
          <w:sz w:val="32"/>
          <w:highlight w:val="none"/>
          <w:u w:val="none"/>
          <w:lang w:val="en-US" w:eastAsia="zh-CN"/>
        </w:rPr>
      </w:pPr>
      <w:r>
        <w:rPr>
          <w:rFonts w:hint="default" w:ascii="仿宋_GB2312" w:hAnsi="仿宋_GB2312" w:eastAsia="仿宋_GB2312" w:cs="仿宋_GB2312"/>
          <w:b w:val="0"/>
          <w:bCs w:val="0"/>
          <w:color w:val="auto"/>
          <w:sz w:val="32"/>
          <w:highlight w:val="none"/>
          <w:u w:val="none"/>
          <w:lang w:val="en-US" w:eastAsia="zh-CN"/>
        </w:rPr>
        <w:t>(七)组织实施相关文化遗产保护工程及配套设施建设工作。</w:t>
      </w:r>
    </w:p>
    <w:p>
      <w:pPr>
        <w:pStyle w:val="11"/>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b w:val="0"/>
          <w:bCs w:val="0"/>
          <w:color w:val="auto"/>
          <w:sz w:val="32"/>
          <w:highlight w:val="none"/>
          <w:u w:val="none"/>
          <w:lang w:val="en-US" w:eastAsia="zh-CN"/>
        </w:rPr>
      </w:pPr>
      <w:r>
        <w:rPr>
          <w:rFonts w:hint="default" w:ascii="仿宋_GB2312" w:hAnsi="仿宋_GB2312" w:eastAsia="仿宋_GB2312" w:cs="仿宋_GB2312"/>
          <w:b w:val="0"/>
          <w:bCs w:val="0"/>
          <w:color w:val="auto"/>
          <w:sz w:val="32"/>
          <w:highlight w:val="none"/>
          <w:u w:val="none"/>
          <w:lang w:val="en-US" w:eastAsia="zh-CN"/>
        </w:rPr>
        <w:t>(八)完成主管</w:t>
      </w:r>
      <w:r>
        <w:rPr>
          <w:rFonts w:hint="eastAsia" w:ascii="仿宋_GB2312" w:hAnsi="仿宋_GB2312" w:eastAsia="仿宋_GB2312" w:cs="仿宋_GB2312"/>
          <w:b w:val="0"/>
          <w:bCs w:val="0"/>
          <w:color w:val="auto"/>
          <w:sz w:val="32"/>
          <w:highlight w:val="none"/>
          <w:u w:val="none"/>
          <w:lang w:val="en-US" w:eastAsia="zh-CN"/>
        </w:rPr>
        <w:t>单位</w:t>
      </w:r>
      <w:r>
        <w:rPr>
          <w:rFonts w:hint="default" w:ascii="仿宋_GB2312" w:hAnsi="仿宋_GB2312" w:eastAsia="仿宋_GB2312" w:cs="仿宋_GB2312"/>
          <w:b w:val="0"/>
          <w:bCs w:val="0"/>
          <w:color w:val="auto"/>
          <w:sz w:val="32"/>
          <w:highlight w:val="none"/>
          <w:u w:val="none"/>
          <w:lang w:val="en-US" w:eastAsia="zh-CN"/>
        </w:rPr>
        <w:t>交办的其他任务。</w:t>
      </w:r>
    </w:p>
    <w:p>
      <w:pPr>
        <w:ind w:firstLine="646"/>
        <w:rPr>
          <w:rFonts w:hint="eastAsia" w:ascii="仿宋_GB2312" w:eastAsia="仿宋_GB2312"/>
          <w:b/>
          <w:bCs/>
          <w:color w:val="auto"/>
          <w:sz w:val="32"/>
          <w:szCs w:val="32"/>
          <w:highlight w:val="none"/>
          <w:u w:val="none"/>
        </w:rPr>
      </w:pPr>
      <w:r>
        <w:rPr>
          <w:rFonts w:hint="eastAsia" w:ascii="仿宋_GB2312" w:eastAsia="仿宋_GB2312"/>
          <w:b/>
          <w:bCs/>
          <w:color w:val="auto"/>
          <w:sz w:val="32"/>
          <w:szCs w:val="32"/>
          <w:highlight w:val="none"/>
          <w:u w:val="none"/>
        </w:rPr>
        <w:t>二、</w:t>
      </w:r>
      <w:r>
        <w:rPr>
          <w:rFonts w:hint="eastAsia" w:ascii="仿宋_GB2312" w:eastAsia="仿宋_GB2312"/>
          <w:b/>
          <w:bCs/>
          <w:color w:val="auto"/>
          <w:sz w:val="32"/>
          <w:szCs w:val="32"/>
          <w:highlight w:val="none"/>
          <w:u w:val="none"/>
          <w:lang w:eastAsia="zh-CN"/>
        </w:rPr>
        <w:t>单位</w:t>
      </w:r>
      <w:r>
        <w:rPr>
          <w:rFonts w:hint="eastAsia" w:ascii="仿宋_GB2312" w:eastAsia="仿宋_GB2312"/>
          <w:b/>
          <w:bCs/>
          <w:color w:val="auto"/>
          <w:sz w:val="32"/>
          <w:szCs w:val="32"/>
          <w:highlight w:val="none"/>
          <w:u w:val="none"/>
        </w:rPr>
        <w:t>决算单位构成</w:t>
      </w:r>
    </w:p>
    <w:p>
      <w:pPr>
        <w:ind w:firstLine="640" w:firstLineChars="200"/>
        <w:rPr>
          <w:rFonts w:hint="eastAsia" w:ascii="仿宋_GB2312" w:hAnsi="黑体" w:eastAsia="仿宋_GB2312" w:cs="Times New Roman"/>
          <w:color w:val="auto"/>
          <w:sz w:val="32"/>
          <w:szCs w:val="32"/>
          <w:highlight w:val="none"/>
          <w:u w:val="none"/>
          <w:lang w:eastAsia="zh-CN"/>
        </w:rPr>
      </w:pPr>
      <w:r>
        <w:rPr>
          <w:rFonts w:hint="eastAsia" w:ascii="仿宋_GB2312" w:hAnsi="黑体" w:eastAsia="仿宋_GB2312" w:cs="Times New Roman"/>
          <w:color w:val="auto"/>
          <w:sz w:val="32"/>
          <w:szCs w:val="32"/>
          <w:highlight w:val="none"/>
          <w:u w:val="none"/>
        </w:rPr>
        <w:t>柳州市文化</w:t>
      </w:r>
      <w:r>
        <w:rPr>
          <w:rFonts w:hint="eastAsia" w:ascii="仿宋_GB2312" w:hAnsi="黑体" w:eastAsia="仿宋_GB2312" w:cs="Times New Roman"/>
          <w:color w:val="auto"/>
          <w:sz w:val="32"/>
          <w:szCs w:val="32"/>
          <w:highlight w:val="none"/>
          <w:u w:val="none"/>
          <w:lang w:eastAsia="zh-CN"/>
        </w:rPr>
        <w:t>广电和旅游局</w:t>
      </w:r>
      <w:r>
        <w:rPr>
          <w:rFonts w:hint="eastAsia" w:ascii="仿宋_GB2312" w:hAnsi="黑体" w:eastAsia="仿宋_GB2312" w:cs="Times New Roman"/>
          <w:color w:val="auto"/>
          <w:sz w:val="32"/>
          <w:szCs w:val="32"/>
          <w:highlight w:val="none"/>
          <w:u w:val="none"/>
        </w:rPr>
        <w:t>共有直属单位14个（含机关本级）。柳州市白莲洞洞穴科学博物馆是全额拨款事业单位</w:t>
      </w:r>
      <w:r>
        <w:rPr>
          <w:rFonts w:hint="eastAsia" w:ascii="仿宋_GB2312" w:hAnsi="黑体" w:eastAsia="仿宋_GB2312" w:cs="Times New Roman"/>
          <w:color w:val="auto"/>
          <w:sz w:val="32"/>
          <w:szCs w:val="32"/>
          <w:highlight w:val="none"/>
          <w:u w:val="none"/>
          <w:lang w:eastAsia="zh-CN"/>
        </w:rPr>
        <w:t>。</w:t>
      </w:r>
    </w:p>
    <w:p>
      <w:pPr>
        <w:jc w:val="both"/>
      </w:pPr>
    </w:p>
    <w:p>
      <w:pPr>
        <w:jc w:val="both"/>
      </w:pPr>
    </w:p>
    <w:p>
      <w:pPr>
        <w:jc w:val="both"/>
      </w:pPr>
    </w:p>
    <w:p>
      <w:pPr>
        <w:rPr>
          <w:rFonts w:ascii="仿宋_GB2312" w:hAnsi="黑体" w:eastAsia="仿宋_GB2312"/>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柳州白莲洞洞穴科学博物馆</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表一：收入支出决算总表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表二：收入决算表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表三：支出决算表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表四：财政拨款收入支出决算总表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表五：一般公共预算财政拨款支出决算表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表六：一般公共预算财政拨款基本支出决算表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表七：一般公共预算财政拨款安排的“三公”经费支出决算表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表八：政府性基金预算财政拨款收入支出决算表</w:t>
      </w:r>
    </w:p>
    <w:p>
      <w:pPr>
        <w:ind w:firstLine="640" w:firstLineChars="200"/>
        <w:rPr>
          <w:rFonts w:hint="eastAsia"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lang w:val="en-US" w:eastAsia="zh-CN"/>
        </w:rPr>
        <w:t>表九：国有资本经营预算财政拨款支出决算表</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（详见附件）</w:t>
      </w:r>
    </w:p>
    <w:p/>
    <w:p/>
    <w:p/>
    <w:p/>
    <w:p/>
    <w:p/>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柳州白莲洞洞穴科学博物馆</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1971.48</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2021.58</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192.36万元,712.5万元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8.89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,26.06%</w:t>
      </w:r>
      <w:r>
        <w:rPr>
          <w:rFonts w:hint="eastAsia" w:ascii="仿宋_GB2312" w:eastAsia="仿宋_GB2312" w:cs="仿宋_GB2312"/>
          <w:bCs/>
          <w:kern w:val="0"/>
          <w:sz w:val="32"/>
          <w:szCs w:val="32"/>
          <w:lang w:eastAsia="zh-CN"/>
        </w:rPr>
        <w:t>。增减原因主要是</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2019年古人类遗址综合陈列楼项目、白莲洞室外配套等项目支出1922.06万元；2020年无古人类遗址综合陈列楼项目支出及年底部分项目款未支付。</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hint="default" w:ascii="仿宋_GB2312" w:eastAsia="仿宋_GB2312" w:cs="仿宋_GB2312"/>
          <w:b/>
          <w:kern w:val="0"/>
          <w:sz w:val="32"/>
          <w:szCs w:val="32"/>
          <w:lang w:val="en-US" w:eastAsia="zh-CN"/>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1971.48</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767.79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38.94%</w:t>
      </w:r>
      <w:r>
        <w:rPr>
          <w:rFonts w:hint="eastAsia" w:ascii="仿宋_GB2312" w:eastAsia="仿宋_GB2312" w:cs="仿宋_GB2312"/>
          <w:bCs/>
          <w:kern w:val="0"/>
          <w:sz w:val="32"/>
          <w:szCs w:val="32"/>
        </w:rPr>
        <w:t>；政府</w:t>
      </w:r>
      <w:r>
        <w:rPr>
          <w:rFonts w:hint="eastAsia" w:ascii="仿宋_GB2312" w:eastAsia="仿宋_GB2312" w:cs="仿宋_GB2312"/>
          <w:bCs/>
          <w:kern w:val="0"/>
          <w:sz w:val="32"/>
          <w:szCs w:val="32"/>
          <w:lang w:val="en-US" w:eastAsia="zh-CN"/>
        </w:rPr>
        <w:t>性</w:t>
      </w:r>
      <w:bookmarkStart w:id="0" w:name="_GoBack"/>
      <w:bookmarkEnd w:id="0"/>
      <w:r>
        <w:rPr>
          <w:rFonts w:hint="eastAsia" w:ascii="仿宋_GB2312" w:eastAsia="仿宋_GB2312" w:cs="仿宋_GB2312"/>
          <w:bCs/>
          <w:kern w:val="0"/>
          <w:sz w:val="32"/>
          <w:szCs w:val="32"/>
        </w:rPr>
        <w:t>基金预算财政拨款收入</w:t>
      </w:r>
      <w:r>
        <w:rPr>
          <w:rFonts w:hint="eastAsia" w:ascii="仿宋_GB2312" w:eastAsia="仿宋_GB2312" w:cs="仿宋_GB2312"/>
          <w:bCs/>
          <w:kern w:val="0"/>
          <w:sz w:val="32"/>
          <w:szCs w:val="32"/>
          <w:lang w:val="en-US" w:eastAsia="zh-CN"/>
        </w:rPr>
        <w:t>600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30.43%</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597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30.28%</w:t>
      </w:r>
      <w:r>
        <w:rPr>
          <w:rFonts w:hint="eastAsia" w:ascii="仿宋_GB2312" w:eastAsia="仿宋_GB2312" w:cs="仿宋_GB2312"/>
          <w:bCs/>
          <w:kern w:val="0"/>
          <w:sz w:val="32"/>
          <w:szCs w:val="32"/>
        </w:rPr>
        <w:t>；</w:t>
      </w:r>
      <w:r>
        <w:rPr>
          <w:rFonts w:hint="eastAsia" w:ascii="仿宋_GB2312" w:eastAsia="仿宋_GB2312" w:cs="仿宋_GB2312"/>
          <w:b w:val="0"/>
          <w:bCs/>
          <w:kern w:val="0"/>
          <w:sz w:val="32"/>
          <w:szCs w:val="32"/>
        </w:rPr>
        <w:t>其他收入</w:t>
      </w:r>
      <w:r>
        <w:rPr>
          <w:rFonts w:hint="eastAsia" w:ascii="仿宋_GB2312" w:eastAsia="仿宋_GB2312" w:cs="仿宋_GB2312"/>
          <w:b w:val="0"/>
          <w:bCs/>
          <w:kern w:val="0"/>
          <w:sz w:val="32"/>
          <w:szCs w:val="32"/>
          <w:lang w:val="en-US" w:eastAsia="zh-CN"/>
        </w:rPr>
        <w:t>6.7</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0.34</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增减原因主要是：</w:t>
      </w:r>
      <w:r>
        <w:rPr>
          <w:rFonts w:hint="eastAsia" w:ascii="仿宋_GB2312" w:eastAsia="仿宋_GB2312" w:cs="仿宋_GB2312"/>
          <w:b w:val="0"/>
          <w:bCs/>
          <w:kern w:val="0"/>
          <w:sz w:val="32"/>
          <w:szCs w:val="32"/>
          <w:lang w:val="en-US" w:eastAsia="zh-CN"/>
        </w:rPr>
        <w:t>2020年无事业收入。编制预算在职人数增加，人员经费增加。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021.58</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290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14.35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731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48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85.65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。增减原因主要是：</w:t>
      </w:r>
      <w:r>
        <w:rPr>
          <w:rFonts w:hint="eastAsia" w:ascii="仿宋_GB2312" w:eastAsia="仿宋_GB2312" w:cs="仿宋_GB2312"/>
          <w:bCs/>
          <w:kern w:val="0"/>
          <w:sz w:val="32"/>
          <w:szCs w:val="32"/>
          <w:lang w:val="en-US" w:eastAsia="zh-CN"/>
        </w:rPr>
        <w:t>2020年</w:t>
      </w:r>
      <w:r>
        <w:rPr>
          <w:rFonts w:hint="eastAsia" w:ascii="仿宋_GB2312" w:eastAsia="仿宋_GB2312" w:cs="仿宋_GB2312"/>
          <w:bCs/>
          <w:kern w:val="0"/>
          <w:sz w:val="32"/>
          <w:szCs w:val="32"/>
          <w:lang w:eastAsia="zh-CN"/>
        </w:rPr>
        <w:t>压减公用经费，</w:t>
      </w:r>
      <w:r>
        <w:rPr>
          <w:rFonts w:hint="eastAsia" w:ascii="仿宋_GB2312" w:eastAsia="仿宋_GB2312" w:cs="仿宋_GB2312"/>
          <w:bCs/>
          <w:kern w:val="0"/>
          <w:sz w:val="32"/>
          <w:szCs w:val="32"/>
          <w:highlight w:val="none"/>
          <w:lang w:val="en-US" w:eastAsia="zh-CN"/>
        </w:rPr>
        <w:t>年底部分项目款未支付。</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1,367.79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1,367.79</w:t>
      </w:r>
      <w:r>
        <w:rPr>
          <w:rFonts w:hint="eastAsia" w:ascii="仿宋_GB2312" w:eastAsia="仿宋_GB2312" w:cs="仿宋_GB2312"/>
          <w:bCs/>
          <w:kern w:val="0"/>
          <w:sz w:val="32"/>
          <w:szCs w:val="32"/>
        </w:rPr>
        <w:t>万元。与2019年相比，财政拨款收、支总计各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 w:val="0"/>
          <w:bCs/>
          <w:kern w:val="0"/>
          <w:sz w:val="32"/>
          <w:szCs w:val="32"/>
          <w:lang w:val="en-US" w:eastAsia="zh-CN"/>
        </w:rPr>
        <w:t>344.22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20.11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增减原因主要是</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2019年古人类遗址综合陈列楼项目、白莲洞室外配套等项目支出1922.06万元；2020年无古人类遗址综合陈列楼项目支出及年底部分项目款未支付。</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767.79</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56.13</w:t>
      </w:r>
      <w:r>
        <w:rPr>
          <w:rFonts w:hint="eastAsia" w:ascii="仿宋_GB2312" w:eastAsia="仿宋_GB2312" w:cs="仿宋_GB2312"/>
          <w:bCs/>
          <w:kern w:val="0"/>
          <w:sz w:val="32"/>
          <w:szCs w:val="32"/>
        </w:rPr>
        <w:t>%。与2019年相比，财政拨款支出</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944.22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55.15</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年度财政拨款支出</w:t>
      </w:r>
      <w:r>
        <w:rPr>
          <w:rFonts w:hint="eastAsia" w:ascii="仿宋_GB2312" w:eastAsia="仿宋_GB2312" w:cs="仿宋_GB2312"/>
          <w:bCs/>
          <w:kern w:val="0"/>
          <w:sz w:val="32"/>
          <w:szCs w:val="32"/>
          <w:lang w:val="en-US" w:eastAsia="zh-CN"/>
        </w:rPr>
        <w:t>767.79</w:t>
      </w:r>
      <w:r>
        <w:rPr>
          <w:rFonts w:hint="eastAsia" w:ascii="仿宋_GB2312" w:eastAsia="仿宋_GB2312" w:cs="仿宋_GB2312"/>
          <w:bCs/>
          <w:kern w:val="0"/>
          <w:sz w:val="32"/>
          <w:szCs w:val="32"/>
        </w:rPr>
        <w:t>万元，主要用于以下方面：文化旅游体育与传媒支出</w:t>
      </w:r>
      <w:r>
        <w:rPr>
          <w:rFonts w:hint="eastAsia" w:ascii="仿宋_GB2312" w:eastAsia="仿宋_GB2312" w:cs="仿宋_GB2312"/>
          <w:bCs/>
          <w:kern w:val="0"/>
          <w:sz w:val="32"/>
          <w:szCs w:val="32"/>
          <w:lang w:val="en-US" w:eastAsia="zh-CN"/>
        </w:rPr>
        <w:t>675.02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87.92</w:t>
      </w:r>
      <w:r>
        <w:rPr>
          <w:rFonts w:hint="eastAsia" w:ascii="仿宋_GB2312" w:eastAsia="仿宋_GB2312" w:cs="仿宋_GB2312"/>
          <w:bCs/>
          <w:kern w:val="0"/>
          <w:sz w:val="32"/>
          <w:szCs w:val="32"/>
        </w:rPr>
        <w:t>%；社会保障和就业支出</w:t>
      </w:r>
      <w:r>
        <w:rPr>
          <w:rFonts w:hint="eastAsia" w:ascii="仿宋_GB2312" w:eastAsia="仿宋_GB2312" w:cs="仿宋_GB2312"/>
          <w:bCs/>
          <w:kern w:val="0"/>
          <w:sz w:val="32"/>
          <w:szCs w:val="32"/>
          <w:lang w:val="en-US" w:eastAsia="zh-CN"/>
        </w:rPr>
        <w:t>52.24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6.80</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16.38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2.13</w:t>
      </w:r>
      <w:r>
        <w:rPr>
          <w:rFonts w:hint="eastAsia" w:ascii="仿宋_GB2312" w:eastAsia="仿宋_GB2312" w:cs="仿宋_GB2312"/>
          <w:bCs/>
          <w:kern w:val="0"/>
          <w:sz w:val="32"/>
          <w:szCs w:val="32"/>
        </w:rPr>
        <w:t>%；住房保障支出</w:t>
      </w:r>
      <w:r>
        <w:rPr>
          <w:rFonts w:hint="eastAsia" w:ascii="仿宋_GB2312" w:eastAsia="仿宋_GB2312" w:cs="仿宋_GB2312"/>
          <w:bCs/>
          <w:kern w:val="0"/>
          <w:sz w:val="32"/>
          <w:szCs w:val="32"/>
          <w:lang w:val="en-US" w:eastAsia="zh-CN"/>
        </w:rPr>
        <w:t>24.14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3.15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w:t>
      </w:r>
      <w:r>
        <w:rPr>
          <w:rFonts w:hint="eastAsia" w:ascii="仿宋_GB2312" w:eastAsia="仿宋_GB2312" w:cs="仿宋_GB2312"/>
          <w:b w:val="0"/>
          <w:bCs/>
          <w:kern w:val="0"/>
          <w:sz w:val="32"/>
          <w:szCs w:val="32"/>
        </w:rPr>
        <w:t>财政拨款支出决算</w:t>
      </w:r>
      <w:r>
        <w:rPr>
          <w:rFonts w:hint="eastAsia" w:ascii="仿宋_GB2312" w:eastAsia="仿宋_GB2312" w:cs="仿宋_GB2312"/>
          <w:bCs/>
          <w:kern w:val="0"/>
          <w:sz w:val="32"/>
          <w:szCs w:val="32"/>
        </w:rPr>
        <w:t>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651.62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767.79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117.83</w:t>
      </w:r>
      <w:r>
        <w:rPr>
          <w:rFonts w:hint="eastAsia" w:ascii="仿宋_GB2312" w:eastAsia="仿宋_GB2312" w:cs="仿宋_GB2312"/>
          <w:bCs/>
          <w:kern w:val="0"/>
          <w:sz w:val="32"/>
          <w:szCs w:val="32"/>
        </w:rPr>
        <w:t>%。决算数大于预算数的主要原因：年中追加安排财政拨款支出预算，涉及项目有免费开放补助资金</w:t>
      </w:r>
      <w:r>
        <w:rPr>
          <w:rFonts w:hint="eastAsia" w:ascii="仿宋_GB2312" w:eastAsia="仿宋_GB2312" w:cs="仿宋_GB2312"/>
          <w:bCs/>
          <w:kern w:val="0"/>
          <w:sz w:val="32"/>
          <w:szCs w:val="32"/>
          <w:lang w:eastAsia="zh-CN"/>
        </w:rPr>
        <w:t>、自治区旅游发展专项资金、国家文物保护专项资金等</w:t>
      </w:r>
      <w:r>
        <w:rPr>
          <w:rFonts w:hint="eastAsia" w:ascii="仿宋_GB2312" w:eastAsia="仿宋_GB2312" w:cs="仿宋_GB2312"/>
          <w:bCs/>
          <w:kern w:val="0"/>
          <w:sz w:val="32"/>
          <w:szCs w:val="32"/>
        </w:rPr>
        <w:t>。其中：</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文化旅游体育与传媒支出（类）文物（款）文物保护（项）。年初预算为</w:t>
      </w:r>
      <w:r>
        <w:rPr>
          <w:rFonts w:hint="eastAsia" w:ascii="仿宋_GB2312" w:eastAsia="仿宋_GB2312"/>
          <w:sz w:val="28"/>
          <w:szCs w:val="28"/>
          <w:lang w:val="en-US" w:eastAsia="zh-CN"/>
        </w:rPr>
        <w:t>579.07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675.02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116.57</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上级下达了</w:t>
      </w:r>
      <w:r>
        <w:rPr>
          <w:rFonts w:hint="eastAsia" w:ascii="仿宋_GB2312" w:eastAsia="仿宋_GB2312" w:cs="仿宋_GB2312"/>
          <w:bCs/>
          <w:kern w:val="0"/>
          <w:sz w:val="32"/>
          <w:szCs w:val="32"/>
        </w:rPr>
        <w:t>文物保护</w:t>
      </w:r>
      <w:r>
        <w:rPr>
          <w:rFonts w:hint="eastAsia" w:ascii="仿宋_GB2312" w:eastAsia="仿宋_GB2312" w:cs="仿宋_GB2312"/>
          <w:bCs/>
          <w:kern w:val="0"/>
          <w:sz w:val="32"/>
          <w:szCs w:val="32"/>
          <w:lang w:eastAsia="zh-CN"/>
        </w:rPr>
        <w:t>经费。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.社会保障和就业支出（类）行政事业单位养老支出（款）事业单位离退休（项）。年初预算为</w:t>
      </w:r>
      <w:r>
        <w:rPr>
          <w:rFonts w:hint="eastAsia" w:ascii="仿宋_GB2312" w:eastAsia="仿宋_GB2312"/>
          <w:sz w:val="28"/>
          <w:szCs w:val="28"/>
          <w:lang w:val="en-US" w:eastAsia="zh-CN"/>
        </w:rPr>
        <w:t>4.86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4.86</w:t>
      </w:r>
      <w:r>
        <w:rPr>
          <w:rFonts w:hint="eastAsia" w:ascii="仿宋_GB2312" w:eastAsia="仿宋_GB2312" w:cs="仿宋_GB2312"/>
          <w:bCs/>
          <w:kern w:val="0"/>
          <w:sz w:val="32"/>
          <w:szCs w:val="32"/>
        </w:rPr>
        <w:t>万元，完成年初预算的100%。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sz w:val="28"/>
          <w:szCs w:val="28"/>
          <w:lang w:val="en-US" w:eastAsia="zh-CN"/>
        </w:rPr>
        <w:t>24.86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34.96</w:t>
      </w:r>
      <w:r>
        <w:rPr>
          <w:rFonts w:hint="eastAsia" w:ascii="仿宋_GB2312" w:eastAsia="仿宋_GB2312" w:cs="仿宋_GB2312"/>
          <w:bCs/>
          <w:kern w:val="0"/>
          <w:sz w:val="32"/>
          <w:szCs w:val="32"/>
        </w:rPr>
        <w:t>万元，完成年初预算的1</w:t>
      </w:r>
      <w:r>
        <w:rPr>
          <w:rFonts w:hint="eastAsia" w:ascii="仿宋_GB2312" w:eastAsia="仿宋_GB2312" w:cs="仿宋_GB2312"/>
          <w:bCs/>
          <w:kern w:val="0"/>
          <w:sz w:val="32"/>
          <w:szCs w:val="32"/>
          <w:lang w:val="en-US" w:eastAsia="zh-CN"/>
        </w:rPr>
        <w:t>40.63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cs="仿宋_GB2312"/>
          <w:bCs/>
          <w:kern w:val="0"/>
          <w:sz w:val="32"/>
          <w:szCs w:val="32"/>
          <w:lang w:val="en-US" w:eastAsia="zh-CN"/>
        </w:rPr>
        <w:t>12.43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12.43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.卫生健康支出（类）行政事业单位医疗（款）事业单位医疗（项）。年初预算为</w:t>
      </w:r>
      <w:r>
        <w:rPr>
          <w:rFonts w:hint="eastAsia" w:ascii="仿宋_GB2312" w:eastAsia="仿宋_GB2312" w:cs="仿宋_GB2312"/>
          <w:bCs/>
          <w:kern w:val="0"/>
          <w:sz w:val="32"/>
          <w:szCs w:val="32"/>
          <w:lang w:val="en-US" w:eastAsia="zh-CN"/>
        </w:rPr>
        <w:t>11.77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16.38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139.17</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290.1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270.74</w:t>
      </w:r>
      <w:r>
        <w:rPr>
          <w:rFonts w:hint="eastAsia" w:ascii="仿宋_GB2312" w:eastAsia="仿宋_GB2312" w:cs="仿宋_GB2312"/>
          <w:bCs/>
          <w:kern w:val="0"/>
          <w:sz w:val="32"/>
          <w:szCs w:val="32"/>
        </w:rPr>
        <w:t>万元，主要包括：基本工资、津贴补贴、奖金、伙食补助费、绩效工资、机关事业单位基本养老保险缴费、职业年金缴费、职工基本医疗保险缴费</w:t>
      </w:r>
      <w:r>
        <w:rPr>
          <w:rFonts w:hint="eastAsia" w:ascii="仿宋_GB2312" w:eastAsia="仿宋_GB2312" w:cs="仿宋_GB2312"/>
          <w:bCs/>
          <w:kern w:val="0"/>
          <w:sz w:val="32"/>
          <w:szCs w:val="32"/>
          <w:lang w:eastAsia="zh-CN"/>
        </w:rPr>
        <w:t>、公务员医疗补助缴费、</w:t>
      </w:r>
      <w:r>
        <w:rPr>
          <w:rFonts w:hint="eastAsia" w:ascii="仿宋_GB2312" w:eastAsia="仿宋_GB2312" w:cs="仿宋_GB2312"/>
          <w:bCs/>
          <w:kern w:val="0"/>
          <w:sz w:val="32"/>
          <w:szCs w:val="32"/>
        </w:rPr>
        <w:t>其他社会保障缴费、住房公积金、其他工资福利支出</w:t>
      </w:r>
      <w:r>
        <w:rPr>
          <w:rFonts w:hint="eastAsia" w:ascii="仿宋_GB2312" w:eastAsia="仿宋_GB2312" w:cs="仿宋_GB2312"/>
          <w:bCs/>
          <w:kern w:val="0"/>
          <w:sz w:val="32"/>
          <w:szCs w:val="32"/>
          <w:lang w:eastAsia="zh-CN"/>
        </w:rPr>
        <w:t>、离休费、退休费、抚恤金、生活补助、医疗费补助、其他对个人和家庭的补助</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19.36</w:t>
      </w:r>
      <w:r>
        <w:rPr>
          <w:rFonts w:hint="eastAsia" w:ascii="仿宋_GB2312" w:eastAsia="仿宋_GB2312" w:cs="仿宋_GB2312"/>
          <w:bCs/>
          <w:kern w:val="0"/>
          <w:sz w:val="32"/>
          <w:szCs w:val="32"/>
        </w:rPr>
        <w:t>万元，主要包括：办公费、印刷费、咨询费、手续费、水费、电费、邮电费、物业管理费、差旅费、维修（护）费、租赁费、会议费、培训费、公务接待费、专用材料费、劳务费、委托业务费、工会经费、福利费、公务用车运行维护费、其他交通费用、税金及附加费用、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七、2020年度一般公共预算财政拨款“三公”经费支出决算情况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0.56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0.56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0.56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0.53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93.86</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，比去年无增减</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比去年无增减</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0.53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93.86</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eastAsia="zh-CN"/>
        </w:rPr>
        <w:t>无增减</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比去年无增减</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承办</w:t>
      </w:r>
      <w:r>
        <w:rPr>
          <w:rFonts w:hint="eastAsia" w:ascii="仿宋_GB2312" w:eastAsia="仿宋_GB2312" w:cs="仿宋_GB2312"/>
          <w:bCs/>
          <w:kern w:val="0"/>
          <w:sz w:val="32"/>
          <w:szCs w:val="32"/>
          <w:lang w:val="en-US" w:eastAsia="zh-CN"/>
        </w:rPr>
        <w:t>2020年广西文化旅游发展大会，自治区来柳考察指导活动增加</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0.56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%。具体情况如下：</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无开支。</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0.56</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0.56</w:t>
      </w:r>
      <w:r>
        <w:rPr>
          <w:rFonts w:hint="eastAsia" w:ascii="仿宋_GB2312" w:eastAsia="仿宋_GB2312" w:cs="仿宋_GB2312"/>
          <w:bCs/>
          <w:kern w:val="0"/>
          <w:sz w:val="32"/>
          <w:szCs w:val="32"/>
        </w:rPr>
        <w:t>万元。主要用于</w:t>
      </w:r>
      <w:r>
        <w:rPr>
          <w:rFonts w:hint="eastAsia" w:ascii="仿宋_GB2312" w:eastAsia="仿宋_GB2312" w:cs="仿宋_GB2312"/>
          <w:bCs/>
          <w:color w:val="auto"/>
          <w:kern w:val="0"/>
          <w:sz w:val="32"/>
          <w:szCs w:val="32"/>
          <w:u w:val="none"/>
          <w:lang w:eastAsia="zh-CN"/>
        </w:rPr>
        <w:t>日常自治区以及其他省市的来访</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50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八、2020年度政府性基金预算财政拨款收入支出决算情况说明</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w:t>
      </w:r>
      <w:r>
        <w:rPr>
          <w:rFonts w:hint="eastAsia" w:ascii="仿宋_GB2312" w:eastAsia="仿宋_GB2312" w:cs="仿宋_GB2312"/>
          <w:bCs/>
          <w:kern w:val="0"/>
          <w:sz w:val="32"/>
          <w:szCs w:val="32"/>
          <w:lang w:val="en-US" w:eastAsia="zh-CN"/>
        </w:rPr>
        <w:t>600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600</w:t>
      </w:r>
      <w:r>
        <w:rPr>
          <w:rFonts w:hint="eastAsia" w:ascii="仿宋_GB2312" w:eastAsia="仿宋_GB2312" w:cs="仿宋_GB2312"/>
          <w:bCs/>
          <w:kern w:val="0"/>
          <w:sz w:val="32"/>
          <w:szCs w:val="32"/>
        </w:rPr>
        <w:t>万元。与2019年相比，收、支总计各增加</w:t>
      </w:r>
      <w:r>
        <w:rPr>
          <w:rFonts w:hint="eastAsia" w:ascii="仿宋_GB2312" w:eastAsia="仿宋_GB2312" w:cs="仿宋_GB2312"/>
          <w:bCs/>
          <w:kern w:val="0"/>
          <w:sz w:val="32"/>
          <w:szCs w:val="32"/>
          <w:lang w:val="en-US" w:eastAsia="zh-CN"/>
        </w:rPr>
        <w:t>600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%。其中，支出情况为：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600</w:t>
      </w:r>
      <w:r>
        <w:rPr>
          <w:rFonts w:hint="eastAsia" w:ascii="仿宋_GB2312" w:eastAsia="仿宋_GB2312" w:cs="仿宋_GB2312"/>
          <w:bCs/>
          <w:kern w:val="0"/>
          <w:sz w:val="32"/>
          <w:szCs w:val="32"/>
        </w:rPr>
        <w:t>万元，决算大于预算数主要原因：年中追加安排财政拨款支出预算，涉及项目有</w:t>
      </w:r>
      <w:r>
        <w:rPr>
          <w:rFonts w:hint="eastAsia" w:ascii="仿宋_GB2312" w:eastAsia="仿宋_GB2312"/>
          <w:sz w:val="28"/>
          <w:szCs w:val="28"/>
        </w:rPr>
        <w:t>城市建设支出</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城乡社区支出（类）国有土地使用权出让收入安排的支出（款）城市建设支出（项）。年初预算为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600</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市发改委拨付经费</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本单位2020年度无国有资本经营预算财政拨款支出。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绩效管理工作开展情况</w:t>
      </w:r>
    </w:p>
    <w:p>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both"/>
        <w:textAlignment w:val="auto"/>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lang w:val="en-US" w:eastAsia="zh-CN"/>
        </w:rPr>
        <w:t>2020年度无一般公共预算绩效自评项目。</w:t>
      </w:r>
    </w:p>
    <w:p>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both"/>
        <w:textAlignment w:val="auto"/>
        <w:rPr>
          <w:rFonts w:hint="eastAsia" w:ascii="仿宋_GB2312" w:hAnsi="宋体" w:eastAsia="仿宋_GB2312" w:cs="仿宋_GB2312"/>
          <w:i w:val="0"/>
          <w:caps w:val="0"/>
          <w:color w:val="333333"/>
          <w:spacing w:val="0"/>
          <w:sz w:val="32"/>
          <w:szCs w:val="32"/>
          <w:shd w:val="clear" w:fill="FFFFFF"/>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autoSpaceDE w:val="0"/>
        <w:autoSpaceDN w:val="0"/>
        <w:adjustRightInd w:val="0"/>
        <w:spacing w:line="580" w:lineRule="exact"/>
        <w:ind w:firstLine="960" w:firstLineChars="3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lang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275.52</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69.18</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88</w:t>
      </w:r>
      <w:r>
        <w:rPr>
          <w:rFonts w:hint="eastAsia" w:ascii="仿宋_GB2312" w:eastAsia="仿宋_GB2312" w:cs="仿宋_GB2312"/>
          <w:kern w:val="0"/>
          <w:sz w:val="32"/>
          <w:szCs w:val="32"/>
        </w:rPr>
        <w:t>.25万元、服务支出</w:t>
      </w:r>
      <w:r>
        <w:rPr>
          <w:rFonts w:hint="eastAsia" w:ascii="仿宋_GB2312" w:eastAsia="仿宋_GB2312" w:cs="仿宋_GB2312"/>
          <w:kern w:val="0"/>
          <w:sz w:val="32"/>
          <w:szCs w:val="32"/>
          <w:lang w:val="en-US" w:eastAsia="zh-CN"/>
        </w:rPr>
        <w:t>118.1</w:t>
      </w:r>
      <w:r>
        <w:rPr>
          <w:rFonts w:hint="eastAsia" w:ascii="仿宋_GB2312" w:eastAsia="仿宋_GB2312" w:cs="仿宋_GB2312"/>
          <w:kern w:val="0"/>
          <w:sz w:val="32"/>
          <w:szCs w:val="32"/>
        </w:rPr>
        <w:t>万元。</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w:t>
      </w:r>
      <w:r>
        <w:rPr>
          <w:rFonts w:hint="eastAsia" w:ascii="仿宋_GB2312" w:eastAsia="仿宋_GB2312" w:cs="仿宋_GB2312"/>
          <w:color w:val="auto"/>
          <w:kern w:val="0"/>
          <w:sz w:val="32"/>
          <w:szCs w:val="32"/>
          <w:u w:val="none"/>
        </w:rPr>
        <w:t>公务用车</w:t>
      </w:r>
      <w:r>
        <w:rPr>
          <w:rFonts w:hint="eastAsia" w:ascii="仿宋_GB2312" w:eastAsia="仿宋_GB2312" w:cs="仿宋_GB2312"/>
          <w:color w:val="auto"/>
          <w:kern w:val="0"/>
          <w:sz w:val="32"/>
          <w:szCs w:val="32"/>
          <w:u w:val="none"/>
          <w:lang w:val="en-US" w:eastAsia="zh-CN"/>
        </w:rPr>
        <w:t>0</w:t>
      </w:r>
      <w:r>
        <w:rPr>
          <w:rFonts w:hint="eastAsia" w:ascii="仿宋_GB2312" w:eastAsia="仿宋_GB2312" w:cs="仿宋_GB2312"/>
          <w:color w:val="auto"/>
          <w:kern w:val="0"/>
          <w:sz w:val="32"/>
          <w:szCs w:val="32"/>
          <w:u w:val="none"/>
        </w:rPr>
        <w:t>辆</w:t>
      </w:r>
      <w:r>
        <w:rPr>
          <w:rFonts w:hint="eastAsia" w:ascii="仿宋_GB2312" w:eastAsia="仿宋_GB2312" w:cs="仿宋_GB2312"/>
          <w:color w:val="auto"/>
          <w:kern w:val="0"/>
          <w:sz w:val="32"/>
          <w:szCs w:val="32"/>
          <w:u w:val="none"/>
          <w:lang w:eastAsia="zh-CN"/>
        </w:rPr>
        <w:t>；</w:t>
      </w:r>
      <w:r>
        <w:rPr>
          <w:rFonts w:hint="eastAsia" w:ascii="仿宋_GB2312" w:eastAsia="仿宋_GB2312" w:cs="仿宋_GB2312"/>
          <w:color w:val="auto"/>
          <w:kern w:val="0"/>
          <w:sz w:val="32"/>
          <w:szCs w:val="32"/>
          <w:u w:val="none"/>
        </w:rPr>
        <w:t>执法执勤用车</w:t>
      </w:r>
      <w:r>
        <w:rPr>
          <w:rFonts w:hint="eastAsia" w:ascii="仿宋_GB2312" w:eastAsia="仿宋_GB2312" w:cs="仿宋_GB2312"/>
          <w:color w:val="auto"/>
          <w:kern w:val="0"/>
          <w:sz w:val="32"/>
          <w:szCs w:val="32"/>
          <w:u w:val="none"/>
          <w:lang w:val="en-US" w:eastAsia="zh-CN"/>
        </w:rPr>
        <w:t>0</w:t>
      </w:r>
      <w:r>
        <w:rPr>
          <w:rFonts w:hint="eastAsia" w:ascii="仿宋_GB2312" w:eastAsia="仿宋_GB2312" w:cs="仿宋_GB2312"/>
          <w:color w:val="auto"/>
          <w:kern w:val="0"/>
          <w:sz w:val="32"/>
          <w:szCs w:val="32"/>
          <w:u w:val="none"/>
        </w:rPr>
        <w:t>辆；专业技术用</w:t>
      </w:r>
      <w:r>
        <w:rPr>
          <w:rFonts w:hint="eastAsia" w:ascii="仿宋_GB2312" w:eastAsia="仿宋_GB2312" w:cs="仿宋_GB2312"/>
          <w:color w:val="auto"/>
          <w:kern w:val="0"/>
          <w:sz w:val="32"/>
          <w:szCs w:val="32"/>
          <w:u w:val="none"/>
          <w:lang w:eastAsia="zh-CN"/>
        </w:rPr>
        <w:t>车</w:t>
      </w:r>
      <w:r>
        <w:rPr>
          <w:rFonts w:hint="eastAsia" w:ascii="仿宋_GB2312" w:eastAsia="仿宋_GB2312" w:cs="仿宋_GB2312"/>
          <w:color w:val="auto"/>
          <w:kern w:val="0"/>
          <w:sz w:val="32"/>
          <w:szCs w:val="32"/>
          <w:u w:val="none"/>
          <w:lang w:val="en-US" w:eastAsia="zh-CN"/>
        </w:rPr>
        <w:t>0</w:t>
      </w:r>
      <w:r>
        <w:rPr>
          <w:rFonts w:hint="eastAsia" w:ascii="仿宋_GB2312" w:eastAsia="仿宋_GB2312" w:cs="仿宋_GB2312"/>
          <w:color w:val="auto"/>
          <w:kern w:val="0"/>
          <w:sz w:val="32"/>
          <w:szCs w:val="32"/>
          <w:u w:val="none"/>
        </w:rPr>
        <w:t>辆；单价50万元以上通用设备</w:t>
      </w:r>
      <w:r>
        <w:rPr>
          <w:rFonts w:hint="eastAsia" w:hAnsi="宋体" w:eastAsia="仿宋_GB2312"/>
          <w:color w:val="auto"/>
          <w:sz w:val="28"/>
          <w:szCs w:val="28"/>
          <w:lang w:val="en-US" w:eastAsia="zh-CN"/>
        </w:rPr>
        <w:t>0</w:t>
      </w:r>
      <w:r>
        <w:rPr>
          <w:rFonts w:hint="eastAsia" w:ascii="仿宋_GB2312" w:eastAsia="仿宋_GB2312" w:cs="仿宋_GB2312"/>
          <w:color w:val="auto"/>
          <w:kern w:val="0"/>
          <w:sz w:val="32"/>
          <w:szCs w:val="32"/>
          <w:u w:val="none"/>
        </w:rPr>
        <w:t>台（套）</w:t>
      </w:r>
      <w:r>
        <w:rPr>
          <w:rFonts w:hint="eastAsia" w:ascii="仿宋_GB2312" w:eastAsia="仿宋_GB2312" w:cs="仿宋_GB2312"/>
          <w:color w:val="auto"/>
          <w:kern w:val="0"/>
          <w:sz w:val="32"/>
          <w:szCs w:val="32"/>
          <w:u w:val="none"/>
          <w:lang w:eastAsia="zh-CN"/>
        </w:rPr>
        <w:t>，</w:t>
      </w:r>
      <w:r>
        <w:rPr>
          <w:rFonts w:hint="eastAsia" w:ascii="仿宋_GB2312" w:eastAsia="仿宋_GB2312" w:cs="仿宋_GB2312"/>
          <w:color w:val="auto"/>
          <w:kern w:val="0"/>
          <w:sz w:val="32"/>
          <w:szCs w:val="32"/>
          <w:u w:val="none"/>
        </w:rPr>
        <w:t>单价100万元以上专用设备</w:t>
      </w:r>
      <w:r>
        <w:rPr>
          <w:rFonts w:hint="eastAsia" w:hAnsi="宋体" w:eastAsia="仿宋_GB2312"/>
          <w:color w:val="auto"/>
          <w:sz w:val="28"/>
          <w:szCs w:val="28"/>
          <w:lang w:val="en-US" w:eastAsia="zh-CN"/>
        </w:rPr>
        <w:t>0</w:t>
      </w:r>
      <w:r>
        <w:rPr>
          <w:rFonts w:hint="eastAsia" w:ascii="仿宋_GB2312" w:eastAsia="仿宋_GB2312" w:cs="仿宋_GB2312"/>
          <w:color w:val="auto"/>
          <w:kern w:val="0"/>
          <w:sz w:val="32"/>
          <w:szCs w:val="32"/>
          <w:u w:val="none"/>
          <w:lang w:eastAsia="zh-CN"/>
        </w:rPr>
        <w:t>台</w:t>
      </w:r>
      <w:r>
        <w:rPr>
          <w:rFonts w:hint="eastAsia" w:ascii="仿宋_GB2312" w:eastAsia="仿宋_GB2312" w:cs="仿宋_GB2312"/>
          <w:color w:val="auto"/>
          <w:kern w:val="0"/>
          <w:sz w:val="32"/>
          <w:szCs w:val="32"/>
          <w:u w:val="none"/>
        </w:rPr>
        <w:t>（套）。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abstractNum w:abstractNumId="1">
    <w:nsid w:val="617C2554"/>
    <w:multiLevelType w:val="singleLevel"/>
    <w:tmpl w:val="617C255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000000"/>
    <w:rsid w:val="05345CEE"/>
    <w:rsid w:val="7CC945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1"/>
    <w:basedOn w:val="12"/>
    <w:qFormat/>
    <w:uiPriority w:val="3"/>
    <w:pPr>
      <w:widowControl/>
      <w:jc w:val="both"/>
    </w:pPr>
    <w:rPr>
      <w:rFonts w:ascii="Times New Roman" w:hAnsi="Times New Roman" w:eastAsia="Times New Roman"/>
      <w:sz w:val="21"/>
    </w:rPr>
  </w:style>
  <w:style w:type="paragraph" w:customStyle="1" w:styleId="12">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4678</Words>
  <Characters>5205</Characters>
  <Lines>60</Lines>
  <Paragraphs>17</Paragraphs>
  <TotalTime>1</TotalTime>
  <ScaleCrop>false</ScaleCrop>
  <LinksUpToDate>false</LinksUpToDate>
  <CharactersWithSpaces>5206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2020-07-15T16:43:00Z</dcterms:created>
  <dc:creator>陈冬雪</dc:creator>
  <cp:lastModifiedBy>哒哒陳</cp:lastModifiedBy>
  <cp:lastPrinted>2021-07-07T09:10:00Z</cp:lastPrinted>
  <dcterms:modified xsi:type="dcterms:W3CDTF">2022-09-13T02:32:14Z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1FCADF459A9BAB0ADC951E6337010385</vt:lpwstr>
  </property>
</Properties>
</file>