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highlight w:val="none"/>
        </w:rPr>
      </w:pPr>
    </w:p>
    <w:p>
      <w:pPr>
        <w:rPr>
          <w:rFonts w:ascii="黑体" w:eastAsia="黑体" w:cs="ArialUnicodeMS"/>
          <w:kern w:val="0"/>
          <w:sz w:val="72"/>
          <w:szCs w:val="72"/>
          <w:highlight w:val="none"/>
        </w:rPr>
      </w:pPr>
    </w:p>
    <w:p>
      <w:pPr>
        <w:rPr>
          <w:rFonts w:ascii="黑体" w:eastAsia="黑体" w:cs="ArialUnicodeMS"/>
          <w:kern w:val="0"/>
          <w:sz w:val="72"/>
          <w:szCs w:val="72"/>
          <w:highlight w:val="none"/>
        </w:rPr>
      </w:pPr>
    </w:p>
    <w:p>
      <w:pPr>
        <w:jc w:val="center"/>
        <w:rPr>
          <w:rFonts w:hint="eastAsia" w:ascii="黑体" w:eastAsia="黑体" w:cs="ArialUnicodeMS"/>
          <w:kern w:val="0"/>
          <w:sz w:val="52"/>
          <w:szCs w:val="52"/>
          <w:highlight w:val="none"/>
          <w:lang w:eastAsia="zh-CN"/>
        </w:rPr>
      </w:pPr>
      <w:r>
        <w:rPr>
          <w:rFonts w:hint="eastAsia" w:ascii="黑体" w:eastAsia="黑体" w:cs="ArialUnicodeMS"/>
          <w:kern w:val="0"/>
          <w:sz w:val="52"/>
          <w:szCs w:val="52"/>
          <w:highlight w:val="none"/>
        </w:rPr>
        <w:t>柳州市</w:t>
      </w:r>
      <w:r>
        <w:rPr>
          <w:rFonts w:hint="eastAsia" w:ascii="黑体" w:eastAsia="黑体" w:cs="ArialUnicodeMS"/>
          <w:kern w:val="0"/>
          <w:sz w:val="52"/>
          <w:szCs w:val="52"/>
          <w:highlight w:val="none"/>
          <w:lang w:eastAsia="zh-CN"/>
        </w:rPr>
        <w:t>铁二中学</w:t>
      </w:r>
    </w:p>
    <w:p>
      <w:pPr>
        <w:jc w:val="center"/>
        <w:rPr>
          <w:rFonts w:ascii="黑体" w:eastAsia="黑体" w:cs="ArialUnicodeMS"/>
          <w:kern w:val="0"/>
          <w:sz w:val="52"/>
          <w:szCs w:val="52"/>
          <w:highlight w:val="none"/>
        </w:rPr>
      </w:pPr>
      <w:r>
        <w:rPr>
          <w:rFonts w:hint="eastAsia" w:ascii="黑体" w:eastAsia="黑体"/>
          <w:kern w:val="0"/>
          <w:sz w:val="52"/>
          <w:szCs w:val="52"/>
          <w:highlight w:val="none"/>
        </w:rPr>
        <w:t>2020</w:t>
      </w:r>
      <w:r>
        <w:rPr>
          <w:rFonts w:hint="eastAsia" w:ascii="黑体" w:eastAsia="黑体" w:cs="ArialUnicodeMS"/>
          <w:kern w:val="0"/>
          <w:sz w:val="52"/>
          <w:szCs w:val="52"/>
          <w:highlight w:val="none"/>
        </w:rPr>
        <w:t>年度</w:t>
      </w:r>
      <w:r>
        <w:rPr>
          <w:rFonts w:hint="eastAsia" w:ascii="黑体" w:eastAsia="黑体" w:cs="ArialUnicodeMS"/>
          <w:kern w:val="0"/>
          <w:sz w:val="52"/>
          <w:szCs w:val="52"/>
          <w:highlight w:val="none"/>
          <w:lang w:eastAsia="zh-CN"/>
        </w:rPr>
        <w:t>单位</w:t>
      </w:r>
      <w:r>
        <w:rPr>
          <w:rFonts w:hint="eastAsia" w:ascii="黑体" w:eastAsia="黑体" w:cs="ArialUnicodeMS"/>
          <w:kern w:val="0"/>
          <w:sz w:val="52"/>
          <w:szCs w:val="52"/>
          <w:highlight w:val="none"/>
        </w:rPr>
        <w:t>决算</w:t>
      </w:r>
    </w:p>
    <w:p>
      <w:pPr>
        <w:rPr>
          <w:rFonts w:ascii="ArialUnicodeMS" w:eastAsia="ArialUnicodeMS" w:cs="ArialUnicodeMS"/>
          <w:kern w:val="0"/>
          <w:sz w:val="84"/>
          <w:szCs w:val="84"/>
          <w:highlight w:val="none"/>
        </w:rPr>
      </w:pPr>
    </w:p>
    <w:p>
      <w:pPr>
        <w:rPr>
          <w:rFonts w:ascii="ArialUnicodeMS" w:eastAsia="ArialUnicodeMS" w:cs="ArialUnicodeMS"/>
          <w:kern w:val="0"/>
          <w:sz w:val="84"/>
          <w:szCs w:val="84"/>
          <w:highlight w:val="none"/>
        </w:rPr>
      </w:pPr>
    </w:p>
    <w:p>
      <w:pPr>
        <w:rPr>
          <w:rFonts w:ascii="ArialUnicodeMS" w:eastAsia="ArialUnicodeMS" w:cs="ArialUnicodeMS"/>
          <w:kern w:val="0"/>
          <w:sz w:val="84"/>
          <w:szCs w:val="84"/>
          <w:highlight w:val="none"/>
        </w:rPr>
      </w:pPr>
    </w:p>
    <w:p>
      <w:pPr>
        <w:rPr>
          <w:rFonts w:ascii="ArialUnicodeMS" w:eastAsia="ArialUnicodeMS" w:cs="ArialUnicodeMS"/>
          <w:kern w:val="0"/>
          <w:sz w:val="84"/>
          <w:szCs w:val="84"/>
          <w:highlight w:val="none"/>
        </w:rPr>
      </w:pPr>
    </w:p>
    <w:p>
      <w:pPr>
        <w:rPr>
          <w:rFonts w:ascii="ArialUnicodeMS" w:eastAsia="ArialUnicodeMS" w:cs="ArialUnicodeMS"/>
          <w:kern w:val="0"/>
          <w:sz w:val="84"/>
          <w:szCs w:val="84"/>
          <w:highlight w:val="none"/>
        </w:rPr>
      </w:pPr>
    </w:p>
    <w:p>
      <w:pPr>
        <w:rPr>
          <w:rFonts w:ascii="ArialUnicodeMS" w:eastAsia="ArialUnicodeMS" w:cs="ArialUnicodeMS"/>
          <w:kern w:val="0"/>
          <w:sz w:val="84"/>
          <w:szCs w:val="84"/>
          <w:highlight w:val="none"/>
        </w:rPr>
      </w:pPr>
    </w:p>
    <w:p>
      <w:pPr>
        <w:rPr>
          <w:rFonts w:ascii="ArialUnicodeMS" w:eastAsia="ArialUnicodeMS" w:cs="ArialUnicodeMS"/>
          <w:kern w:val="0"/>
          <w:sz w:val="84"/>
          <w:szCs w:val="84"/>
          <w:highlight w:val="none"/>
        </w:rPr>
      </w:pPr>
    </w:p>
    <w:p>
      <w:pPr>
        <w:rPr>
          <w:rFonts w:ascii="ArialUnicodeMS" w:eastAsia="ArialUnicodeMS" w:cs="ArialUnicodeMS"/>
          <w:kern w:val="0"/>
          <w:sz w:val="84"/>
          <w:szCs w:val="84"/>
          <w:highlight w:val="none"/>
        </w:rPr>
      </w:pPr>
    </w:p>
    <w:p>
      <w:pPr>
        <w:jc w:val="center"/>
        <w:rPr>
          <w:rFonts w:ascii="黑体" w:eastAsia="黑体" w:cs="黑体"/>
          <w:kern w:val="0"/>
          <w:sz w:val="44"/>
          <w:szCs w:val="44"/>
          <w:highlight w:val="none"/>
        </w:rPr>
      </w:pPr>
    </w:p>
    <w:p>
      <w:pPr>
        <w:ind w:firstLine="646"/>
        <w:jc w:val="center"/>
        <w:rPr>
          <w:rFonts w:ascii="方正小标宋简体" w:eastAsia="方正小标宋简体"/>
          <w:b/>
          <w:sz w:val="44"/>
          <w:szCs w:val="44"/>
          <w:highlight w:val="none"/>
        </w:rPr>
      </w:pPr>
      <w:r>
        <w:rPr>
          <w:rFonts w:hint="eastAsia" w:ascii="方正小标宋简体" w:eastAsia="方正小标宋简体"/>
          <w:b/>
          <w:sz w:val="44"/>
          <w:szCs w:val="44"/>
          <w:highlight w:val="none"/>
        </w:rPr>
        <w:t>目    录</w:t>
      </w:r>
    </w:p>
    <w:p>
      <w:pPr>
        <w:ind w:firstLine="645"/>
        <w:rPr>
          <w:rFonts w:ascii="仿宋_GB2312" w:eastAsia="仿宋_GB2312"/>
          <w:b/>
          <w:sz w:val="32"/>
          <w:szCs w:val="32"/>
          <w:highlight w:val="none"/>
        </w:rPr>
      </w:pPr>
    </w:p>
    <w:p>
      <w:pPr>
        <w:ind w:firstLine="645"/>
        <w:rPr>
          <w:rFonts w:ascii="仿宋_GB2312" w:eastAsia="仿宋_GB2312"/>
          <w:b/>
          <w:sz w:val="32"/>
          <w:szCs w:val="32"/>
          <w:highlight w:val="none"/>
        </w:rPr>
      </w:pPr>
      <w:r>
        <w:rPr>
          <w:rFonts w:hint="eastAsia" w:ascii="仿宋_GB2312" w:eastAsia="仿宋_GB2312"/>
          <w:b/>
          <w:sz w:val="32"/>
          <w:szCs w:val="32"/>
          <w:highlight w:val="none"/>
        </w:rPr>
        <w:t>第一部分：</w:t>
      </w:r>
      <w:r>
        <w:rPr>
          <w:rFonts w:hint="eastAsia" w:ascii="仿宋_GB2312" w:eastAsia="仿宋_GB2312"/>
          <w:b/>
          <w:sz w:val="32"/>
          <w:szCs w:val="32"/>
          <w:highlight w:val="none"/>
          <w:lang w:eastAsia="zh-CN"/>
        </w:rPr>
        <w:t>柳州市铁二中学</w:t>
      </w:r>
      <w:r>
        <w:rPr>
          <w:rFonts w:hint="eastAsia" w:ascii="仿宋_GB2312" w:eastAsia="仿宋_GB2312"/>
          <w:b/>
          <w:sz w:val="32"/>
          <w:szCs w:val="32"/>
          <w:highlight w:val="none"/>
        </w:rPr>
        <w:t>概况</w:t>
      </w:r>
    </w:p>
    <w:p>
      <w:pPr>
        <w:ind w:firstLine="645"/>
        <w:rPr>
          <w:rFonts w:ascii="仿宋_GB2312" w:eastAsia="仿宋_GB2312"/>
          <w:sz w:val="32"/>
          <w:szCs w:val="32"/>
          <w:highlight w:val="none"/>
        </w:rPr>
      </w:pPr>
      <w:r>
        <w:rPr>
          <w:rFonts w:hint="eastAsia" w:ascii="仿宋_GB2312" w:eastAsia="仿宋_GB2312"/>
          <w:sz w:val="32"/>
          <w:szCs w:val="32"/>
          <w:highlight w:val="none"/>
        </w:rPr>
        <w:t>一、主要职能</w:t>
      </w:r>
    </w:p>
    <w:p>
      <w:pPr>
        <w:ind w:firstLine="645"/>
        <w:rPr>
          <w:rFonts w:ascii="仿宋_GB2312" w:eastAsia="仿宋_GB2312"/>
          <w:sz w:val="32"/>
          <w:szCs w:val="32"/>
          <w:highlight w:val="none"/>
        </w:rPr>
      </w:pPr>
      <w:r>
        <w:rPr>
          <w:rFonts w:hint="eastAsia" w:ascii="仿宋_GB2312" w:eastAsia="仿宋_GB2312"/>
          <w:sz w:val="32"/>
          <w:szCs w:val="32"/>
          <w:highlight w:val="none"/>
        </w:rPr>
        <w:t>二、部门决算单位构成</w:t>
      </w:r>
    </w:p>
    <w:p>
      <w:pPr>
        <w:ind w:firstLine="645"/>
        <w:rPr>
          <w:rFonts w:ascii="仿宋_GB2312" w:eastAsia="仿宋_GB2312"/>
          <w:b/>
          <w:sz w:val="32"/>
          <w:szCs w:val="32"/>
          <w:highlight w:val="none"/>
        </w:rPr>
      </w:pPr>
      <w:r>
        <w:rPr>
          <w:rFonts w:hint="eastAsia" w:ascii="仿宋_GB2312" w:eastAsia="仿宋_GB2312"/>
          <w:b/>
          <w:sz w:val="32"/>
          <w:szCs w:val="32"/>
          <w:highlight w:val="none"/>
        </w:rPr>
        <w:t>第二部分：</w:t>
      </w:r>
      <w:r>
        <w:rPr>
          <w:rFonts w:hint="eastAsia" w:ascii="仿宋_GB2312" w:eastAsia="仿宋_GB2312"/>
          <w:b/>
          <w:sz w:val="32"/>
          <w:szCs w:val="32"/>
          <w:highlight w:val="none"/>
          <w:lang w:eastAsia="zh-CN"/>
        </w:rPr>
        <w:t>柳州市铁二中学</w:t>
      </w:r>
      <w:r>
        <w:rPr>
          <w:rFonts w:hint="eastAsia" w:ascii="仿宋_GB2312" w:eastAsia="仿宋_GB2312"/>
          <w:b/>
          <w:sz w:val="32"/>
          <w:szCs w:val="32"/>
          <w:highlight w:val="none"/>
        </w:rPr>
        <w:t>2020年</w:t>
      </w:r>
      <w:r>
        <w:rPr>
          <w:rFonts w:hint="eastAsia" w:ascii="仿宋_GB2312" w:eastAsia="仿宋_GB2312"/>
          <w:b/>
          <w:sz w:val="32"/>
          <w:szCs w:val="32"/>
          <w:highlight w:val="none"/>
          <w:lang w:eastAsia="zh-CN"/>
        </w:rPr>
        <w:t>单位</w:t>
      </w:r>
      <w:r>
        <w:rPr>
          <w:rFonts w:hint="eastAsia" w:ascii="仿宋_GB2312" w:eastAsia="仿宋_GB2312"/>
          <w:b/>
          <w:sz w:val="32"/>
          <w:szCs w:val="32"/>
          <w:highlight w:val="none"/>
        </w:rPr>
        <w:t>决算报表</w:t>
      </w:r>
    </w:p>
    <w:p>
      <w:pPr>
        <w:ind w:left="645"/>
        <w:rPr>
          <w:rFonts w:ascii="仿宋_GB2312" w:eastAsia="仿宋_GB2312"/>
          <w:sz w:val="32"/>
          <w:szCs w:val="32"/>
          <w:highlight w:val="none"/>
        </w:rPr>
      </w:pPr>
      <w:r>
        <w:rPr>
          <w:rFonts w:hint="eastAsia" w:ascii="仿宋_GB2312" w:eastAsia="仿宋_GB2312"/>
          <w:sz w:val="32"/>
          <w:szCs w:val="32"/>
          <w:highlight w:val="none"/>
        </w:rPr>
        <w:t>表一：收入支出决算总表</w:t>
      </w:r>
    </w:p>
    <w:p>
      <w:pPr>
        <w:ind w:left="645"/>
        <w:rPr>
          <w:rFonts w:ascii="仿宋_GB2312" w:eastAsia="仿宋_GB2312"/>
          <w:sz w:val="32"/>
          <w:szCs w:val="32"/>
          <w:highlight w:val="none"/>
        </w:rPr>
      </w:pPr>
      <w:r>
        <w:rPr>
          <w:rFonts w:hint="eastAsia" w:ascii="仿宋_GB2312" w:eastAsia="仿宋_GB2312"/>
          <w:sz w:val="32"/>
          <w:szCs w:val="32"/>
          <w:highlight w:val="none"/>
        </w:rPr>
        <w:t>表二：收入决算表</w:t>
      </w:r>
    </w:p>
    <w:p>
      <w:pPr>
        <w:ind w:left="645"/>
        <w:rPr>
          <w:rFonts w:ascii="仿宋_GB2312" w:eastAsia="仿宋_GB2312"/>
          <w:sz w:val="32"/>
          <w:szCs w:val="32"/>
          <w:highlight w:val="none"/>
        </w:rPr>
      </w:pPr>
      <w:r>
        <w:rPr>
          <w:rFonts w:hint="eastAsia" w:ascii="仿宋_GB2312" w:eastAsia="仿宋_GB2312"/>
          <w:sz w:val="32"/>
          <w:szCs w:val="32"/>
          <w:highlight w:val="none"/>
        </w:rPr>
        <w:t>表三：支出决算表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ind w:left="645"/>
        <w:rPr>
          <w:rFonts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表六：一般公共预算财政拨款基本支出决算表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表七：一般公共预算财政拨款安排的“</w:t>
      </w:r>
      <w:r>
        <w:rPr>
          <w:rFonts w:ascii="仿宋_GB2312" w:eastAsia="仿宋_GB2312"/>
          <w:sz w:val="32"/>
          <w:szCs w:val="32"/>
          <w:highlight w:val="none"/>
        </w:rPr>
        <w:t>三公</w:t>
      </w:r>
      <w:r>
        <w:rPr>
          <w:rFonts w:hint="eastAsia" w:ascii="仿宋_GB2312" w:eastAsia="仿宋_GB2312"/>
          <w:sz w:val="32"/>
          <w:szCs w:val="32"/>
          <w:highlight w:val="none"/>
        </w:rPr>
        <w:t>”</w:t>
      </w:r>
      <w:r>
        <w:rPr>
          <w:rFonts w:ascii="仿宋_GB2312" w:eastAsia="仿宋_GB2312"/>
          <w:sz w:val="32"/>
          <w:szCs w:val="32"/>
          <w:highlight w:val="none"/>
        </w:rPr>
        <w:t>经费</w:t>
      </w:r>
      <w:r>
        <w:rPr>
          <w:rFonts w:hint="eastAsia" w:ascii="仿宋_GB2312" w:eastAsia="仿宋_GB2312"/>
          <w:sz w:val="32"/>
          <w:szCs w:val="32"/>
          <w:highlight w:val="none"/>
        </w:rPr>
        <w:t>支出决算表</w:t>
      </w:r>
    </w:p>
    <w:p>
      <w:pPr>
        <w:ind w:left="645"/>
        <w:rPr>
          <w:rFonts w:hint="eastAsia" w:ascii="仿宋_GB2312" w:eastAsia="仿宋_GB2312"/>
          <w:sz w:val="32"/>
          <w:szCs w:val="32"/>
          <w:highlight w:val="none"/>
        </w:rPr>
      </w:pPr>
      <w:r>
        <w:rPr>
          <w:rFonts w:hint="eastAsia" w:ascii="仿宋_GB2312" w:eastAsia="仿宋_GB2312"/>
          <w:sz w:val="32"/>
          <w:szCs w:val="32"/>
          <w:highlight w:val="none"/>
        </w:rPr>
        <w:t>表八：政府性基金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highlight w:val="none"/>
        </w:rPr>
      </w:pPr>
      <w:r>
        <w:rPr>
          <w:rFonts w:hint="eastAsia" w:ascii="仿宋_GB2312" w:eastAsia="仿宋_GB2312"/>
          <w:b/>
          <w:sz w:val="32"/>
          <w:szCs w:val="32"/>
          <w:highlight w:val="none"/>
        </w:rPr>
        <w:t>第三部分：</w:t>
      </w:r>
      <w:r>
        <w:rPr>
          <w:rFonts w:hint="eastAsia" w:ascii="仿宋_GB2312" w:eastAsia="仿宋_GB2312"/>
          <w:b/>
          <w:sz w:val="32"/>
          <w:szCs w:val="32"/>
          <w:highlight w:val="none"/>
          <w:lang w:eastAsia="zh-CN"/>
        </w:rPr>
        <w:t>柳州市铁二中学</w:t>
      </w:r>
      <w:r>
        <w:rPr>
          <w:rFonts w:hint="eastAsia" w:ascii="仿宋_GB2312" w:eastAsia="仿宋_GB2312"/>
          <w:b/>
          <w:sz w:val="32"/>
          <w:szCs w:val="32"/>
          <w:highlight w:val="none"/>
        </w:rPr>
        <w:t>2020年度</w:t>
      </w:r>
      <w:r>
        <w:rPr>
          <w:rFonts w:hint="eastAsia" w:ascii="仿宋_GB2312" w:eastAsia="仿宋_GB2312"/>
          <w:b/>
          <w:sz w:val="32"/>
          <w:szCs w:val="32"/>
          <w:highlight w:val="none"/>
          <w:lang w:eastAsia="zh-CN"/>
        </w:rPr>
        <w:t>单位</w:t>
      </w:r>
      <w:r>
        <w:rPr>
          <w:rFonts w:hint="eastAsia" w:ascii="仿宋_GB2312" w:eastAsia="仿宋_GB2312"/>
          <w:b/>
          <w:sz w:val="32"/>
          <w:szCs w:val="32"/>
          <w:highlight w:val="none"/>
        </w:rPr>
        <w:t>决算情况说明</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年度收入决算情况。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eastAsia="仿宋_GB2312"/>
          <w:kern w:val="0"/>
          <w:sz w:val="32"/>
          <w:szCs w:val="32"/>
          <w:highlight w:val="none"/>
        </w:rPr>
        <w:t>2020</w:t>
      </w:r>
      <w:r>
        <w:rPr>
          <w:rFonts w:hint="eastAsia" w:ascii="仿宋_GB2312" w:eastAsia="仿宋_GB2312" w:cs="仿宋_GB2312"/>
          <w:kern w:val="0"/>
          <w:sz w:val="32"/>
          <w:szCs w:val="32"/>
          <w:highlight w:val="none"/>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五、</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kern w:val="0"/>
          <w:sz w:val="32"/>
          <w:szCs w:val="32"/>
          <w:highlight w:val="none"/>
        </w:rPr>
        <w:t>八、</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eastAsia="zh-CN"/>
        </w:rPr>
        <w:t>十、</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bCs/>
          <w:kern w:val="0"/>
          <w:sz w:val="32"/>
          <w:szCs w:val="32"/>
          <w:highlight w:val="none"/>
        </w:rPr>
        <w:t>十</w:t>
      </w:r>
      <w:r>
        <w:rPr>
          <w:rFonts w:hint="eastAsia" w:ascii="仿宋_GB2312" w:eastAsia="仿宋_GB2312" w:cs="仿宋_GB2312"/>
          <w:bCs/>
          <w:kern w:val="0"/>
          <w:sz w:val="32"/>
          <w:szCs w:val="32"/>
          <w:highlight w:val="none"/>
          <w:lang w:eastAsia="zh-CN"/>
        </w:rPr>
        <w:t>一</w:t>
      </w:r>
      <w:r>
        <w:rPr>
          <w:rFonts w:hint="eastAsia" w:ascii="仿宋_GB2312" w:eastAsia="仿宋_GB2312" w:cs="仿宋_GB2312"/>
          <w:bCs/>
          <w:kern w:val="0"/>
          <w:sz w:val="32"/>
          <w:szCs w:val="32"/>
          <w:highlight w:val="none"/>
        </w:rPr>
        <w:t>、其他重要事项的情况说明</w:t>
      </w:r>
    </w:p>
    <w:p>
      <w:pPr>
        <w:ind w:firstLine="645"/>
        <w:rPr>
          <w:rFonts w:ascii="仿宋_GB2312" w:eastAsia="仿宋_GB2312"/>
          <w:b/>
          <w:sz w:val="32"/>
          <w:szCs w:val="32"/>
          <w:highlight w:val="none"/>
        </w:rPr>
      </w:pPr>
      <w:r>
        <w:rPr>
          <w:rFonts w:hint="eastAsia" w:ascii="仿宋_GB2312" w:eastAsia="仿宋_GB2312"/>
          <w:b/>
          <w:sz w:val="32"/>
          <w:szCs w:val="32"/>
          <w:highlight w:val="none"/>
        </w:rPr>
        <w:t>第四部分：名词解释</w:t>
      </w:r>
    </w:p>
    <w:p>
      <w:pPr>
        <w:ind w:firstLine="646"/>
        <w:jc w:val="center"/>
        <w:rPr>
          <w:rFonts w:ascii="仿宋_GB2312" w:eastAsia="仿宋_GB2312"/>
          <w:b/>
          <w:sz w:val="32"/>
          <w:szCs w:val="32"/>
          <w:highlight w:val="none"/>
        </w:rPr>
      </w:pPr>
      <w:r>
        <w:rPr>
          <w:rFonts w:hint="eastAsia" w:ascii="仿宋_GB2312" w:eastAsia="仿宋_GB2312" w:cs="仿宋_GB2312"/>
          <w:bCs/>
          <w:kern w:val="0"/>
          <w:sz w:val="32"/>
          <w:szCs w:val="32"/>
          <w:highlight w:val="none"/>
        </w:rPr>
        <w:br w:type="page"/>
      </w:r>
      <w:r>
        <w:rPr>
          <w:rFonts w:hint="eastAsia" w:ascii="仿宋_GB2312" w:eastAsia="仿宋_GB2312"/>
          <w:b/>
          <w:sz w:val="32"/>
          <w:szCs w:val="32"/>
          <w:highlight w:val="none"/>
        </w:rPr>
        <w:t>第一部分：</w:t>
      </w:r>
      <w:r>
        <w:rPr>
          <w:rFonts w:hint="eastAsia" w:ascii="仿宋_GB2312" w:eastAsia="仿宋_GB2312"/>
          <w:b/>
          <w:sz w:val="32"/>
          <w:szCs w:val="32"/>
          <w:highlight w:val="none"/>
          <w:lang w:eastAsia="zh-CN"/>
        </w:rPr>
        <w:t>柳州市铁二中学</w:t>
      </w:r>
      <w:r>
        <w:rPr>
          <w:rFonts w:hint="eastAsia" w:ascii="仿宋_GB2312" w:eastAsia="仿宋_GB2312"/>
          <w:b/>
          <w:sz w:val="32"/>
          <w:szCs w:val="32"/>
          <w:highlight w:val="none"/>
        </w:rPr>
        <w:t>概况</w:t>
      </w:r>
    </w:p>
    <w:p>
      <w:pPr>
        <w:ind w:firstLine="646"/>
        <w:rPr>
          <w:rFonts w:ascii="仿宋_GB2312" w:eastAsia="仿宋_GB2312"/>
          <w:sz w:val="32"/>
          <w:szCs w:val="32"/>
          <w:highlight w:val="none"/>
        </w:rPr>
      </w:pPr>
      <w:r>
        <w:rPr>
          <w:rFonts w:hint="eastAsia" w:ascii="仿宋_GB2312" w:eastAsia="仿宋_GB2312"/>
          <w:sz w:val="32"/>
          <w:szCs w:val="32"/>
          <w:highlight w:val="none"/>
        </w:rPr>
        <w:t>一、主要职能</w:t>
      </w:r>
    </w:p>
    <w:p>
      <w:pPr>
        <w:ind w:firstLine="646"/>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高中教育</w:t>
      </w:r>
    </w:p>
    <w:p>
      <w:pPr>
        <w:ind w:firstLine="646"/>
        <w:rPr>
          <w:rFonts w:ascii="仿宋_GB2312" w:eastAsia="仿宋_GB2312"/>
          <w:sz w:val="32"/>
          <w:szCs w:val="32"/>
          <w:highlight w:val="none"/>
        </w:rPr>
      </w:pPr>
      <w:r>
        <w:rPr>
          <w:rFonts w:hint="eastAsia" w:ascii="仿宋_GB2312" w:eastAsia="仿宋_GB2312"/>
          <w:sz w:val="32"/>
          <w:szCs w:val="32"/>
          <w:highlight w:val="none"/>
        </w:rPr>
        <w:t>二、部门决算单位构成</w:t>
      </w:r>
    </w:p>
    <w:p>
      <w:pPr>
        <w:ind w:firstLine="640" w:firstLineChars="200"/>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eastAsia="zh-CN"/>
        </w:rPr>
        <w:t>柳州市铁二中学为柳州市</w:t>
      </w:r>
      <w:r>
        <w:rPr>
          <w:rFonts w:hint="eastAsia" w:ascii="仿宋_GB2312" w:hAnsi="华文仿宋" w:eastAsia="仿宋_GB2312"/>
          <w:sz w:val="32"/>
          <w:szCs w:val="32"/>
          <w:highlight w:val="none"/>
          <w:lang w:val="en-US" w:eastAsia="zh-CN"/>
        </w:rPr>
        <w:t>教育局管理的副处级公益二类全额拨款事业单位，为柳州市教育局的二层单位。</w:t>
      </w:r>
    </w:p>
    <w:p>
      <w:pPr>
        <w:rPr>
          <w:rFonts w:hint="eastAsia" w:ascii="仿宋_GB2312" w:hAnsi="华文仿宋" w:eastAsia="仿宋_GB2312"/>
          <w:sz w:val="32"/>
          <w:szCs w:val="32"/>
          <w:highlight w:val="none"/>
          <w:lang w:val="en-US" w:eastAsia="zh-CN"/>
        </w:rPr>
      </w:pPr>
    </w:p>
    <w:p>
      <w:pPr>
        <w:jc w:val="center"/>
        <w:rPr>
          <w:rFonts w:ascii="仿宋_GB2312" w:eastAsia="仿宋_GB2312"/>
          <w:b/>
          <w:sz w:val="32"/>
          <w:szCs w:val="32"/>
          <w:highlight w:val="none"/>
        </w:rPr>
      </w:pPr>
      <w:r>
        <w:rPr>
          <w:rFonts w:hint="eastAsia" w:ascii="仿宋_GB2312" w:eastAsia="仿宋_GB2312"/>
          <w:b/>
          <w:sz w:val="32"/>
          <w:szCs w:val="32"/>
          <w:highlight w:val="none"/>
        </w:rPr>
        <w:t>第二部分：</w:t>
      </w:r>
      <w:r>
        <w:rPr>
          <w:rFonts w:hint="eastAsia" w:ascii="仿宋_GB2312" w:eastAsia="仿宋_GB2312"/>
          <w:b/>
          <w:sz w:val="32"/>
          <w:szCs w:val="32"/>
          <w:highlight w:val="none"/>
          <w:lang w:eastAsia="zh-CN"/>
        </w:rPr>
        <w:t>柳州市铁二中学</w:t>
      </w:r>
      <w:r>
        <w:rPr>
          <w:rFonts w:hint="eastAsia" w:ascii="仿宋_GB2312" w:eastAsia="仿宋_GB2312"/>
          <w:b/>
          <w:sz w:val="32"/>
          <w:szCs w:val="32"/>
          <w:highlight w:val="none"/>
        </w:rPr>
        <w:t xml:space="preserve"> 2020年</w:t>
      </w:r>
      <w:r>
        <w:rPr>
          <w:rFonts w:hint="eastAsia" w:ascii="仿宋_GB2312" w:eastAsia="仿宋_GB2312"/>
          <w:b/>
          <w:sz w:val="32"/>
          <w:szCs w:val="32"/>
          <w:highlight w:val="none"/>
          <w:lang w:eastAsia="zh-CN"/>
        </w:rPr>
        <w:t>单位</w:t>
      </w:r>
      <w:r>
        <w:rPr>
          <w:rFonts w:hint="eastAsia" w:ascii="仿宋_GB2312" w:eastAsia="仿宋_GB2312"/>
          <w:b/>
          <w:sz w:val="32"/>
          <w:szCs w:val="32"/>
          <w:highlight w:val="none"/>
        </w:rPr>
        <w:t>决算报表</w:t>
      </w:r>
    </w:p>
    <w:p>
      <w:pPr>
        <w:ind w:firstLine="640" w:firstLineChars="200"/>
        <w:rPr>
          <w:rFonts w:hint="eastAsia" w:ascii="仿宋_GB2312" w:hAnsi="黑体" w:eastAsia="仿宋_GB2312"/>
          <w:b/>
          <w:sz w:val="32"/>
          <w:szCs w:val="32"/>
          <w:highlight w:val="none"/>
        </w:rPr>
      </w:pPr>
      <w:r>
        <w:rPr>
          <w:rFonts w:hint="eastAsia" w:ascii="仿宋_GB2312" w:hAnsi="黑体" w:eastAsia="仿宋_GB2312"/>
          <w:sz w:val="32"/>
          <w:szCs w:val="32"/>
          <w:highlight w:val="none"/>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widowControl/>
        <w:jc w:val="center"/>
        <w:rPr>
          <w:rFonts w:hint="eastAsia" w:ascii="方正小标宋简体" w:hAnsi="宋体" w:eastAsia="方正小标宋简体" w:cs="宋体"/>
          <w:kern w:val="0"/>
          <w:sz w:val="36"/>
          <w:szCs w:val="36"/>
          <w:highlight w:val="none"/>
        </w:rPr>
      </w:pPr>
    </w:p>
    <w:p>
      <w:pPr>
        <w:widowControl/>
        <w:jc w:val="center"/>
        <w:rPr>
          <w:rFonts w:hint="eastAsia" w:ascii="方正小标宋简体" w:hAnsi="宋体" w:eastAsia="方正小标宋简体" w:cs="宋体"/>
          <w:kern w:val="0"/>
          <w:sz w:val="36"/>
          <w:szCs w:val="36"/>
          <w:highlight w:val="none"/>
        </w:rPr>
      </w:pPr>
    </w:p>
    <w:p>
      <w:pPr>
        <w:widowControl/>
        <w:jc w:val="center"/>
        <w:rPr>
          <w:rFonts w:hint="eastAsia" w:ascii="方正小标宋简体" w:hAnsi="宋体" w:eastAsia="方正小标宋简体" w:cs="宋体"/>
          <w:kern w:val="0"/>
          <w:sz w:val="36"/>
          <w:szCs w:val="36"/>
          <w:highlight w:val="none"/>
        </w:rPr>
      </w:pPr>
    </w:p>
    <w:p>
      <w:pPr>
        <w:widowControl/>
        <w:jc w:val="center"/>
        <w:rPr>
          <w:rFonts w:hint="eastAsia" w:ascii="方正小标宋简体" w:hAnsi="宋体" w:eastAsia="方正小标宋简体" w:cs="宋体"/>
          <w:kern w:val="0"/>
          <w:sz w:val="36"/>
          <w:szCs w:val="36"/>
          <w:highlight w:val="none"/>
        </w:rPr>
      </w:pPr>
    </w:p>
    <w:p>
      <w:pPr>
        <w:widowControl/>
        <w:jc w:val="center"/>
        <w:rPr>
          <w:rFonts w:hint="eastAsia" w:ascii="方正小标宋简体" w:hAnsi="宋体" w:eastAsia="方正小标宋简体" w:cs="宋体"/>
          <w:kern w:val="0"/>
          <w:sz w:val="36"/>
          <w:szCs w:val="36"/>
          <w:highlight w:val="none"/>
        </w:rPr>
      </w:pPr>
    </w:p>
    <w:p>
      <w:pPr>
        <w:widowControl/>
        <w:jc w:val="center"/>
        <w:rPr>
          <w:rFonts w:hint="eastAsia" w:ascii="方正小标宋简体" w:hAnsi="宋体" w:eastAsia="方正小标宋简体" w:cs="宋体"/>
          <w:kern w:val="0"/>
          <w:sz w:val="36"/>
          <w:szCs w:val="36"/>
          <w:highlight w:val="none"/>
        </w:rPr>
      </w:pPr>
    </w:p>
    <w:p>
      <w:pPr>
        <w:widowControl/>
        <w:jc w:val="center"/>
        <w:rPr>
          <w:rFonts w:hint="eastAsia" w:ascii="方正小标宋简体" w:hAnsi="宋体" w:eastAsia="方正小标宋简体" w:cs="宋体"/>
          <w:kern w:val="0"/>
          <w:sz w:val="36"/>
          <w:szCs w:val="36"/>
          <w:highlight w:val="none"/>
        </w:rPr>
      </w:pPr>
    </w:p>
    <w:p>
      <w:pPr>
        <w:widowControl/>
        <w:jc w:val="center"/>
        <w:rPr>
          <w:rFonts w:hint="eastAsia" w:ascii="方正小标宋简体" w:hAnsi="宋体" w:eastAsia="方正小标宋简体" w:cs="宋体"/>
          <w:kern w:val="0"/>
          <w:sz w:val="36"/>
          <w:szCs w:val="36"/>
          <w:highlight w:val="none"/>
        </w:rPr>
      </w:pPr>
    </w:p>
    <w:p>
      <w:pPr>
        <w:widowControl/>
        <w:jc w:val="center"/>
        <w:rPr>
          <w:rFonts w:hint="eastAsia" w:ascii="方正小标宋简体" w:hAnsi="宋体" w:eastAsia="方正小标宋简体" w:cs="宋体"/>
          <w:kern w:val="0"/>
          <w:sz w:val="36"/>
          <w:szCs w:val="36"/>
          <w:highlight w:val="none"/>
        </w:rPr>
      </w:pPr>
    </w:p>
    <w:p>
      <w:pPr>
        <w:widowControl/>
        <w:jc w:val="center"/>
        <w:rPr>
          <w:rFonts w:hint="eastAsia" w:ascii="方正小标宋简体" w:hAnsi="宋体" w:eastAsia="方正小标宋简体" w:cs="宋体"/>
          <w:kern w:val="0"/>
          <w:sz w:val="36"/>
          <w:szCs w:val="36"/>
          <w:highlight w:val="none"/>
          <w:lang w:val="en-US" w:eastAsia="zh-CN"/>
        </w:rPr>
      </w:pPr>
      <w:r>
        <w:rPr>
          <w:rFonts w:hint="eastAsia" w:ascii="方正小标宋简体" w:hAnsi="宋体" w:eastAsia="方正小标宋简体" w:cs="宋体"/>
          <w:kern w:val="0"/>
          <w:sz w:val="36"/>
          <w:szCs w:val="36"/>
          <w:highlight w:val="none"/>
        </w:rPr>
        <w:t>表一：收入支出决算总表</w:t>
      </w:r>
      <w:r>
        <w:rPr>
          <w:rFonts w:hint="eastAsia" w:ascii="方正小标宋简体" w:hAnsi="宋体" w:eastAsia="方正小标宋简体" w:cs="宋体"/>
          <w:kern w:val="0"/>
          <w:sz w:val="36"/>
          <w:szCs w:val="36"/>
          <w:highlight w:val="none"/>
          <w:lang w:val="en-US" w:eastAsia="zh-CN"/>
        </w:rPr>
        <w:t xml:space="preserve">                                                      </w:t>
      </w:r>
    </w:p>
    <w:p>
      <w:pPr>
        <w:widowControl/>
        <w:jc w:val="right"/>
        <w:rPr>
          <w:rFonts w:hint="default" w:ascii="方正小标宋简体" w:hAnsi="宋体" w:eastAsia="方正小标宋简体" w:cs="宋体"/>
          <w:kern w:val="0"/>
          <w:sz w:val="36"/>
          <w:szCs w:val="36"/>
          <w:highlight w:val="none"/>
          <w:lang w:val="en-US" w:eastAsia="zh-CN"/>
        </w:rPr>
      </w:pPr>
      <w:r>
        <w:rPr>
          <w:rFonts w:hint="eastAsia" w:ascii="宋体" w:hAnsi="宋体" w:cs="宋体"/>
          <w:kern w:val="0"/>
          <w:sz w:val="22"/>
          <w:szCs w:val="22"/>
          <w:highlight w:val="none"/>
        </w:rPr>
        <w:t>单位：</w:t>
      </w:r>
      <w:r>
        <w:rPr>
          <w:rFonts w:ascii="宋体" w:hAnsi="宋体" w:cs="宋体"/>
          <w:kern w:val="0"/>
          <w:sz w:val="22"/>
          <w:szCs w:val="22"/>
          <w:highlight w:val="none"/>
        </w:rPr>
        <w:t>万元</w:t>
      </w:r>
    </w:p>
    <w:tbl>
      <w:tblPr>
        <w:tblStyle w:val="5"/>
        <w:tblpPr w:leftFromText="180" w:rightFromText="180" w:vertAnchor="text" w:horzAnchor="page" w:tblpXSpec="center" w:tblpY="28"/>
        <w:tblOverlap w:val="never"/>
        <w:tblW w:w="10756" w:type="dxa"/>
        <w:jc w:val="center"/>
        <w:shd w:val="clear" w:color="auto" w:fill="auto"/>
        <w:tblLayout w:type="fixed"/>
        <w:tblCellMar>
          <w:top w:w="0" w:type="dxa"/>
          <w:left w:w="108" w:type="dxa"/>
          <w:bottom w:w="0" w:type="dxa"/>
          <w:right w:w="108" w:type="dxa"/>
        </w:tblCellMar>
      </w:tblPr>
      <w:tblGrid>
        <w:gridCol w:w="2438"/>
        <w:gridCol w:w="677"/>
        <w:gridCol w:w="1530"/>
        <w:gridCol w:w="3450"/>
        <w:gridCol w:w="960"/>
        <w:gridCol w:w="1701"/>
      </w:tblGrid>
      <w:tr>
        <w:tblPrEx>
          <w:shd w:val="clear" w:color="auto" w:fill="auto"/>
          <w:tblCellMar>
            <w:top w:w="0" w:type="dxa"/>
            <w:left w:w="108" w:type="dxa"/>
            <w:bottom w:w="0" w:type="dxa"/>
            <w:right w:w="108" w:type="dxa"/>
          </w:tblCellMar>
        </w:tblPrEx>
        <w:trPr>
          <w:trHeight w:val="308" w:hRule="atLeast"/>
          <w:jc w:val="center"/>
        </w:trPr>
        <w:tc>
          <w:tcPr>
            <w:tcW w:w="46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6111"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677"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960"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3,985.37</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290.31</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3,217.03</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36.76</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702.59</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4,312.44</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4,412.79</w:t>
            </w:r>
          </w:p>
        </w:tc>
      </w:tr>
      <w:tr>
        <w:tblPrEx>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41.02</w:t>
            </w:r>
          </w:p>
        </w:tc>
      </w:tr>
      <w:tr>
        <w:tblPrEx>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153.72</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12.35</w:t>
            </w:r>
          </w:p>
        </w:tc>
      </w:tr>
      <w:tr>
        <w:tblPrEx>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6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5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345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70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308" w:hRule="atLeast"/>
          <w:jc w:val="center"/>
        </w:trPr>
        <w:tc>
          <w:tcPr>
            <w:tcW w:w="2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677"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5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4,466.16</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4,466.16</w:t>
            </w:r>
          </w:p>
        </w:tc>
      </w:tr>
    </w:tbl>
    <w:p>
      <w:pPr>
        <w:rPr>
          <w:rFonts w:hint="eastAsia" w:eastAsia="宋体"/>
          <w:highlight w:val="none"/>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highlight w:val="none"/>
        </w:rPr>
        <w:t>注：本表反映部门本年度的总收支和年末结转结余</w:t>
      </w:r>
      <w:r>
        <w:rPr>
          <w:rFonts w:hint="eastAsia"/>
          <w:highlight w:val="none"/>
          <w:lang w:eastAsia="zh-CN"/>
        </w:rPr>
        <w:t>。</w:t>
      </w:r>
    </w:p>
    <w:p>
      <w:pPr>
        <w:jc w:val="center"/>
        <w:rPr>
          <w:rFonts w:hint="eastAsia" w:ascii="方正小标宋简体" w:hAnsi="宋体" w:eastAsia="方正小标宋简体" w:cs="宋体"/>
          <w:kern w:val="0"/>
          <w:sz w:val="36"/>
          <w:szCs w:val="36"/>
          <w:highlight w:val="none"/>
          <w:lang w:val="en-US" w:eastAsia="zh-CN"/>
        </w:rPr>
      </w:pPr>
      <w:r>
        <w:rPr>
          <w:rFonts w:hint="eastAsia" w:ascii="方正小标宋简体" w:hAnsi="宋体" w:eastAsia="方正小标宋简体" w:cs="宋体"/>
          <w:kern w:val="0"/>
          <w:sz w:val="36"/>
          <w:szCs w:val="36"/>
          <w:highlight w:val="none"/>
        </w:rPr>
        <w:t>表二：收入决算表</w:t>
      </w:r>
      <w:r>
        <w:rPr>
          <w:rFonts w:hint="eastAsia" w:ascii="方正小标宋简体" w:hAnsi="宋体" w:eastAsia="方正小标宋简体" w:cs="宋体"/>
          <w:kern w:val="0"/>
          <w:sz w:val="36"/>
          <w:szCs w:val="36"/>
          <w:highlight w:val="none"/>
          <w:lang w:val="en-US" w:eastAsia="zh-CN"/>
        </w:rPr>
        <w:t xml:space="preserve">                 </w:t>
      </w:r>
    </w:p>
    <w:p>
      <w:pPr>
        <w:jc w:val="center"/>
        <w:rPr>
          <w:rFonts w:hint="default" w:ascii="方正小标宋简体" w:hAnsi="宋体" w:eastAsia="方正小标宋简体" w:cs="宋体"/>
          <w:kern w:val="0"/>
          <w:sz w:val="36"/>
          <w:szCs w:val="36"/>
          <w:highlight w:val="none"/>
          <w:lang w:val="en-US" w:eastAsia="zh-CN"/>
        </w:rPr>
      </w:pPr>
      <w:r>
        <w:rPr>
          <w:rFonts w:hint="eastAsia"/>
          <w:sz w:val="22"/>
          <w:szCs w:val="22"/>
          <w:highlight w:val="none"/>
          <w:lang w:val="en-US" w:eastAsia="zh-CN"/>
        </w:rPr>
        <w:t xml:space="preserve">                                                                                            </w:t>
      </w:r>
      <w:r>
        <w:rPr>
          <w:rFonts w:hint="eastAsia"/>
          <w:sz w:val="22"/>
          <w:szCs w:val="22"/>
          <w:highlight w:val="none"/>
        </w:rPr>
        <w:t xml:space="preserve">单位：万元 </w:t>
      </w:r>
    </w:p>
    <w:tbl>
      <w:tblPr>
        <w:tblStyle w:val="5"/>
        <w:tblW w:w="12987" w:type="dxa"/>
        <w:jc w:val="center"/>
        <w:shd w:val="clear" w:color="auto" w:fill="auto"/>
        <w:tblLayout w:type="fixed"/>
        <w:tblCellMar>
          <w:top w:w="0" w:type="dxa"/>
          <w:left w:w="108" w:type="dxa"/>
          <w:bottom w:w="0" w:type="dxa"/>
          <w:right w:w="108" w:type="dxa"/>
        </w:tblCellMar>
      </w:tblPr>
      <w:tblGrid>
        <w:gridCol w:w="1122"/>
        <w:gridCol w:w="3990"/>
        <w:gridCol w:w="1200"/>
        <w:gridCol w:w="1125"/>
        <w:gridCol w:w="990"/>
        <w:gridCol w:w="1230"/>
        <w:gridCol w:w="1140"/>
        <w:gridCol w:w="1140"/>
        <w:gridCol w:w="1050"/>
      </w:tblGrid>
      <w:tr>
        <w:tblPrEx>
          <w:shd w:val="clear" w:color="auto" w:fill="auto"/>
          <w:tblCellMar>
            <w:top w:w="0" w:type="dxa"/>
            <w:left w:w="108" w:type="dxa"/>
            <w:bottom w:w="0" w:type="dxa"/>
            <w:right w:w="108" w:type="dxa"/>
          </w:tblCellMar>
        </w:tblPrEx>
        <w:trPr>
          <w:trHeight w:val="308" w:hRule="atLeast"/>
          <w:jc w:val="center"/>
        </w:trPr>
        <w:tc>
          <w:tcPr>
            <w:tcW w:w="5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2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11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99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123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114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114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10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shd w:val="clear" w:color="auto" w:fill="auto"/>
          <w:tblCellMar>
            <w:top w:w="0" w:type="dxa"/>
            <w:left w:w="108" w:type="dxa"/>
            <w:bottom w:w="0" w:type="dxa"/>
            <w:right w:w="108" w:type="dxa"/>
          </w:tblCellMar>
        </w:tblPrEx>
        <w:trPr>
          <w:trHeight w:val="308" w:hRule="atLeast"/>
          <w:jc w:val="center"/>
        </w:trPr>
        <w:tc>
          <w:tcPr>
            <w:tcW w:w="112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3990"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2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3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308" w:hRule="atLeast"/>
          <w:jc w:val="center"/>
        </w:trPr>
        <w:tc>
          <w:tcPr>
            <w:tcW w:w="112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3990"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2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3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312" w:hRule="atLeast"/>
          <w:jc w:val="center"/>
        </w:trPr>
        <w:tc>
          <w:tcPr>
            <w:tcW w:w="112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3990"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2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3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308" w:hRule="atLeast"/>
          <w:jc w:val="center"/>
        </w:trPr>
        <w:tc>
          <w:tcPr>
            <w:tcW w:w="5112"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shd w:val="clear" w:color="auto" w:fill="auto"/>
          <w:tblCellMar>
            <w:top w:w="0" w:type="dxa"/>
            <w:left w:w="108" w:type="dxa"/>
            <w:bottom w:w="0" w:type="dxa"/>
            <w:right w:w="108" w:type="dxa"/>
          </w:tblCellMar>
        </w:tblPrEx>
        <w:trPr>
          <w:trHeight w:val="308" w:hRule="atLeast"/>
          <w:jc w:val="center"/>
        </w:trPr>
        <w:tc>
          <w:tcPr>
            <w:tcW w:w="5112"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4,312.44</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3,985.37</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290.31</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36.76</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3,144.67</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2,817.60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290.31</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36.76</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普通教育</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3,144.67</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2,817.60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290.31</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36.76</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2050204</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高中教育</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3,064.67</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2,737.60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290.31</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36.76</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2050299</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其他普通教育支出</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682.07</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682.07</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682.07</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682.07</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171.78</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171.78</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366.55</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366.55</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2080506</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机关事业单位职业年金缴费支出</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143.74</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143.74</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191.02</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191.02</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191.02</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191.02</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191.02</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191.02</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住房改革支出</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286.63</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286.63</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11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2210203</w:t>
            </w:r>
          </w:p>
        </w:tc>
        <w:tc>
          <w:tcPr>
            <w:tcW w:w="3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购房补贴</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8.06</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8.06</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bl>
    <w:p>
      <w:pPr>
        <w:jc w:val="both"/>
        <w:rPr>
          <w:highlight w:val="none"/>
        </w:rPr>
      </w:pPr>
      <w:r>
        <w:rPr>
          <w:rFonts w:hint="eastAsia"/>
          <w:sz w:val="22"/>
          <w:szCs w:val="22"/>
          <w:highlight w:val="none"/>
        </w:rPr>
        <w:t xml:space="preserve">                    </w:t>
      </w:r>
    </w:p>
    <w:p>
      <w:pPr>
        <w:rPr>
          <w:highlight w:val="none"/>
        </w:rPr>
      </w:pPr>
      <w:r>
        <w:rPr>
          <w:rFonts w:hint="eastAsia"/>
          <w:highlight w:val="none"/>
        </w:rPr>
        <w:t>注：本表反映部门本年度取得的各项收入情况</w:t>
      </w:r>
    </w:p>
    <w:p>
      <w:pPr>
        <w:jc w:val="center"/>
        <w:rPr>
          <w:rFonts w:hint="eastAsia"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三：支出决算表</w:t>
      </w:r>
    </w:p>
    <w:p>
      <w:pPr>
        <w:jc w:val="right"/>
        <w:rPr>
          <w:rFonts w:hint="eastAsia"/>
          <w:sz w:val="22"/>
          <w:szCs w:val="22"/>
          <w:highlight w:val="none"/>
        </w:rPr>
      </w:pPr>
      <w:r>
        <w:rPr>
          <w:rFonts w:hint="eastAsia"/>
          <w:sz w:val="22"/>
          <w:szCs w:val="22"/>
          <w:highlight w:val="none"/>
        </w:rPr>
        <w:t>单位：万元</w:t>
      </w:r>
    </w:p>
    <w:tbl>
      <w:tblPr>
        <w:tblStyle w:val="5"/>
        <w:tblpPr w:leftFromText="180" w:rightFromText="180" w:vertAnchor="text" w:horzAnchor="page" w:tblpX="1296" w:tblpY="74"/>
        <w:tblOverlap w:val="never"/>
        <w:tblW w:w="14410" w:type="dxa"/>
        <w:tblInd w:w="0" w:type="dxa"/>
        <w:shd w:val="clear" w:color="auto" w:fill="auto"/>
        <w:tblLayout w:type="fixed"/>
        <w:tblCellMar>
          <w:top w:w="0" w:type="dxa"/>
          <w:left w:w="108" w:type="dxa"/>
          <w:bottom w:w="0" w:type="dxa"/>
          <w:right w:w="108" w:type="dxa"/>
        </w:tblCellMar>
      </w:tblPr>
      <w:tblGrid>
        <w:gridCol w:w="990"/>
        <w:gridCol w:w="3956"/>
        <w:gridCol w:w="1604"/>
        <w:gridCol w:w="1590"/>
        <w:gridCol w:w="1590"/>
        <w:gridCol w:w="1575"/>
        <w:gridCol w:w="1605"/>
        <w:gridCol w:w="1500"/>
      </w:tblGrid>
      <w:tr>
        <w:tblPrEx>
          <w:shd w:val="clear" w:color="auto" w:fill="auto"/>
          <w:tblCellMar>
            <w:top w:w="0" w:type="dxa"/>
            <w:left w:w="108" w:type="dxa"/>
            <w:bottom w:w="0" w:type="dxa"/>
            <w:right w:w="108" w:type="dxa"/>
          </w:tblCellMar>
        </w:tblPrEx>
        <w:trPr>
          <w:trHeight w:val="308" w:hRule="atLeast"/>
        </w:trPr>
        <w:tc>
          <w:tcPr>
            <w:tcW w:w="4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60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159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59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57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160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15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shd w:val="clear" w:color="auto" w:fill="auto"/>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60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3956"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60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3956"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60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6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5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5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5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shd w:val="clear" w:color="auto" w:fill="auto"/>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4,412.79</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4,332.79</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3,217.03</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3,137.03</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普通教育</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3,217.03</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3,137.03</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2050204</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高中教育</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3,137.03</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3,137.03</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其他普通教育支出</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702.59</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702.59</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702.59</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702.59</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175.37</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175.37</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383.47</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383.47</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2080506</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机关事业单位职业年金缴费支出</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143.74</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143.74</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住房改革支出</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286.63</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286.63</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2210203</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购房补贴</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8.06</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8.06</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bl>
    <w:p>
      <w:pPr>
        <w:rPr>
          <w:highlight w:val="none"/>
        </w:rPr>
      </w:pPr>
    </w:p>
    <w:p>
      <w:pPr>
        <w:rPr>
          <w:rFonts w:hint="eastAsia" w:ascii="方正小标宋简体" w:hAnsi="宋体" w:eastAsia="方正小标宋简体" w:cs="宋体"/>
          <w:kern w:val="0"/>
          <w:sz w:val="36"/>
          <w:szCs w:val="36"/>
          <w:highlight w:val="none"/>
        </w:rPr>
      </w:pPr>
      <w:r>
        <w:rPr>
          <w:rFonts w:hint="eastAsia"/>
          <w:highlight w:val="none"/>
        </w:rPr>
        <w:t>注：本表反映部门本年度各项支出情况。</w:t>
      </w:r>
    </w:p>
    <w:p>
      <w:pPr>
        <w:ind w:firstLine="3600" w:firstLineChars="1000"/>
        <w:rPr>
          <w:rFonts w:hint="eastAsia"/>
          <w:sz w:val="22"/>
          <w:szCs w:val="22"/>
          <w:highlight w:val="none"/>
        </w:rPr>
      </w:pPr>
      <w:r>
        <w:rPr>
          <w:rFonts w:hint="eastAsia" w:ascii="方正小标宋简体" w:hAnsi="宋体" w:eastAsia="方正小标宋简体" w:cs="宋体"/>
          <w:kern w:val="0"/>
          <w:sz w:val="36"/>
          <w:szCs w:val="36"/>
          <w:highlight w:val="none"/>
        </w:rPr>
        <w:t>表四：财政拨款收入支出决算总表</w:t>
      </w:r>
    </w:p>
    <w:p>
      <w:pPr>
        <w:jc w:val="right"/>
        <w:rPr>
          <w:rFonts w:hint="eastAsia"/>
          <w:sz w:val="22"/>
          <w:szCs w:val="22"/>
          <w:highlight w:val="none"/>
        </w:rPr>
      </w:pPr>
    </w:p>
    <w:p>
      <w:pPr>
        <w:jc w:val="right"/>
        <w:rPr>
          <w:rFonts w:hint="eastAsia" w:ascii="方正小标宋简体" w:hAnsi="宋体" w:eastAsia="方正小标宋简体" w:cs="宋体"/>
          <w:kern w:val="0"/>
          <w:sz w:val="36"/>
          <w:szCs w:val="36"/>
          <w:highlight w:val="none"/>
        </w:rPr>
      </w:pPr>
      <w:r>
        <w:rPr>
          <w:rFonts w:hint="eastAsia"/>
          <w:sz w:val="22"/>
          <w:szCs w:val="22"/>
          <w:highlight w:val="none"/>
        </w:rPr>
        <w:t>单位：万元</w:t>
      </w:r>
    </w:p>
    <w:tbl>
      <w:tblPr>
        <w:tblStyle w:val="5"/>
        <w:tblW w:w="12585" w:type="dxa"/>
        <w:jc w:val="center"/>
        <w:shd w:val="clear" w:color="auto" w:fill="auto"/>
        <w:tblLayout w:type="autofit"/>
        <w:tblCellMar>
          <w:top w:w="0" w:type="dxa"/>
          <w:left w:w="108" w:type="dxa"/>
          <w:bottom w:w="0" w:type="dxa"/>
          <w:right w:w="108" w:type="dxa"/>
        </w:tblCellMar>
      </w:tblPr>
      <w:tblGrid>
        <w:gridCol w:w="3076"/>
        <w:gridCol w:w="554"/>
        <w:gridCol w:w="1140"/>
        <w:gridCol w:w="3516"/>
        <w:gridCol w:w="570"/>
        <w:gridCol w:w="1096"/>
        <w:gridCol w:w="1380"/>
        <w:gridCol w:w="1253"/>
      </w:tblGrid>
      <w:tr>
        <w:tblPrEx>
          <w:shd w:val="clear" w:color="auto" w:fill="auto"/>
          <w:tblCellMar>
            <w:top w:w="0" w:type="dxa"/>
            <w:left w:w="108" w:type="dxa"/>
            <w:bottom w:w="0" w:type="dxa"/>
            <w:right w:w="108" w:type="dxa"/>
          </w:tblCellMar>
        </w:tblPrEx>
        <w:trPr>
          <w:trHeight w:val="308" w:hRule="atLeast"/>
          <w:jc w:val="center"/>
        </w:trPr>
        <w:tc>
          <w:tcPr>
            <w:tcW w:w="47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7815" w:type="dxa"/>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shd w:val="clear" w:color="auto" w:fill="auto"/>
          <w:tblCellMar>
            <w:top w:w="0" w:type="dxa"/>
            <w:left w:w="108" w:type="dxa"/>
            <w:bottom w:w="0" w:type="dxa"/>
            <w:right w:w="108" w:type="dxa"/>
          </w:tblCellMar>
        </w:tblPrEx>
        <w:trPr>
          <w:trHeight w:val="292" w:hRule="atLeast"/>
          <w:jc w:val="center"/>
        </w:trPr>
        <w:tc>
          <w:tcPr>
            <w:tcW w:w="306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1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33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13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r>
      <w:tr>
        <w:tblPrEx>
          <w:shd w:val="clear" w:color="auto" w:fill="auto"/>
          <w:tblCellMar>
            <w:top w:w="0" w:type="dxa"/>
            <w:left w:w="108" w:type="dxa"/>
            <w:bottom w:w="0" w:type="dxa"/>
            <w:right w:w="108" w:type="dxa"/>
          </w:tblCellMar>
        </w:tblPrEx>
        <w:trPr>
          <w:trHeight w:val="615" w:hRule="atLeast"/>
          <w:jc w:val="center"/>
        </w:trPr>
        <w:tc>
          <w:tcPr>
            <w:tcW w:w="306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4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33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3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30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3,985.37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3,985.37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4,126.74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4,126.74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153.72</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4,139.09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4,139.09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4,139.09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bl>
    <w:p>
      <w:pPr>
        <w:rPr>
          <w:highlight w:val="none"/>
        </w:rPr>
      </w:pPr>
      <w:r>
        <w:rPr>
          <w:rFonts w:hint="eastAsia"/>
          <w:highlight w:val="none"/>
        </w:rPr>
        <w:t>注：本表反映部门本年度一般公共预算财政拨款和政府性基金预算财政拨款的总收支和年末结转结余情况。</w:t>
      </w:r>
    </w:p>
    <w:p>
      <w:pPr>
        <w:rPr>
          <w:highlight w:val="none"/>
        </w:rPr>
      </w:pPr>
    </w:p>
    <w:p>
      <w:pPr>
        <w:jc w:val="center"/>
        <w:rPr>
          <w:rFonts w:hint="eastAsia" w:ascii="方正小标宋简体" w:hAnsi="宋体" w:eastAsia="方正小标宋简体" w:cs="宋体"/>
          <w:kern w:val="0"/>
          <w:sz w:val="36"/>
          <w:szCs w:val="36"/>
          <w:highlight w:val="none"/>
        </w:rPr>
      </w:pPr>
    </w:p>
    <w:p>
      <w:pPr>
        <w:jc w:val="center"/>
        <w:rPr>
          <w:rFonts w:hint="eastAsia" w:ascii="方正小标宋简体" w:hAnsi="宋体" w:eastAsia="方正小标宋简体" w:cs="宋体"/>
          <w:kern w:val="0"/>
          <w:sz w:val="36"/>
          <w:szCs w:val="36"/>
          <w:highlight w:val="none"/>
        </w:rPr>
      </w:pPr>
    </w:p>
    <w:p>
      <w:pPr>
        <w:jc w:val="center"/>
        <w:rPr>
          <w:rFonts w:hint="eastAsia" w:ascii="方正小标宋简体" w:hAnsi="宋体" w:eastAsia="方正小标宋简体" w:cs="宋体"/>
          <w:kern w:val="0"/>
          <w:sz w:val="36"/>
          <w:szCs w:val="36"/>
          <w:highlight w:val="none"/>
        </w:rPr>
      </w:pPr>
    </w:p>
    <w:p>
      <w:pPr>
        <w:jc w:val="center"/>
        <w:rPr>
          <w:rFonts w:hint="eastAsia" w:ascii="方正小标宋简体" w:hAnsi="宋体" w:eastAsia="方正小标宋简体" w:cs="宋体"/>
          <w:kern w:val="0"/>
          <w:sz w:val="36"/>
          <w:szCs w:val="36"/>
          <w:highlight w:val="none"/>
        </w:rPr>
      </w:pPr>
    </w:p>
    <w:p>
      <w:pPr>
        <w:jc w:val="center"/>
        <w:rPr>
          <w:rFonts w:hint="eastAsia" w:ascii="方正小标宋简体" w:hAnsi="宋体" w:eastAsia="方正小标宋简体" w:cs="宋体"/>
          <w:kern w:val="0"/>
          <w:sz w:val="36"/>
          <w:szCs w:val="36"/>
          <w:highlight w:val="none"/>
        </w:rPr>
      </w:pPr>
    </w:p>
    <w:p>
      <w:pPr>
        <w:jc w:val="center"/>
        <w:rPr>
          <w:rFonts w:hint="eastAsia"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表五：</w:t>
      </w:r>
      <w:r>
        <w:rPr>
          <w:rFonts w:hint="eastAsia" w:ascii="方正小标宋简体" w:eastAsia="方正小标宋简体"/>
          <w:sz w:val="36"/>
          <w:szCs w:val="36"/>
          <w:highlight w:val="none"/>
        </w:rPr>
        <w:t>一般</w:t>
      </w:r>
      <w:r>
        <w:rPr>
          <w:rFonts w:hint="eastAsia" w:ascii="方正小标宋简体" w:hAnsi="宋体" w:eastAsia="方正小标宋简体" w:cs="宋体"/>
          <w:kern w:val="0"/>
          <w:sz w:val="36"/>
          <w:szCs w:val="36"/>
          <w:highlight w:val="none"/>
        </w:rPr>
        <w:t>公共预算财政拨款支出决算表</w:t>
      </w:r>
    </w:p>
    <w:p>
      <w:pPr>
        <w:jc w:val="center"/>
        <w:rPr>
          <w:rFonts w:hint="eastAsia" w:ascii="方正小标宋简体" w:hAnsi="宋体" w:eastAsia="方正小标宋简体" w:cs="宋体"/>
          <w:kern w:val="0"/>
          <w:sz w:val="36"/>
          <w:szCs w:val="36"/>
          <w:highlight w:val="none"/>
        </w:rPr>
      </w:pPr>
      <w:r>
        <w:rPr>
          <w:rFonts w:hint="eastAsia" w:ascii="宋体" w:hAnsi="宋体" w:cs="宋体"/>
          <w:kern w:val="0"/>
          <w:sz w:val="22"/>
          <w:szCs w:val="22"/>
          <w:highlight w:val="none"/>
          <w:lang w:val="en-US" w:eastAsia="zh-CN"/>
        </w:rPr>
        <w:t xml:space="preserve">                                                                                             </w:t>
      </w:r>
      <w:r>
        <w:rPr>
          <w:rFonts w:hint="eastAsia" w:ascii="宋体" w:hAnsi="宋体" w:cs="宋体"/>
          <w:kern w:val="0"/>
          <w:sz w:val="22"/>
          <w:szCs w:val="22"/>
          <w:highlight w:val="none"/>
        </w:rPr>
        <w:t>单位：</w:t>
      </w:r>
      <w:r>
        <w:rPr>
          <w:rFonts w:ascii="宋体" w:hAnsi="宋体" w:cs="宋体"/>
          <w:kern w:val="0"/>
          <w:sz w:val="22"/>
          <w:szCs w:val="22"/>
          <w:highlight w:val="none"/>
        </w:rPr>
        <w:t>万元</w:t>
      </w:r>
    </w:p>
    <w:tbl>
      <w:tblPr>
        <w:tblStyle w:val="5"/>
        <w:tblW w:w="11670" w:type="dxa"/>
        <w:jc w:val="center"/>
        <w:shd w:val="clear" w:color="auto" w:fill="auto"/>
        <w:tblLayout w:type="autofit"/>
        <w:tblCellMar>
          <w:top w:w="0" w:type="dxa"/>
          <w:left w:w="108" w:type="dxa"/>
          <w:bottom w:w="0" w:type="dxa"/>
          <w:right w:w="108" w:type="dxa"/>
        </w:tblCellMar>
      </w:tblPr>
      <w:tblGrid>
        <w:gridCol w:w="990"/>
        <w:gridCol w:w="3956"/>
        <w:gridCol w:w="2242"/>
        <w:gridCol w:w="2242"/>
        <w:gridCol w:w="2240"/>
      </w:tblGrid>
      <w:tr>
        <w:tblPrEx>
          <w:shd w:val="clear" w:color="auto" w:fill="auto"/>
          <w:tblCellMar>
            <w:top w:w="0" w:type="dxa"/>
            <w:left w:w="108" w:type="dxa"/>
            <w:bottom w:w="0" w:type="dxa"/>
            <w:right w:w="108" w:type="dxa"/>
          </w:tblCellMar>
        </w:tblPrEx>
        <w:trPr>
          <w:trHeight w:val="308" w:hRule="atLeast"/>
          <w:jc w:val="center"/>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tblPrEx>
          <w:shd w:val="clear" w:color="auto" w:fill="auto"/>
          <w:tblCellMar>
            <w:top w:w="0" w:type="dxa"/>
            <w:left w:w="108" w:type="dxa"/>
            <w:bottom w:w="0" w:type="dxa"/>
            <w:right w:w="108" w:type="dxa"/>
          </w:tblCellMar>
        </w:tblPrEx>
        <w:trPr>
          <w:trHeight w:val="308" w:hRule="atLeast"/>
          <w:jc w:val="center"/>
        </w:trPr>
        <w:tc>
          <w:tcPr>
            <w:tcW w:w="99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tblPrEx>
          <w:shd w:val="clear" w:color="auto" w:fill="auto"/>
          <w:tblCellMar>
            <w:top w:w="0" w:type="dxa"/>
            <w:left w:w="108" w:type="dxa"/>
            <w:bottom w:w="0" w:type="dxa"/>
            <w:right w:w="108" w:type="dxa"/>
          </w:tblCellMar>
        </w:tblPrEx>
        <w:trPr>
          <w:trHeight w:val="277" w:hRule="atLeast"/>
          <w:jc w:val="center"/>
        </w:trPr>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308" w:hRule="atLeast"/>
          <w:jc w:val="center"/>
        </w:trPr>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shd w:val="clear" w:color="auto" w:fill="auto"/>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4,126.74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4,046.74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2,850.98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2,850.98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高中教育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2,850.98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2,850.98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286.63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286.63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购房补贴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bl>
    <w:p>
      <w:pPr>
        <w:rPr>
          <w:highlight w:val="none"/>
        </w:rPr>
      </w:pPr>
    </w:p>
    <w:p>
      <w:pPr>
        <w:rPr>
          <w:highlight w:val="none"/>
        </w:rPr>
      </w:pPr>
      <w:r>
        <w:rPr>
          <w:rFonts w:hint="eastAsia"/>
          <w:highlight w:val="none"/>
        </w:rPr>
        <w:t>注：本表反映部门本年度一般公共预算财政拨款实际支出情况。</w:t>
      </w:r>
    </w:p>
    <w:p>
      <w:pPr>
        <w:rPr>
          <w:highlight w:val="none"/>
        </w:rPr>
        <w:sectPr>
          <w:headerReference r:id="rId9" w:type="default"/>
          <w:footerReference r:id="rId10" w:type="default"/>
          <w:footerReference r:id="rId11" w:type="even"/>
          <w:pgSz w:w="16838" w:h="11906" w:orient="landscape"/>
          <w:pgMar w:top="1377" w:right="1440" w:bottom="1797" w:left="1440" w:header="851" w:footer="992" w:gutter="0"/>
          <w:pgNumType w:fmt="numberInDash"/>
          <w:cols w:space="720" w:num="1"/>
          <w:docGrid w:type="lines" w:linePitch="312" w:charSpace="0"/>
        </w:sectPr>
      </w:pPr>
    </w:p>
    <w:p>
      <w:pPr>
        <w:jc w:val="center"/>
        <w:rPr>
          <w:rFonts w:hint="eastAsia" w:ascii="宋体" w:hAnsi="宋体" w:cs="宋体"/>
          <w:kern w:val="0"/>
          <w:sz w:val="22"/>
          <w:szCs w:val="22"/>
          <w:highlight w:val="none"/>
        </w:rPr>
      </w:pPr>
      <w:r>
        <w:rPr>
          <w:rFonts w:hint="eastAsia" w:ascii="方正小标宋简体" w:hAnsi="宋体" w:eastAsia="方正小标宋简体" w:cs="宋体"/>
          <w:kern w:val="0"/>
          <w:sz w:val="36"/>
          <w:szCs w:val="36"/>
          <w:highlight w:val="none"/>
        </w:rPr>
        <w:t>表六</w:t>
      </w:r>
      <w:r>
        <w:rPr>
          <w:rFonts w:hint="eastAsia" w:ascii="方正小标宋简体" w:hAnsi="宋体" w:eastAsia="方正小标宋简体" w:cs="宋体"/>
          <w:color w:val="000000"/>
          <w:kern w:val="0"/>
          <w:sz w:val="36"/>
          <w:szCs w:val="36"/>
          <w:highlight w:val="none"/>
        </w:rPr>
        <w:t>：</w:t>
      </w:r>
      <w:r>
        <w:rPr>
          <w:rFonts w:hint="eastAsia" w:ascii="方正小标宋简体" w:eastAsia="方正小标宋简体"/>
          <w:color w:val="000000"/>
          <w:sz w:val="36"/>
          <w:szCs w:val="36"/>
          <w:highlight w:val="none"/>
        </w:rPr>
        <w:t>一般</w:t>
      </w:r>
      <w:r>
        <w:rPr>
          <w:rFonts w:hint="eastAsia" w:ascii="方正小标宋简体" w:hAnsi="宋体" w:eastAsia="方正小标宋简体" w:cs="宋体"/>
          <w:color w:val="000000"/>
          <w:kern w:val="0"/>
          <w:sz w:val="36"/>
          <w:szCs w:val="36"/>
          <w:highlight w:val="none"/>
        </w:rPr>
        <w:t>公共预算财政拨</w:t>
      </w:r>
      <w:r>
        <w:rPr>
          <w:rFonts w:hint="eastAsia" w:ascii="方正小标宋简体" w:hAnsi="宋体" w:eastAsia="方正小标宋简体" w:cs="宋体"/>
          <w:kern w:val="0"/>
          <w:sz w:val="36"/>
          <w:szCs w:val="36"/>
          <w:highlight w:val="none"/>
        </w:rPr>
        <w:t>款基本支出决算表</w:t>
      </w:r>
    </w:p>
    <w:p>
      <w:pPr>
        <w:ind w:right="330"/>
        <w:jc w:val="right"/>
        <w:rPr>
          <w:rFonts w:hint="eastAsia" w:ascii="宋体" w:hAnsi="宋体" w:cs="宋体"/>
          <w:kern w:val="0"/>
          <w:sz w:val="22"/>
          <w:szCs w:val="22"/>
          <w:highlight w:val="none"/>
        </w:rPr>
      </w:pPr>
      <w:bookmarkStart w:id="0" w:name="_GoBack"/>
      <w:bookmarkEnd w:id="0"/>
    </w:p>
    <w:p>
      <w:pPr>
        <w:ind w:right="330"/>
        <w:jc w:val="right"/>
        <w:rPr>
          <w:rFonts w:hint="eastAsia" w:ascii="方正小标宋简体" w:hAnsi="宋体" w:eastAsia="方正小标宋简体" w:cs="宋体"/>
          <w:kern w:val="0"/>
          <w:sz w:val="36"/>
          <w:szCs w:val="36"/>
          <w:highlight w:val="none"/>
        </w:rPr>
      </w:pPr>
      <w:r>
        <w:rPr>
          <w:rFonts w:hint="eastAsia" w:ascii="宋体" w:hAnsi="宋体" w:cs="宋体"/>
          <w:kern w:val="0"/>
          <w:sz w:val="22"/>
          <w:szCs w:val="22"/>
          <w:highlight w:val="none"/>
        </w:rPr>
        <w:t>单位：万元</w:t>
      </w:r>
    </w:p>
    <w:tbl>
      <w:tblPr>
        <w:tblStyle w:val="5"/>
        <w:tblW w:w="15474" w:type="dxa"/>
        <w:jc w:val="center"/>
        <w:shd w:val="clear" w:color="auto" w:fill="auto"/>
        <w:tblLayout w:type="fixed"/>
        <w:tblCellMar>
          <w:top w:w="0" w:type="dxa"/>
          <w:left w:w="108" w:type="dxa"/>
          <w:bottom w:w="0" w:type="dxa"/>
          <w:right w:w="108" w:type="dxa"/>
        </w:tblCellMar>
      </w:tblPr>
      <w:tblGrid>
        <w:gridCol w:w="766"/>
        <w:gridCol w:w="3140"/>
        <w:gridCol w:w="1230"/>
        <w:gridCol w:w="1008"/>
        <w:gridCol w:w="2337"/>
        <w:gridCol w:w="955"/>
        <w:gridCol w:w="766"/>
        <w:gridCol w:w="4396"/>
        <w:gridCol w:w="876"/>
      </w:tblGrid>
      <w:tr>
        <w:tblPrEx>
          <w:shd w:val="clear" w:color="auto" w:fill="auto"/>
          <w:tblCellMar>
            <w:top w:w="0" w:type="dxa"/>
            <w:left w:w="108" w:type="dxa"/>
            <w:bottom w:w="0" w:type="dxa"/>
            <w:right w:w="108" w:type="dxa"/>
          </w:tblCellMar>
        </w:tblPrEx>
        <w:trPr>
          <w:trHeight w:val="306" w:hRule="atLeast"/>
          <w:jc w:val="center"/>
        </w:trPr>
        <w:tc>
          <w:tcPr>
            <w:tcW w:w="5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10338"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shd w:val="clear" w:color="auto" w:fill="auto"/>
          <w:tblCellMar>
            <w:top w:w="0" w:type="dxa"/>
            <w:left w:w="108" w:type="dxa"/>
            <w:bottom w:w="0" w:type="dxa"/>
            <w:right w:w="108" w:type="dxa"/>
          </w:tblCellMar>
        </w:tblPrEx>
        <w:trPr>
          <w:trHeight w:val="312" w:hRule="atLeast"/>
          <w:jc w:val="center"/>
        </w:trPr>
        <w:tc>
          <w:tcPr>
            <w:tcW w:w="76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31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2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100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23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9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7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439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87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shd w:val="clear" w:color="auto" w:fill="auto"/>
          <w:tblCellMar>
            <w:top w:w="0" w:type="dxa"/>
            <w:left w:w="108" w:type="dxa"/>
            <w:bottom w:w="0" w:type="dxa"/>
            <w:right w:w="108" w:type="dxa"/>
          </w:tblCellMar>
        </w:tblPrEx>
        <w:trPr>
          <w:trHeight w:val="312" w:hRule="atLeast"/>
          <w:jc w:val="center"/>
        </w:trPr>
        <w:tc>
          <w:tcPr>
            <w:tcW w:w="76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314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3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0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3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5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439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87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3,588.40</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256.13</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807.78</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17.55</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41.25</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5.25</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1,429.68</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22.65</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383.47</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27.43</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143.74</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165.60</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156.19</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70.52</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11.77</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3.05</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286.63</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15.26</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157.03</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201.81</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59.19</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96.30</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0.72</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12.76</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32.88</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11.94</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35.94</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0.18</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4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76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39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3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0.04</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39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306"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31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23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9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38.28</w:t>
            </w:r>
          </w:p>
        </w:tc>
        <w:tc>
          <w:tcPr>
            <w:tcW w:w="76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439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highlight w:val="none"/>
                <w:u w:val="none"/>
              </w:rPr>
            </w:pPr>
          </w:p>
        </w:tc>
        <w:tc>
          <w:tcPr>
            <w:tcW w:w="87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306" w:hRule="atLeast"/>
          <w:jc w:val="center"/>
        </w:trPr>
        <w:tc>
          <w:tcPr>
            <w:tcW w:w="3906"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12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3,790.21</w:t>
            </w:r>
          </w:p>
        </w:tc>
        <w:tc>
          <w:tcPr>
            <w:tcW w:w="9462"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256.53</w:t>
            </w:r>
          </w:p>
        </w:tc>
      </w:tr>
    </w:tbl>
    <w:p>
      <w:pPr>
        <w:jc w:val="center"/>
        <w:rPr>
          <w:rFonts w:ascii="方正小标宋简体" w:hAnsi="宋体" w:eastAsia="方正小标宋简体" w:cs="宋体"/>
          <w:kern w:val="0"/>
          <w:sz w:val="36"/>
          <w:szCs w:val="36"/>
          <w:highlight w:val="none"/>
        </w:rPr>
      </w:pPr>
    </w:p>
    <w:p>
      <w:pPr>
        <w:rPr>
          <w:highlight w:val="none"/>
        </w:rPr>
        <w:sectPr>
          <w:pgSz w:w="16838" w:h="11906" w:orient="landscape"/>
          <w:pgMar w:top="1797" w:right="1440" w:bottom="1797" w:left="1440" w:header="851" w:footer="992" w:gutter="0"/>
          <w:pgNumType w:fmt="numberInDash"/>
          <w:cols w:space="0" w:num="1"/>
          <w:rtlGutter w:val="0"/>
          <w:docGrid w:type="lines" w:linePitch="319" w:charSpace="0"/>
        </w:sectPr>
      </w:pPr>
      <w:r>
        <w:rPr>
          <w:rFonts w:hint="eastAsia"/>
          <w:highlight w:val="none"/>
        </w:rPr>
        <w:t>注：本表反映部门本年度一般公共预算财政拨款基本支出明细情况。</w:t>
      </w:r>
    </w:p>
    <w:p>
      <w:pPr>
        <w:jc w:val="center"/>
        <w:rPr>
          <w:rFonts w:ascii="方正小标宋简体" w:hAnsi="宋体" w:eastAsia="方正小标宋简体" w:cs="宋体"/>
          <w:kern w:val="0"/>
          <w:sz w:val="36"/>
          <w:szCs w:val="36"/>
          <w:highlight w:val="none"/>
        </w:rPr>
      </w:pPr>
    </w:p>
    <w:p>
      <w:pPr>
        <w:jc w:val="center"/>
        <w:rPr>
          <w:rFonts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表七：</w:t>
      </w:r>
      <w:r>
        <w:rPr>
          <w:rFonts w:hint="eastAsia" w:ascii="方正小标宋简体" w:eastAsia="方正小标宋简体"/>
          <w:sz w:val="36"/>
          <w:szCs w:val="36"/>
          <w:highlight w:val="none"/>
        </w:rPr>
        <w:t>一般</w:t>
      </w:r>
      <w:r>
        <w:rPr>
          <w:rFonts w:hint="eastAsia" w:ascii="方正小标宋简体" w:hAnsi="宋体" w:eastAsia="方正小标宋简体" w:cs="宋体"/>
          <w:kern w:val="0"/>
          <w:sz w:val="36"/>
          <w:szCs w:val="36"/>
          <w:highlight w:val="none"/>
        </w:rPr>
        <w:t>公共预算财政拨款安排的“</w:t>
      </w:r>
      <w:r>
        <w:rPr>
          <w:rFonts w:ascii="方正小标宋简体" w:hAnsi="宋体" w:eastAsia="方正小标宋简体" w:cs="宋体"/>
          <w:kern w:val="0"/>
          <w:sz w:val="36"/>
          <w:szCs w:val="36"/>
          <w:highlight w:val="none"/>
        </w:rPr>
        <w:t>三公</w:t>
      </w:r>
      <w:r>
        <w:rPr>
          <w:rFonts w:hint="eastAsia" w:ascii="方正小标宋简体" w:hAnsi="宋体" w:eastAsia="方正小标宋简体" w:cs="宋体"/>
          <w:kern w:val="0"/>
          <w:sz w:val="36"/>
          <w:szCs w:val="36"/>
          <w:highlight w:val="none"/>
        </w:rPr>
        <w:t>”</w:t>
      </w:r>
      <w:r>
        <w:rPr>
          <w:rFonts w:ascii="方正小标宋简体" w:hAnsi="宋体" w:eastAsia="方正小标宋简体" w:cs="宋体"/>
          <w:kern w:val="0"/>
          <w:sz w:val="36"/>
          <w:szCs w:val="36"/>
          <w:highlight w:val="none"/>
        </w:rPr>
        <w:t>经费</w:t>
      </w:r>
      <w:r>
        <w:rPr>
          <w:rFonts w:hint="eastAsia" w:ascii="方正小标宋简体" w:hAnsi="宋体" w:eastAsia="方正小标宋简体" w:cs="宋体"/>
          <w:kern w:val="0"/>
          <w:sz w:val="36"/>
          <w:szCs w:val="36"/>
          <w:highlight w:val="none"/>
        </w:rPr>
        <w:t>支出决算表</w:t>
      </w:r>
    </w:p>
    <w:p>
      <w:pPr>
        <w:rPr>
          <w:highlight w:val="none"/>
        </w:rPr>
      </w:pPr>
    </w:p>
    <w:p>
      <w:pPr>
        <w:jc w:val="right"/>
        <w:rPr>
          <w:highlight w:val="none"/>
        </w:rPr>
      </w:pPr>
      <w:r>
        <w:rPr>
          <w:rFonts w:hint="eastAsia"/>
          <w:highlight w:val="none"/>
        </w:rPr>
        <w:t>单位：万元</w:t>
      </w:r>
    </w:p>
    <w:tbl>
      <w:tblPr>
        <w:tblStyle w:val="5"/>
        <w:tblW w:w="13921" w:type="dxa"/>
        <w:jc w:val="center"/>
        <w:tblLayout w:type="fixed"/>
        <w:tblCellMar>
          <w:top w:w="0" w:type="dxa"/>
          <w:left w:w="108" w:type="dxa"/>
          <w:bottom w:w="0" w:type="dxa"/>
          <w:right w:w="108" w:type="dxa"/>
        </w:tblCellMar>
      </w:tblPr>
      <w:tblGrid>
        <w:gridCol w:w="1160"/>
        <w:gridCol w:w="1160"/>
        <w:gridCol w:w="1160"/>
        <w:gridCol w:w="1160"/>
        <w:gridCol w:w="1160"/>
        <w:gridCol w:w="1160"/>
        <w:gridCol w:w="1160"/>
        <w:gridCol w:w="1160"/>
        <w:gridCol w:w="1160"/>
        <w:gridCol w:w="1160"/>
        <w:gridCol w:w="1160"/>
        <w:gridCol w:w="1161"/>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6961"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CellMar>
            <w:top w:w="0" w:type="dxa"/>
            <w:left w:w="108" w:type="dxa"/>
            <w:bottom w:w="0" w:type="dxa"/>
            <w:right w:w="108" w:type="dxa"/>
          </w:tblCellMar>
        </w:tblPrEx>
        <w:trPr>
          <w:trHeight w:val="396" w:hRule="atLeast"/>
          <w:jc w:val="center"/>
        </w:trPr>
        <w:tc>
          <w:tcPr>
            <w:tcW w:w="1160"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60" w:type="dxa"/>
            <w:vMerge w:val="restart"/>
            <w:tcBorders>
              <w:top w:val="nil"/>
              <w:left w:val="nil"/>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480"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160" w:type="dxa"/>
            <w:vMerge w:val="restart"/>
            <w:tcBorders>
              <w:top w:val="nil"/>
              <w:left w:val="nil"/>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1160"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60" w:type="dxa"/>
            <w:vMerge w:val="restart"/>
            <w:tcBorders>
              <w:top w:val="nil"/>
              <w:left w:val="nil"/>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480"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161" w:type="dxa"/>
            <w:vMerge w:val="restart"/>
            <w:tcBorders>
              <w:top w:val="nil"/>
              <w:left w:val="nil"/>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CellMar>
            <w:top w:w="0" w:type="dxa"/>
            <w:left w:w="108" w:type="dxa"/>
            <w:bottom w:w="0" w:type="dxa"/>
            <w:right w:w="108" w:type="dxa"/>
          </w:tblCellMar>
        </w:tblPrEx>
        <w:trPr>
          <w:trHeight w:val="576" w:hRule="atLeast"/>
          <w:jc w:val="center"/>
        </w:trPr>
        <w:tc>
          <w:tcPr>
            <w:tcW w:w="1160"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Arial"/>
                <w:color w:val="000000"/>
                <w:kern w:val="0"/>
                <w:sz w:val="22"/>
                <w:szCs w:val="22"/>
                <w:highlight w:val="none"/>
              </w:rPr>
            </w:pPr>
          </w:p>
        </w:tc>
        <w:tc>
          <w:tcPr>
            <w:tcW w:w="1160" w:type="dxa"/>
            <w:vMerge w:val="continue"/>
            <w:tcBorders>
              <w:left w:val="nil"/>
              <w:bottom w:val="single" w:color="auto" w:sz="4" w:space="0"/>
              <w:right w:val="single" w:color="auto" w:sz="4" w:space="0"/>
            </w:tcBorders>
            <w:vAlign w:val="center"/>
          </w:tcPr>
          <w:p>
            <w:pPr>
              <w:jc w:val="center"/>
              <w:rPr>
                <w:rFonts w:ascii="宋体" w:hAnsi="宋体" w:cs="Arial"/>
                <w:color w:val="000000"/>
                <w:kern w:val="0"/>
                <w:sz w:val="22"/>
                <w:szCs w:val="22"/>
                <w:highlight w:val="none"/>
              </w:rPr>
            </w:pP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160" w:type="dxa"/>
            <w:vMerge w:val="continue"/>
            <w:tcBorders>
              <w:left w:val="nil"/>
              <w:bottom w:val="single" w:color="auto" w:sz="4" w:space="0"/>
              <w:right w:val="single" w:color="auto" w:sz="4" w:space="0"/>
            </w:tcBorders>
            <w:vAlign w:val="center"/>
          </w:tcPr>
          <w:p>
            <w:pPr>
              <w:jc w:val="center"/>
              <w:rPr>
                <w:rFonts w:ascii="宋体" w:hAnsi="宋体" w:cs="Arial"/>
                <w:color w:val="000000"/>
                <w:kern w:val="0"/>
                <w:sz w:val="22"/>
                <w:szCs w:val="22"/>
                <w:highlight w:val="none"/>
              </w:rPr>
            </w:pPr>
          </w:p>
        </w:tc>
        <w:tc>
          <w:tcPr>
            <w:tcW w:w="1160"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Arial"/>
                <w:color w:val="000000"/>
                <w:kern w:val="0"/>
                <w:sz w:val="22"/>
                <w:szCs w:val="22"/>
                <w:highlight w:val="none"/>
              </w:rPr>
            </w:pPr>
          </w:p>
        </w:tc>
        <w:tc>
          <w:tcPr>
            <w:tcW w:w="1160" w:type="dxa"/>
            <w:vMerge w:val="continue"/>
            <w:tcBorders>
              <w:left w:val="nil"/>
              <w:bottom w:val="single" w:color="auto" w:sz="4" w:space="0"/>
              <w:right w:val="single" w:color="auto" w:sz="4" w:space="0"/>
            </w:tcBorders>
            <w:vAlign w:val="center"/>
          </w:tcPr>
          <w:p>
            <w:pPr>
              <w:jc w:val="center"/>
              <w:rPr>
                <w:rFonts w:ascii="宋体" w:hAnsi="宋体" w:cs="Arial"/>
                <w:color w:val="000000"/>
                <w:kern w:val="0"/>
                <w:sz w:val="22"/>
                <w:szCs w:val="22"/>
                <w:highlight w:val="none"/>
              </w:rPr>
            </w:pP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161" w:type="dxa"/>
            <w:vMerge w:val="continue"/>
            <w:tcBorders>
              <w:left w:val="nil"/>
              <w:bottom w:val="single" w:color="auto" w:sz="4" w:space="0"/>
              <w:right w:val="single" w:color="auto" w:sz="4" w:space="0"/>
            </w:tcBorders>
            <w:vAlign w:val="center"/>
          </w:tcPr>
          <w:p>
            <w:pPr>
              <w:jc w:val="center"/>
              <w:rPr>
                <w:rFonts w:ascii="宋体" w:hAnsi="宋体" w:cs="Arial"/>
                <w:color w:val="000000"/>
                <w:kern w:val="0"/>
                <w:sz w:val="22"/>
                <w:szCs w:val="22"/>
                <w:highlight w:val="none"/>
              </w:rPr>
            </w:pPr>
          </w:p>
        </w:tc>
      </w:tr>
      <w:tr>
        <w:tblPrEx>
          <w:tblCellMar>
            <w:top w:w="0" w:type="dxa"/>
            <w:left w:w="108" w:type="dxa"/>
            <w:bottom w:w="0" w:type="dxa"/>
            <w:right w:w="108" w:type="dxa"/>
          </w:tblCellMar>
        </w:tblPrEx>
        <w:trPr>
          <w:trHeight w:val="600" w:hRule="atLeast"/>
          <w:jc w:val="center"/>
        </w:trPr>
        <w:tc>
          <w:tcPr>
            <w:tcW w:w="11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16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CellMar>
            <w:top w:w="0" w:type="dxa"/>
            <w:left w:w="108" w:type="dxa"/>
            <w:bottom w:w="0" w:type="dxa"/>
            <w:right w:w="108" w:type="dxa"/>
          </w:tblCellMar>
        </w:tblPrEx>
        <w:trPr>
          <w:trHeight w:val="564" w:hRule="atLeast"/>
          <w:jc w:val="center"/>
        </w:trPr>
        <w:tc>
          <w:tcPr>
            <w:tcW w:w="11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0.20</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0.20</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0.20</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0.18</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0.18</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0.18</w:t>
            </w:r>
          </w:p>
        </w:tc>
        <w:tc>
          <w:tcPr>
            <w:tcW w:w="11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bl>
    <w:p>
      <w:pPr>
        <w:rPr>
          <w:highlight w:val="none"/>
        </w:rPr>
        <w:sectPr>
          <w:pgSz w:w="16838" w:h="11906" w:orient="landscape"/>
          <w:pgMar w:top="1797" w:right="1440" w:bottom="1797" w:left="1440" w:header="851" w:footer="992" w:gutter="0"/>
          <w:pgNumType w:fmt="numberInDash"/>
          <w:cols w:space="720" w:num="1"/>
          <w:docGrid w:type="lines" w:linePitch="312" w:charSpace="0"/>
        </w:sectPr>
      </w:pPr>
      <w:r>
        <w:rPr>
          <w:rFonts w:hint="eastAsia"/>
          <w:highlight w:val="none"/>
        </w:rPr>
        <w:t>注：本表反映部门本年度“三公”经费支出预决算情况。其中，2020年度预算数为“三公”经费年初预算数，决算数是包括当年一般公共预算财政拨款和以前年度结转资金安排的实际支出。</w:t>
      </w:r>
    </w:p>
    <w:p>
      <w:pPr>
        <w:rPr>
          <w:highlight w:val="none"/>
        </w:rPr>
      </w:pPr>
    </w:p>
    <w:p>
      <w:pPr>
        <w:rPr>
          <w:highlight w:val="none"/>
        </w:rPr>
      </w:pPr>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highlight w:val="none"/>
              </w:rPr>
            </w:pPr>
          </w:p>
        </w:tc>
        <w:tc>
          <w:tcPr>
            <w:tcW w:w="1385" w:type="dxa"/>
            <w:tcBorders>
              <w:top w:val="nil"/>
              <w:left w:val="nil"/>
              <w:bottom w:val="nil"/>
              <w:right w:val="nil"/>
            </w:tcBorders>
            <w:vAlign w:val="bottom"/>
          </w:tcPr>
          <w:p>
            <w:pPr>
              <w:widowControl/>
              <w:jc w:val="left"/>
              <w:rPr>
                <w:rFonts w:ascii="仿宋_GB2312" w:hAnsi="宋体" w:cs="宋体"/>
                <w:kern w:val="0"/>
                <w:sz w:val="24"/>
                <w:highlight w:val="none"/>
              </w:rPr>
            </w:pPr>
          </w:p>
        </w:tc>
        <w:tc>
          <w:tcPr>
            <w:tcW w:w="765" w:type="dxa"/>
            <w:tcBorders>
              <w:top w:val="nil"/>
              <w:left w:val="nil"/>
              <w:bottom w:val="nil"/>
              <w:right w:val="nil"/>
            </w:tcBorders>
            <w:vAlign w:val="bottom"/>
          </w:tcPr>
          <w:p>
            <w:pPr>
              <w:widowControl/>
              <w:jc w:val="left"/>
              <w:rPr>
                <w:rFonts w:ascii="仿宋_GB2312" w:hAnsi="宋体" w:cs="宋体"/>
                <w:kern w:val="0"/>
                <w:sz w:val="24"/>
                <w:highlight w:val="none"/>
              </w:rPr>
            </w:pPr>
          </w:p>
        </w:tc>
        <w:tc>
          <w:tcPr>
            <w:tcW w:w="1040" w:type="dxa"/>
            <w:tcBorders>
              <w:top w:val="nil"/>
              <w:left w:val="nil"/>
              <w:bottom w:val="nil"/>
              <w:right w:val="nil"/>
            </w:tcBorders>
            <w:vAlign w:val="bottom"/>
          </w:tcPr>
          <w:p>
            <w:pPr>
              <w:widowControl/>
              <w:jc w:val="left"/>
              <w:rPr>
                <w:rFonts w:ascii="仿宋_GB2312" w:hAnsi="宋体" w:cs="宋体"/>
                <w:kern w:val="0"/>
                <w:sz w:val="24"/>
                <w:highlight w:val="none"/>
              </w:rPr>
            </w:pPr>
          </w:p>
        </w:tc>
        <w:tc>
          <w:tcPr>
            <w:tcW w:w="1040" w:type="dxa"/>
            <w:tcBorders>
              <w:top w:val="nil"/>
              <w:left w:val="nil"/>
              <w:bottom w:val="nil"/>
              <w:right w:val="nil"/>
            </w:tcBorders>
            <w:vAlign w:val="bottom"/>
          </w:tcPr>
          <w:p>
            <w:pPr>
              <w:widowControl/>
              <w:jc w:val="left"/>
              <w:rPr>
                <w:rFonts w:ascii="仿宋_GB2312" w:hAnsi="宋体" w:cs="宋体"/>
                <w:kern w:val="0"/>
                <w:sz w:val="24"/>
                <w:highlight w:val="none"/>
              </w:rPr>
            </w:pPr>
          </w:p>
        </w:tc>
        <w:tc>
          <w:tcPr>
            <w:tcW w:w="1040" w:type="dxa"/>
            <w:tcBorders>
              <w:top w:val="nil"/>
              <w:left w:val="nil"/>
              <w:bottom w:val="nil"/>
              <w:right w:val="nil"/>
            </w:tcBorders>
            <w:vAlign w:val="bottom"/>
          </w:tcPr>
          <w:p>
            <w:pPr>
              <w:widowControl/>
              <w:jc w:val="left"/>
              <w:rPr>
                <w:rFonts w:ascii="仿宋_GB2312" w:hAnsi="宋体" w:cs="宋体"/>
                <w:kern w:val="0"/>
                <w:sz w:val="24"/>
                <w:highlight w:val="none"/>
              </w:rPr>
            </w:pPr>
          </w:p>
        </w:tc>
        <w:tc>
          <w:tcPr>
            <w:tcW w:w="1040" w:type="dxa"/>
            <w:tcBorders>
              <w:top w:val="nil"/>
              <w:left w:val="nil"/>
              <w:bottom w:val="nil"/>
              <w:right w:val="nil"/>
            </w:tcBorders>
            <w:vAlign w:val="bottom"/>
          </w:tcPr>
          <w:p>
            <w:pPr>
              <w:widowControl/>
              <w:jc w:val="left"/>
              <w:rPr>
                <w:rFonts w:ascii="仿宋_GB2312" w:hAnsi="宋体" w:cs="宋体"/>
                <w:kern w:val="0"/>
                <w:sz w:val="24"/>
                <w:highlight w:val="none"/>
              </w:rPr>
            </w:pPr>
          </w:p>
        </w:tc>
        <w:tc>
          <w:tcPr>
            <w:tcW w:w="1040" w:type="dxa"/>
            <w:tcBorders>
              <w:top w:val="nil"/>
              <w:left w:val="nil"/>
              <w:bottom w:val="nil"/>
              <w:right w:val="nil"/>
            </w:tcBorders>
            <w:vAlign w:val="bottom"/>
          </w:tcPr>
          <w:p>
            <w:pPr>
              <w:widowControl/>
              <w:jc w:val="left"/>
              <w:rPr>
                <w:rFonts w:ascii="仿宋_GB2312" w:hAnsi="宋体" w:cs="宋体"/>
                <w:kern w:val="0"/>
                <w:sz w:val="24"/>
                <w:highlight w:val="none"/>
              </w:rPr>
            </w:pPr>
          </w:p>
        </w:tc>
        <w:tc>
          <w:tcPr>
            <w:tcW w:w="1040" w:type="dxa"/>
            <w:tcBorders>
              <w:top w:val="nil"/>
              <w:left w:val="nil"/>
              <w:bottom w:val="nil"/>
              <w:right w:val="nil"/>
            </w:tcBorders>
            <w:vAlign w:val="bottom"/>
          </w:tcPr>
          <w:p>
            <w:pPr>
              <w:widowControl/>
              <w:jc w:val="left"/>
              <w:rPr>
                <w:rFonts w:ascii="仿宋_GB2312" w:hAnsi="宋体" w:cs="宋体"/>
                <w:kern w:val="0"/>
                <w:sz w:val="24"/>
                <w:highlight w:val="none"/>
              </w:rPr>
            </w:pPr>
          </w:p>
        </w:tc>
        <w:tc>
          <w:tcPr>
            <w:tcW w:w="1040" w:type="dxa"/>
            <w:tcBorders>
              <w:top w:val="nil"/>
              <w:left w:val="nil"/>
              <w:bottom w:val="nil"/>
              <w:right w:val="nil"/>
            </w:tcBorders>
            <w:vAlign w:val="bottom"/>
          </w:tcPr>
          <w:p>
            <w:pPr>
              <w:widowControl/>
              <w:jc w:val="left"/>
              <w:rPr>
                <w:rFonts w:ascii="仿宋_GB2312" w:hAnsi="宋体" w:cs="宋体"/>
                <w:kern w:val="0"/>
                <w:sz w:val="24"/>
                <w:highlight w:val="none"/>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highlight w:val="none"/>
              </w:rPr>
            </w:pPr>
            <w:r>
              <w:rPr>
                <w:rFonts w:hint="eastAsia" w:ascii="仿宋_GB2312" w:hAnsi="宋体" w:cs="宋体"/>
                <w:kern w:val="0"/>
                <w:sz w:val="22"/>
                <w:szCs w:val="22"/>
                <w:highlight w:val="none"/>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highlight w:val="none"/>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highlight w:val="none"/>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highlight w:val="none"/>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highlight w:val="none"/>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highlight w:val="none"/>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highlight w:val="none"/>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highlight w:val="none"/>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highlight w:val="none"/>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highlight w:val="none"/>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highlight w:val="none"/>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highlight w:val="none"/>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highlight w:val="none"/>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highlight w:val="none"/>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highlight w:val="none"/>
              </w:rPr>
            </w:pPr>
            <w:r>
              <w:rPr>
                <w:rFonts w:hint="eastAsia" w:ascii="宋体" w:hAnsi="宋体" w:cs="宋体"/>
                <w:kern w:val="0"/>
                <w:sz w:val="22"/>
                <w:szCs w:val="22"/>
                <w:highlight w:val="none"/>
              </w:rPr>
              <w:t>　</w:t>
            </w:r>
          </w:p>
        </w:tc>
      </w:tr>
    </w:tbl>
    <w:p>
      <w:pPr>
        <w:spacing w:line="560" w:lineRule="exact"/>
        <w:ind w:firstLine="420"/>
        <w:rPr>
          <w:rFonts w:hint="eastAsia"/>
          <w:highlight w:val="none"/>
          <w:lang w:eastAsia="zh-CN"/>
        </w:rPr>
      </w:pPr>
      <w:r>
        <w:rPr>
          <w:rFonts w:hint="eastAsia"/>
          <w:highlight w:val="none"/>
        </w:rPr>
        <w:t>注：</w:t>
      </w:r>
      <w:r>
        <w:rPr>
          <w:rFonts w:hint="eastAsia"/>
          <w:highlight w:val="none"/>
          <w:lang w:eastAsia="zh-CN"/>
        </w:rPr>
        <w:t>本单位</w:t>
      </w:r>
      <w:r>
        <w:rPr>
          <w:rFonts w:hint="eastAsia"/>
          <w:highlight w:val="none"/>
        </w:rPr>
        <w:t>没有</w:t>
      </w:r>
      <w:r>
        <w:rPr>
          <w:rFonts w:hint="eastAsia"/>
          <w:highlight w:val="none"/>
          <w:lang w:eastAsia="zh-CN"/>
        </w:rPr>
        <w:t>政府性基金预算财政拨款收入，也没有政府性基金预算财政拨款安排的支出，故本表无数据。</w:t>
      </w:r>
    </w:p>
    <w:p>
      <w:pPr>
        <w:spacing w:line="560" w:lineRule="exact"/>
        <w:ind w:firstLine="420"/>
        <w:rPr>
          <w:rFonts w:hint="eastAsia"/>
          <w:highlight w:val="none"/>
          <w:lang w:eastAsia="zh-CN"/>
        </w:rPr>
      </w:pPr>
    </w:p>
    <w:p>
      <w:pPr>
        <w:spacing w:line="560" w:lineRule="exact"/>
        <w:ind w:firstLine="420"/>
        <w:rPr>
          <w:rFonts w:hint="eastAsia"/>
          <w:highlight w:val="none"/>
          <w:lang w:eastAsia="zh-CN"/>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b/>
                <w:bCs/>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9"/>
                <w:highlight w:val="none"/>
                <w:lang w:val="en-US" w:eastAsia="zh-CN" w:bidi="ar"/>
              </w:rPr>
              <w:t xml:space="preserve">   </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spacing w:line="560" w:lineRule="exact"/>
              <w:ind w:firstLine="420"/>
              <w:rPr>
                <w:rFonts w:hint="eastAsia"/>
                <w:highlight w:val="none"/>
                <w:lang w:eastAsia="zh-CN"/>
              </w:rPr>
            </w:pPr>
            <w:r>
              <w:rPr>
                <w:rFonts w:hint="eastAsia" w:ascii="宋体" w:hAnsi="宋体" w:eastAsia="宋体" w:cs="宋体"/>
                <w:i w:val="0"/>
                <w:color w:val="000000"/>
                <w:kern w:val="0"/>
                <w:sz w:val="24"/>
                <w:szCs w:val="24"/>
                <w:highlight w:val="none"/>
                <w:u w:val="none"/>
                <w:lang w:val="en-US" w:eastAsia="zh-CN" w:bidi="ar"/>
              </w:rPr>
              <w:t>注：</w:t>
            </w:r>
            <w:r>
              <w:rPr>
                <w:rFonts w:hint="eastAsia"/>
                <w:highlight w:val="none"/>
                <w:lang w:eastAsia="zh-CN"/>
              </w:rPr>
              <w:t>本单位</w:t>
            </w:r>
            <w:r>
              <w:rPr>
                <w:rFonts w:hint="eastAsia"/>
                <w:highlight w:val="none"/>
              </w:rPr>
              <w:t>没有</w:t>
            </w:r>
            <w:r>
              <w:rPr>
                <w:rFonts w:hint="eastAsia"/>
                <w:highlight w:val="none"/>
                <w:lang w:val="en-US" w:eastAsia="zh-CN"/>
              </w:rPr>
              <w:t>国有资本经营预算财政拨款</w:t>
            </w:r>
            <w:r>
              <w:rPr>
                <w:rFonts w:hint="eastAsia"/>
                <w:highlight w:val="none"/>
                <w:lang w:eastAsia="zh-CN"/>
              </w:rPr>
              <w:t>收入，也没有</w:t>
            </w:r>
            <w:r>
              <w:rPr>
                <w:rFonts w:hint="eastAsia"/>
                <w:highlight w:val="none"/>
                <w:lang w:val="en-US" w:eastAsia="zh-CN"/>
              </w:rPr>
              <w:t>国有资本经营预算财政拨款</w:t>
            </w:r>
            <w:r>
              <w:rPr>
                <w:rFonts w:hint="eastAsia"/>
                <w:highlight w:val="none"/>
                <w:lang w:eastAsia="zh-CN"/>
              </w:rPr>
              <w:t>安排的支出，故本表无数据。</w:t>
            </w:r>
          </w:p>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p>
        </w:tc>
      </w:tr>
    </w:tbl>
    <w:p>
      <w:pPr>
        <w:spacing w:line="560" w:lineRule="exact"/>
        <w:ind w:firstLine="420"/>
        <w:rPr>
          <w:rFonts w:hint="eastAsia"/>
          <w:highlight w:val="none"/>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highlight w:val="none"/>
        </w:rPr>
      </w:pPr>
      <w:r>
        <w:rPr>
          <w:rFonts w:hint="eastAsia" w:ascii="仿宋_GB2312" w:eastAsia="仿宋_GB2312"/>
          <w:b/>
          <w:sz w:val="32"/>
          <w:szCs w:val="32"/>
          <w:highlight w:val="none"/>
        </w:rPr>
        <w:t>第三部分：</w:t>
      </w:r>
      <w:r>
        <w:rPr>
          <w:rFonts w:hint="eastAsia" w:ascii="仿宋_GB2312" w:eastAsia="仿宋_GB2312"/>
          <w:b/>
          <w:sz w:val="32"/>
          <w:szCs w:val="32"/>
          <w:highlight w:val="none"/>
          <w:lang w:eastAsia="zh-CN"/>
        </w:rPr>
        <w:t>柳州市铁二中学</w:t>
      </w:r>
      <w:r>
        <w:rPr>
          <w:rFonts w:hint="eastAsia" w:ascii="仿宋_GB2312" w:eastAsia="仿宋_GB2312"/>
          <w:b/>
          <w:sz w:val="32"/>
          <w:szCs w:val="32"/>
          <w:highlight w:val="none"/>
        </w:rPr>
        <w:t>2020年度</w:t>
      </w:r>
      <w:r>
        <w:rPr>
          <w:rFonts w:hint="eastAsia" w:ascii="仿宋_GB2312" w:eastAsia="仿宋_GB2312"/>
          <w:b/>
          <w:sz w:val="32"/>
          <w:szCs w:val="32"/>
          <w:highlight w:val="none"/>
          <w:lang w:eastAsia="zh-CN"/>
        </w:rPr>
        <w:t>单位</w:t>
      </w:r>
      <w:r>
        <w:rPr>
          <w:rFonts w:hint="eastAsia" w:ascii="仿宋_GB2312" w:eastAsia="仿宋_GB2312"/>
          <w:b/>
          <w:sz w:val="32"/>
          <w:szCs w:val="32"/>
          <w:highlight w:val="none"/>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一、</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
          <w:kern w:val="0"/>
          <w:sz w:val="32"/>
          <w:szCs w:val="32"/>
          <w:highlight w:val="none"/>
        </w:rPr>
        <w:t xml:space="preserve"> </w:t>
      </w:r>
      <w:r>
        <w:rPr>
          <w:rFonts w:hint="eastAsia" w:ascii="仿宋_GB2312" w:eastAsia="仿宋_GB2312" w:cs="仿宋_GB2312"/>
          <w:bCs/>
          <w:kern w:val="0"/>
          <w:sz w:val="32"/>
          <w:szCs w:val="32"/>
          <w:highlight w:val="none"/>
        </w:rPr>
        <w:t>2020年度收入总计</w:t>
      </w:r>
      <w:r>
        <w:rPr>
          <w:rFonts w:hint="eastAsia" w:ascii="仿宋_GB2312" w:eastAsia="仿宋_GB2312" w:cs="仿宋_GB2312"/>
          <w:bCs/>
          <w:kern w:val="0"/>
          <w:sz w:val="32"/>
          <w:szCs w:val="32"/>
          <w:highlight w:val="none"/>
          <w:lang w:val="en-US" w:eastAsia="zh-CN"/>
        </w:rPr>
        <w:t>4312.44</w:t>
      </w:r>
      <w:r>
        <w:rPr>
          <w:rFonts w:hint="eastAsia" w:ascii="仿宋_GB2312" w:eastAsia="仿宋_GB2312" w:cs="仿宋_GB2312"/>
          <w:bCs/>
          <w:kern w:val="0"/>
          <w:sz w:val="32"/>
          <w:szCs w:val="32"/>
          <w:highlight w:val="none"/>
        </w:rPr>
        <w:t>万元，支出总计</w:t>
      </w:r>
      <w:r>
        <w:rPr>
          <w:rFonts w:hint="eastAsia" w:ascii="仿宋_GB2312" w:eastAsia="仿宋_GB2312" w:cs="仿宋_GB2312"/>
          <w:bCs/>
          <w:kern w:val="0"/>
          <w:sz w:val="32"/>
          <w:szCs w:val="32"/>
          <w:highlight w:val="none"/>
          <w:lang w:val="en-US" w:eastAsia="zh-CN"/>
        </w:rPr>
        <w:t>4412.79</w:t>
      </w:r>
      <w:r>
        <w:rPr>
          <w:rFonts w:hint="eastAsia" w:ascii="仿宋_GB2312" w:eastAsia="仿宋_GB2312" w:cs="仿宋_GB2312"/>
          <w:bCs/>
          <w:kern w:val="0"/>
          <w:sz w:val="32"/>
          <w:szCs w:val="32"/>
          <w:highlight w:val="none"/>
        </w:rPr>
        <w:t>万元，与2019年相比，收</w:t>
      </w:r>
      <w:r>
        <w:rPr>
          <w:rFonts w:hint="eastAsia" w:ascii="仿宋_GB2312" w:eastAsia="仿宋_GB2312" w:cs="仿宋_GB2312"/>
          <w:bCs/>
          <w:kern w:val="0"/>
          <w:sz w:val="32"/>
          <w:szCs w:val="32"/>
          <w:highlight w:val="none"/>
          <w:lang w:eastAsia="zh-CN"/>
        </w:rPr>
        <w:t>入减少了</w:t>
      </w:r>
      <w:r>
        <w:rPr>
          <w:rFonts w:hint="eastAsia" w:ascii="仿宋_GB2312" w:eastAsia="仿宋_GB2312" w:cs="仿宋_GB2312"/>
          <w:bCs/>
          <w:kern w:val="0"/>
          <w:sz w:val="32"/>
          <w:szCs w:val="32"/>
          <w:highlight w:val="none"/>
          <w:lang w:val="en-US" w:eastAsia="zh-CN"/>
        </w:rPr>
        <w:t>101.3万元，减少了2.3%，</w:t>
      </w:r>
      <w:r>
        <w:rPr>
          <w:rFonts w:hint="eastAsia" w:ascii="仿宋_GB2312" w:eastAsia="仿宋_GB2312" w:cs="仿宋_GB2312"/>
          <w:bCs/>
          <w:kern w:val="0"/>
          <w:sz w:val="32"/>
          <w:szCs w:val="32"/>
          <w:highlight w:val="none"/>
        </w:rPr>
        <w:t>支</w:t>
      </w:r>
      <w:r>
        <w:rPr>
          <w:rFonts w:hint="eastAsia" w:ascii="仿宋_GB2312" w:eastAsia="仿宋_GB2312" w:cs="仿宋_GB2312"/>
          <w:bCs/>
          <w:kern w:val="0"/>
          <w:sz w:val="32"/>
          <w:szCs w:val="32"/>
          <w:highlight w:val="none"/>
          <w:lang w:eastAsia="zh-CN"/>
        </w:rPr>
        <w:t>增加了</w:t>
      </w:r>
      <w:r>
        <w:rPr>
          <w:rFonts w:hint="eastAsia" w:ascii="仿宋_GB2312" w:eastAsia="仿宋_GB2312" w:cs="仿宋_GB2312"/>
          <w:bCs/>
          <w:kern w:val="0"/>
          <w:sz w:val="32"/>
          <w:szCs w:val="32"/>
          <w:highlight w:val="none"/>
          <w:lang w:val="en-US" w:eastAsia="zh-CN"/>
        </w:rPr>
        <w:t>48.9万元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增长</w:t>
      </w:r>
      <w:r>
        <w:rPr>
          <w:rFonts w:hint="eastAsia" w:ascii="仿宋_GB2312" w:eastAsia="仿宋_GB2312" w:cs="仿宋_GB2312"/>
          <w:bCs/>
          <w:kern w:val="0"/>
          <w:sz w:val="32"/>
          <w:szCs w:val="32"/>
          <w:highlight w:val="none"/>
          <w:lang w:eastAsia="zh-CN"/>
        </w:rPr>
        <w:t>了</w:t>
      </w:r>
      <w:r>
        <w:rPr>
          <w:rFonts w:hint="eastAsia" w:ascii="仿宋_GB2312" w:eastAsia="仿宋_GB2312" w:cs="仿宋_GB2312"/>
          <w:bCs/>
          <w:kern w:val="0"/>
          <w:sz w:val="32"/>
          <w:szCs w:val="32"/>
          <w:highlight w:val="none"/>
          <w:lang w:val="en-US" w:eastAsia="zh-CN"/>
        </w:rPr>
        <w:t>1.12</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二、</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highlight w:val="none"/>
        </w:rPr>
      </w:pPr>
      <w:r>
        <w:rPr>
          <w:rFonts w:hint="eastAsia" w:ascii="仿宋_GB2312" w:eastAsia="仿宋_GB2312" w:cs="仿宋_GB2312"/>
          <w:bCs/>
          <w:kern w:val="0"/>
          <w:sz w:val="32"/>
          <w:szCs w:val="32"/>
          <w:highlight w:val="none"/>
        </w:rPr>
        <w:t>本年收入总计</w:t>
      </w:r>
      <w:r>
        <w:rPr>
          <w:rFonts w:hint="eastAsia" w:ascii="仿宋_GB2312" w:eastAsia="仿宋_GB2312" w:cs="仿宋_GB2312"/>
          <w:bCs/>
          <w:kern w:val="0"/>
          <w:sz w:val="32"/>
          <w:szCs w:val="32"/>
          <w:highlight w:val="none"/>
          <w:lang w:val="en-US" w:eastAsia="zh-CN"/>
        </w:rPr>
        <w:t>4312.44</w:t>
      </w:r>
      <w:r>
        <w:rPr>
          <w:rFonts w:hint="eastAsia" w:ascii="仿宋_GB2312" w:eastAsia="仿宋_GB2312" w:cs="仿宋_GB2312"/>
          <w:bCs/>
          <w:kern w:val="0"/>
          <w:sz w:val="32"/>
          <w:szCs w:val="32"/>
          <w:highlight w:val="none"/>
        </w:rPr>
        <w:t>万元 ，其中：一般公共预算财政拨款收入</w:t>
      </w:r>
      <w:r>
        <w:rPr>
          <w:rFonts w:hint="eastAsia" w:ascii="仿宋_GB2312" w:eastAsia="仿宋_GB2312" w:cs="仿宋_GB2312"/>
          <w:bCs/>
          <w:kern w:val="0"/>
          <w:sz w:val="32"/>
          <w:szCs w:val="32"/>
          <w:highlight w:val="none"/>
          <w:lang w:val="en-US" w:eastAsia="zh-CN"/>
        </w:rPr>
        <w:t>3985.37</w:t>
      </w:r>
      <w:r>
        <w:rPr>
          <w:rFonts w:hint="eastAsia" w:ascii="仿宋_GB2312" w:eastAsia="仿宋_GB2312" w:cs="仿宋_GB2312"/>
          <w:bCs/>
          <w:kern w:val="0"/>
          <w:sz w:val="32"/>
          <w:szCs w:val="32"/>
          <w:highlight w:val="none"/>
        </w:rPr>
        <w:t>万元；占比</w:t>
      </w:r>
      <w:r>
        <w:rPr>
          <w:rFonts w:hint="eastAsia" w:ascii="仿宋_GB2312" w:eastAsia="仿宋_GB2312" w:cs="仿宋_GB2312"/>
          <w:bCs/>
          <w:kern w:val="0"/>
          <w:sz w:val="32"/>
          <w:szCs w:val="32"/>
          <w:highlight w:val="none"/>
          <w:lang w:val="en-US" w:eastAsia="zh-CN"/>
        </w:rPr>
        <w:t>92.42%</w:t>
      </w:r>
      <w:r>
        <w:rPr>
          <w:rFonts w:hint="eastAsia" w:ascii="仿宋_GB2312" w:eastAsia="仿宋_GB2312" w:cs="仿宋_GB2312"/>
          <w:bCs/>
          <w:kern w:val="0"/>
          <w:sz w:val="32"/>
          <w:szCs w:val="32"/>
          <w:highlight w:val="none"/>
        </w:rPr>
        <w:t> ；政府</w:t>
      </w:r>
      <w:r>
        <w:rPr>
          <w:rFonts w:hint="eastAsia" w:ascii="仿宋_GB2312" w:eastAsia="仿宋_GB2312" w:cs="仿宋_GB2312"/>
          <w:bCs/>
          <w:kern w:val="0"/>
          <w:sz w:val="32"/>
          <w:szCs w:val="32"/>
          <w:highlight w:val="none"/>
          <w:lang w:val="en-US" w:eastAsia="zh-CN"/>
        </w:rPr>
        <w:t>性</w:t>
      </w:r>
      <w:r>
        <w:rPr>
          <w:rFonts w:hint="eastAsia" w:ascii="仿宋_GB2312" w:eastAsia="仿宋_GB2312" w:cs="仿宋_GB2312"/>
          <w:bCs/>
          <w:kern w:val="0"/>
          <w:sz w:val="32"/>
          <w:szCs w:val="32"/>
          <w:highlight w:val="none"/>
        </w:rPr>
        <w:t>基金预算财政拨款收入</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万元；占比</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；上级补助收入</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万元，占比</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 xml:space="preserve"> ；事业收入</w:t>
      </w:r>
      <w:r>
        <w:rPr>
          <w:rFonts w:hint="eastAsia" w:ascii="仿宋_GB2312" w:eastAsia="仿宋_GB2312" w:cs="仿宋_GB2312"/>
          <w:bCs/>
          <w:kern w:val="0"/>
          <w:sz w:val="32"/>
          <w:szCs w:val="32"/>
          <w:highlight w:val="none"/>
          <w:lang w:val="en-US" w:eastAsia="zh-CN"/>
        </w:rPr>
        <w:t>290.31</w:t>
      </w:r>
      <w:r>
        <w:rPr>
          <w:rFonts w:hint="eastAsia" w:ascii="仿宋_GB2312" w:eastAsia="仿宋_GB2312" w:cs="仿宋_GB2312"/>
          <w:bCs/>
          <w:kern w:val="0"/>
          <w:sz w:val="32"/>
          <w:szCs w:val="32"/>
          <w:highlight w:val="none"/>
        </w:rPr>
        <w:t>万元，占比</w:t>
      </w:r>
      <w:r>
        <w:rPr>
          <w:rFonts w:hint="eastAsia" w:ascii="仿宋_GB2312" w:eastAsia="仿宋_GB2312" w:cs="仿宋_GB2312"/>
          <w:bCs/>
          <w:kern w:val="0"/>
          <w:sz w:val="32"/>
          <w:szCs w:val="32"/>
          <w:highlight w:val="none"/>
          <w:lang w:val="en-US" w:eastAsia="zh-CN"/>
        </w:rPr>
        <w:t>6.73%</w:t>
      </w:r>
      <w:r>
        <w:rPr>
          <w:rFonts w:hint="eastAsia" w:ascii="仿宋_GB2312" w:eastAsia="仿宋_GB2312" w:cs="仿宋_GB2312"/>
          <w:bCs/>
          <w:kern w:val="0"/>
          <w:sz w:val="32"/>
          <w:szCs w:val="32"/>
          <w:highlight w:val="none"/>
        </w:rPr>
        <w:t xml:space="preserve"> ；事业单位经营收入</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万元，占比</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；其他收入</w:t>
      </w:r>
      <w:r>
        <w:rPr>
          <w:rFonts w:hint="eastAsia" w:ascii="仿宋_GB2312" w:eastAsia="仿宋_GB2312" w:cs="仿宋_GB2312"/>
          <w:bCs/>
          <w:kern w:val="0"/>
          <w:sz w:val="32"/>
          <w:szCs w:val="32"/>
          <w:highlight w:val="none"/>
          <w:lang w:val="en-US" w:eastAsia="zh-CN"/>
        </w:rPr>
        <w:t>36.76</w:t>
      </w:r>
      <w:r>
        <w:rPr>
          <w:rFonts w:hint="eastAsia" w:ascii="仿宋_GB2312" w:eastAsia="仿宋_GB2312" w:cs="仿宋_GB2312"/>
          <w:bCs/>
          <w:kern w:val="0"/>
          <w:sz w:val="32"/>
          <w:szCs w:val="32"/>
          <w:highlight w:val="none"/>
        </w:rPr>
        <w:t>万元，占比</w:t>
      </w:r>
      <w:r>
        <w:rPr>
          <w:rFonts w:hint="eastAsia" w:ascii="仿宋_GB2312" w:eastAsia="仿宋_GB2312" w:cs="仿宋_GB2312"/>
          <w:bCs/>
          <w:kern w:val="0"/>
          <w:sz w:val="32"/>
          <w:szCs w:val="32"/>
          <w:highlight w:val="none"/>
          <w:lang w:val="en-US" w:eastAsia="zh-CN"/>
        </w:rPr>
        <w:t>0.85%</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三、</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本年支出合计</w:t>
      </w:r>
      <w:r>
        <w:rPr>
          <w:rFonts w:hint="eastAsia" w:ascii="仿宋_GB2312" w:eastAsia="仿宋_GB2312" w:cs="仿宋_GB2312"/>
          <w:bCs/>
          <w:kern w:val="0"/>
          <w:sz w:val="32"/>
          <w:szCs w:val="32"/>
          <w:highlight w:val="none"/>
          <w:lang w:val="en-US" w:eastAsia="zh-CN"/>
        </w:rPr>
        <w:t>4412.79</w:t>
      </w:r>
      <w:r>
        <w:rPr>
          <w:rFonts w:hint="eastAsia" w:ascii="仿宋_GB2312" w:eastAsia="仿宋_GB2312" w:cs="仿宋_GB2312"/>
          <w:bCs/>
          <w:kern w:val="0"/>
          <w:sz w:val="32"/>
          <w:szCs w:val="32"/>
          <w:highlight w:val="none"/>
        </w:rPr>
        <w:t xml:space="preserve"> 万元，其中：基本支出 4332.79万元，占 </w:t>
      </w:r>
      <w:r>
        <w:rPr>
          <w:rFonts w:hint="eastAsia" w:ascii="仿宋_GB2312" w:eastAsia="仿宋_GB2312" w:cs="仿宋_GB2312"/>
          <w:bCs/>
          <w:kern w:val="0"/>
          <w:sz w:val="32"/>
          <w:szCs w:val="32"/>
          <w:highlight w:val="none"/>
          <w:lang w:val="en-US" w:eastAsia="zh-CN"/>
        </w:rPr>
        <w:t>98.19</w:t>
      </w:r>
      <w:r>
        <w:rPr>
          <w:rFonts w:hint="eastAsia" w:ascii="仿宋_GB2312" w:eastAsia="仿宋_GB2312" w:cs="仿宋_GB2312"/>
          <w:bCs/>
          <w:kern w:val="0"/>
          <w:sz w:val="32"/>
          <w:szCs w:val="32"/>
          <w:highlight w:val="none"/>
        </w:rPr>
        <w:t xml:space="preserve">%；项目支出 </w:t>
      </w:r>
      <w:r>
        <w:rPr>
          <w:rFonts w:hint="eastAsia" w:ascii="仿宋_GB2312" w:eastAsia="仿宋_GB2312" w:cs="仿宋_GB2312"/>
          <w:bCs/>
          <w:kern w:val="0"/>
          <w:sz w:val="32"/>
          <w:szCs w:val="32"/>
          <w:highlight w:val="none"/>
          <w:lang w:val="en-US" w:eastAsia="zh-CN"/>
        </w:rPr>
        <w:t>80</w:t>
      </w:r>
      <w:r>
        <w:rPr>
          <w:rFonts w:hint="eastAsia" w:ascii="仿宋_GB2312" w:eastAsia="仿宋_GB2312" w:cs="仿宋_GB2312"/>
          <w:bCs/>
          <w:kern w:val="0"/>
          <w:sz w:val="32"/>
          <w:szCs w:val="32"/>
          <w:highlight w:val="none"/>
        </w:rPr>
        <w:t>万元， 占</w:t>
      </w:r>
      <w:r>
        <w:rPr>
          <w:rFonts w:hint="eastAsia" w:ascii="仿宋_GB2312" w:eastAsia="仿宋_GB2312" w:cs="仿宋_GB2312"/>
          <w:bCs/>
          <w:kern w:val="0"/>
          <w:sz w:val="32"/>
          <w:szCs w:val="32"/>
          <w:highlight w:val="none"/>
          <w:lang w:val="en-US" w:eastAsia="zh-CN"/>
        </w:rPr>
        <w:t>1.21</w:t>
      </w:r>
      <w:r>
        <w:rPr>
          <w:rFonts w:hint="eastAsia" w:ascii="仿宋_GB2312" w:eastAsia="仿宋_GB2312" w:cs="仿宋_GB2312"/>
          <w:bCs/>
          <w:kern w:val="0"/>
          <w:sz w:val="32"/>
          <w:szCs w:val="32"/>
          <w:highlight w:val="none"/>
        </w:rPr>
        <w:t>%；经营支出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 xml:space="preserve">万元，占 </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四、</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年度财政拨款收入支出决算情况</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 xml:space="preserve"> 本部门 2020年度财政拨款收、支总决算3985.37万元、4126.74万元。与 2019 年相比，财政拨款收</w:t>
      </w:r>
      <w:r>
        <w:rPr>
          <w:rFonts w:hint="eastAsia" w:ascii="仿宋_GB2312" w:eastAsia="仿宋_GB2312" w:cs="仿宋_GB2312"/>
          <w:bCs/>
          <w:kern w:val="0"/>
          <w:sz w:val="32"/>
          <w:szCs w:val="32"/>
          <w:highlight w:val="none"/>
          <w:lang w:eastAsia="zh-CN"/>
        </w:rPr>
        <w:t>入</w:t>
      </w:r>
      <w:r>
        <w:rPr>
          <w:rFonts w:hint="eastAsia" w:ascii="仿宋_GB2312" w:eastAsia="仿宋_GB2312" w:cs="仿宋_GB2312"/>
          <w:bCs/>
          <w:kern w:val="0"/>
          <w:sz w:val="32"/>
          <w:szCs w:val="32"/>
          <w:highlight w:val="none"/>
        </w:rPr>
        <w:t>、支总计各增加</w:t>
      </w:r>
      <w:r>
        <w:rPr>
          <w:rFonts w:hint="eastAsia" w:ascii="仿宋_GB2312" w:eastAsia="仿宋_GB2312" w:cs="仿宋_GB2312"/>
          <w:bCs/>
          <w:kern w:val="0"/>
          <w:sz w:val="32"/>
          <w:szCs w:val="32"/>
          <w:highlight w:val="none"/>
          <w:lang w:val="en-US" w:eastAsia="zh-CN"/>
        </w:rPr>
        <w:t>14.77</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199.11万元</w:t>
      </w:r>
      <w:r>
        <w:rPr>
          <w:rFonts w:hint="eastAsia" w:ascii="仿宋_GB2312" w:eastAsia="仿宋_GB2312" w:cs="仿宋_GB2312"/>
          <w:bCs/>
          <w:kern w:val="0"/>
          <w:sz w:val="32"/>
          <w:szCs w:val="32"/>
          <w:highlight w:val="none"/>
        </w:rPr>
        <w:t>，增长</w:t>
      </w:r>
      <w:r>
        <w:rPr>
          <w:rFonts w:hint="eastAsia" w:ascii="仿宋_GB2312" w:eastAsia="仿宋_GB2312" w:cs="仿宋_GB2312"/>
          <w:bCs/>
          <w:kern w:val="0"/>
          <w:sz w:val="32"/>
          <w:szCs w:val="32"/>
          <w:highlight w:val="none"/>
          <w:lang w:val="en-US" w:eastAsia="zh-CN"/>
        </w:rPr>
        <w:t>0.37</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5.07%。</w:t>
      </w:r>
    </w:p>
    <w:p>
      <w:pPr>
        <w:autoSpaceDE w:val="0"/>
        <w:autoSpaceDN w:val="0"/>
        <w:adjustRightInd w:val="0"/>
        <w:spacing w:line="580" w:lineRule="exact"/>
        <w:ind w:firstLine="643" w:firstLineChars="200"/>
        <w:jc w:val="left"/>
        <w:rPr>
          <w:rFonts w:eastAsia="仿宋_GB2312"/>
          <w:b/>
          <w:kern w:val="0"/>
          <w:sz w:val="32"/>
          <w:szCs w:val="32"/>
          <w:highlight w:val="none"/>
        </w:rPr>
      </w:pPr>
      <w:r>
        <w:rPr>
          <w:rFonts w:hint="eastAsia" w:ascii="仿宋_GB2312" w:eastAsia="仿宋_GB2312" w:cs="仿宋_GB2312"/>
          <w:b/>
          <w:kern w:val="0"/>
          <w:sz w:val="32"/>
          <w:szCs w:val="32"/>
          <w:highlight w:val="none"/>
        </w:rPr>
        <w:t>五、</w:t>
      </w:r>
      <w:r>
        <w:rPr>
          <w:rFonts w:hint="eastAsia" w:eastAsia="仿宋_GB2312"/>
          <w:b/>
          <w:kern w:val="0"/>
          <w:sz w:val="32"/>
          <w:szCs w:val="32"/>
          <w:highlight w:val="none"/>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部门 2020年度财政拨款支出</w:t>
      </w:r>
      <w:r>
        <w:rPr>
          <w:rFonts w:hint="eastAsia" w:ascii="仿宋_GB2312" w:eastAsia="仿宋_GB2312" w:cs="仿宋_GB2312"/>
          <w:bCs/>
          <w:kern w:val="0"/>
          <w:sz w:val="32"/>
          <w:szCs w:val="32"/>
          <w:highlight w:val="none"/>
          <w:lang w:val="en-US" w:eastAsia="zh-CN"/>
        </w:rPr>
        <w:t>4126.74</w:t>
      </w:r>
      <w:r>
        <w:rPr>
          <w:rFonts w:hint="eastAsia" w:ascii="仿宋_GB2312" w:eastAsia="仿宋_GB2312" w:cs="仿宋_GB2312"/>
          <w:bCs/>
          <w:kern w:val="0"/>
          <w:sz w:val="32"/>
          <w:szCs w:val="32"/>
          <w:highlight w:val="none"/>
        </w:rPr>
        <w:t xml:space="preserve"> 万元，占本年支出合计的</w:t>
      </w:r>
      <w:r>
        <w:rPr>
          <w:rFonts w:hint="eastAsia" w:ascii="仿宋_GB2312" w:eastAsia="仿宋_GB2312" w:cs="仿宋_GB2312"/>
          <w:bCs/>
          <w:kern w:val="0"/>
          <w:sz w:val="32"/>
          <w:szCs w:val="32"/>
          <w:highlight w:val="none"/>
          <w:lang w:val="en-US" w:eastAsia="zh-CN"/>
        </w:rPr>
        <w:t>93.52</w:t>
      </w:r>
      <w:r>
        <w:rPr>
          <w:rFonts w:hint="eastAsia" w:ascii="仿宋_GB2312" w:eastAsia="仿宋_GB2312" w:cs="仿宋_GB2312"/>
          <w:bCs/>
          <w:kern w:val="0"/>
          <w:sz w:val="32"/>
          <w:szCs w:val="32"/>
          <w:highlight w:val="none"/>
        </w:rPr>
        <w:t>%。与 2019 年相比，财政拨款支出</w:t>
      </w:r>
      <w:r>
        <w:rPr>
          <w:rFonts w:hint="eastAsia" w:ascii="仿宋_GB2312" w:eastAsia="仿宋_GB2312" w:cs="仿宋_GB2312"/>
          <w:bCs/>
          <w:kern w:val="0"/>
          <w:sz w:val="32"/>
          <w:szCs w:val="32"/>
          <w:highlight w:val="none"/>
          <w:lang w:eastAsia="zh-CN"/>
        </w:rPr>
        <w:t>增加</w:t>
      </w: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val="en-US" w:eastAsia="zh-CN"/>
        </w:rPr>
        <w:t>199.11</w:t>
      </w:r>
      <w:r>
        <w:rPr>
          <w:rFonts w:hint="eastAsia" w:ascii="仿宋_GB2312" w:eastAsia="仿宋_GB2312" w:cs="仿宋_GB2312"/>
          <w:bCs/>
          <w:kern w:val="0"/>
          <w:sz w:val="32"/>
          <w:szCs w:val="32"/>
          <w:highlight w:val="none"/>
        </w:rPr>
        <w:t xml:space="preserve"> 万元，增加</w:t>
      </w:r>
      <w:r>
        <w:rPr>
          <w:rFonts w:hint="eastAsia" w:ascii="仿宋_GB2312" w:eastAsia="仿宋_GB2312" w:cs="仿宋_GB2312"/>
          <w:bCs/>
          <w:kern w:val="0"/>
          <w:sz w:val="32"/>
          <w:szCs w:val="32"/>
          <w:highlight w:val="none"/>
          <w:lang w:val="en-US" w:eastAsia="zh-CN"/>
        </w:rPr>
        <w:t>5.07</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 xml:space="preserve">     2020 年度财政拨款支出 </w:t>
      </w:r>
      <w:r>
        <w:rPr>
          <w:rFonts w:hint="eastAsia" w:ascii="仿宋_GB2312" w:eastAsia="仿宋_GB2312" w:cs="仿宋_GB2312"/>
          <w:bCs/>
          <w:kern w:val="0"/>
          <w:sz w:val="32"/>
          <w:szCs w:val="32"/>
          <w:highlight w:val="none"/>
          <w:lang w:val="en-US" w:eastAsia="zh-CN"/>
        </w:rPr>
        <w:t>4126.74</w:t>
      </w:r>
      <w:r>
        <w:rPr>
          <w:rFonts w:hint="eastAsia" w:ascii="仿宋_GB2312" w:eastAsia="仿宋_GB2312" w:cs="仿宋_GB2312"/>
          <w:bCs/>
          <w:kern w:val="0"/>
          <w:sz w:val="32"/>
          <w:szCs w:val="32"/>
          <w:highlight w:val="none"/>
        </w:rPr>
        <w:t xml:space="preserve"> 万元，主要用于以下方面： 教育（类）支出2930.98 万元，占</w:t>
      </w:r>
      <w:r>
        <w:rPr>
          <w:rFonts w:hint="eastAsia" w:ascii="仿宋_GB2312" w:eastAsia="仿宋_GB2312" w:cs="仿宋_GB2312"/>
          <w:bCs/>
          <w:kern w:val="0"/>
          <w:sz w:val="32"/>
          <w:szCs w:val="32"/>
          <w:highlight w:val="none"/>
          <w:lang w:val="en-US" w:eastAsia="zh-CN"/>
        </w:rPr>
        <w:t>71.02</w:t>
      </w:r>
      <w:r>
        <w:rPr>
          <w:rFonts w:hint="eastAsia" w:ascii="仿宋_GB2312" w:eastAsia="仿宋_GB2312" w:cs="仿宋_GB2312"/>
          <w:bCs/>
          <w:kern w:val="0"/>
          <w:sz w:val="32"/>
          <w:szCs w:val="32"/>
          <w:highlight w:val="none"/>
        </w:rPr>
        <w:t>%；社会保障和就业（类）支出702.59万元，占</w:t>
      </w:r>
      <w:r>
        <w:rPr>
          <w:rFonts w:hint="eastAsia" w:ascii="仿宋_GB2312" w:eastAsia="仿宋_GB2312" w:cs="仿宋_GB2312"/>
          <w:bCs/>
          <w:kern w:val="0"/>
          <w:sz w:val="32"/>
          <w:szCs w:val="32"/>
          <w:highlight w:val="none"/>
          <w:lang w:val="en-US" w:eastAsia="zh-CN"/>
        </w:rPr>
        <w:t>17.03</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卫生健康</w:t>
      </w:r>
      <w:r>
        <w:rPr>
          <w:rFonts w:hint="eastAsia" w:ascii="仿宋_GB2312" w:eastAsia="仿宋_GB2312" w:cs="仿宋_GB2312"/>
          <w:bCs/>
          <w:kern w:val="0"/>
          <w:sz w:val="32"/>
          <w:szCs w:val="32"/>
          <w:highlight w:val="none"/>
        </w:rPr>
        <w:t>支出198.49 万元，占</w:t>
      </w:r>
      <w:r>
        <w:rPr>
          <w:rFonts w:hint="eastAsia" w:ascii="仿宋_GB2312" w:eastAsia="仿宋_GB2312" w:cs="仿宋_GB2312"/>
          <w:bCs/>
          <w:kern w:val="0"/>
          <w:sz w:val="32"/>
          <w:szCs w:val="32"/>
          <w:highlight w:val="none"/>
          <w:lang w:val="en-US" w:eastAsia="zh-CN"/>
        </w:rPr>
        <w:t>4.81</w:t>
      </w:r>
      <w:r>
        <w:rPr>
          <w:rFonts w:hint="eastAsia" w:ascii="仿宋_GB2312" w:eastAsia="仿宋_GB2312" w:cs="仿宋_GB2312"/>
          <w:bCs/>
          <w:kern w:val="0"/>
          <w:sz w:val="32"/>
          <w:szCs w:val="32"/>
          <w:highlight w:val="none"/>
        </w:rPr>
        <w:t xml:space="preserve">%； 住房保障（类）支出294.68万元，占 </w:t>
      </w:r>
      <w:r>
        <w:rPr>
          <w:rFonts w:hint="eastAsia" w:ascii="仿宋_GB2312" w:eastAsia="仿宋_GB2312" w:cs="仿宋_GB2312"/>
          <w:bCs/>
          <w:kern w:val="0"/>
          <w:sz w:val="32"/>
          <w:szCs w:val="32"/>
          <w:highlight w:val="none"/>
          <w:lang w:val="en-US" w:eastAsia="zh-CN"/>
        </w:rPr>
        <w:t>7.14</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2020 年度财政拨款支出年初预算为 </w:t>
      </w:r>
      <w:r>
        <w:rPr>
          <w:rFonts w:hint="eastAsia" w:ascii="仿宋_GB2312" w:eastAsia="仿宋_GB2312" w:cs="仿宋_GB2312"/>
          <w:bCs/>
          <w:kern w:val="0"/>
          <w:sz w:val="32"/>
          <w:szCs w:val="32"/>
          <w:highlight w:val="none"/>
          <w:lang w:val="en-US" w:eastAsia="zh-CN"/>
        </w:rPr>
        <w:t>3019.21</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4126.74</w:t>
      </w:r>
      <w:r>
        <w:rPr>
          <w:rFonts w:hint="eastAsia" w:ascii="仿宋_GB2312" w:eastAsia="仿宋_GB2312" w:cs="仿宋_GB2312"/>
          <w:bCs/>
          <w:kern w:val="0"/>
          <w:sz w:val="32"/>
          <w:szCs w:val="32"/>
          <w:highlight w:val="none"/>
        </w:rPr>
        <w:t xml:space="preserve">万元，完成年初预算的 </w:t>
      </w:r>
      <w:r>
        <w:rPr>
          <w:rFonts w:hint="eastAsia" w:ascii="仿宋_GB2312" w:eastAsia="仿宋_GB2312" w:cs="仿宋_GB2312"/>
          <w:bCs/>
          <w:kern w:val="0"/>
          <w:sz w:val="32"/>
          <w:szCs w:val="32"/>
          <w:highlight w:val="none"/>
          <w:lang w:val="en-US" w:eastAsia="zh-CN"/>
        </w:rPr>
        <w:t>136.68</w:t>
      </w:r>
      <w:r>
        <w:rPr>
          <w:rFonts w:hint="eastAsia" w:ascii="仿宋_GB2312" w:eastAsia="仿宋_GB2312" w:cs="仿宋_GB2312"/>
          <w:bCs/>
          <w:kern w:val="0"/>
          <w:sz w:val="32"/>
          <w:szCs w:val="32"/>
          <w:highlight w:val="none"/>
        </w:rPr>
        <w:t>%。决算数大于预算数的主要原因：一是年中追加安排财政拨款支出预算，涉及项目有</w:t>
      </w:r>
      <w:r>
        <w:rPr>
          <w:rFonts w:hint="eastAsia" w:ascii="仿宋_GB2312" w:eastAsia="仿宋_GB2312" w:cs="仿宋_GB2312"/>
          <w:bCs/>
          <w:kern w:val="0"/>
          <w:sz w:val="32"/>
          <w:szCs w:val="32"/>
          <w:highlight w:val="none"/>
          <w:lang w:eastAsia="zh-CN"/>
        </w:rPr>
        <w:t>上级补助</w:t>
      </w:r>
      <w:r>
        <w:rPr>
          <w:rFonts w:hint="eastAsia" w:ascii="仿宋_GB2312" w:eastAsia="仿宋_GB2312" w:cs="仿宋_GB2312"/>
          <w:bCs/>
          <w:kern w:val="0"/>
          <w:sz w:val="32"/>
          <w:szCs w:val="32"/>
          <w:highlight w:val="none"/>
          <w:lang w:val="en-US" w:eastAsia="zh-CN"/>
        </w:rPr>
        <w:t>24.77万元，其他变动941.3万元</w:t>
      </w:r>
      <w:r>
        <w:rPr>
          <w:rFonts w:hint="eastAsia" w:ascii="仿宋_GB2312" w:eastAsia="仿宋_GB2312" w:cs="仿宋_GB2312"/>
          <w:bCs/>
          <w:kern w:val="0"/>
          <w:sz w:val="32"/>
          <w:szCs w:val="32"/>
          <w:highlight w:val="none"/>
        </w:rPr>
        <w:t>；二是部分支出按规定，通过使用以前年度财政拨款结转资金解决。</w:t>
      </w:r>
    </w:p>
    <w:p>
      <w:pPr>
        <w:autoSpaceDE w:val="0"/>
        <w:autoSpaceDN w:val="0"/>
        <w:adjustRightInd w:val="0"/>
        <w:spacing w:line="580" w:lineRule="exact"/>
        <w:ind w:left="958" w:leftChars="304" w:hanging="320" w:hangingChars="1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六、</w:t>
      </w:r>
      <w:r>
        <w:rPr>
          <w:rFonts w:hint="eastAsia" w:ascii="仿宋_GB2312" w:eastAsia="仿宋_GB2312" w:cs="仿宋_GB2312"/>
          <w:b/>
          <w:kern w:val="0"/>
          <w:sz w:val="32"/>
          <w:szCs w:val="32"/>
          <w:highlight w:val="none"/>
        </w:rPr>
        <w:t>2020年度一般公共预算财政拨款基本支出决算情况</w:t>
      </w:r>
      <w:r>
        <w:rPr>
          <w:rFonts w:hint="eastAsia" w:ascii="仿宋_GB2312" w:eastAsia="仿宋_GB2312" w:cs="仿宋_GB2312"/>
          <w:bCs/>
          <w:kern w:val="0"/>
          <w:sz w:val="32"/>
          <w:szCs w:val="32"/>
          <w:highlight w:val="none"/>
        </w:rPr>
        <w:t>2020年度财政拨款基本支出</w:t>
      </w:r>
      <w:r>
        <w:rPr>
          <w:rFonts w:hint="eastAsia" w:ascii="仿宋_GB2312" w:eastAsia="仿宋_GB2312" w:cs="仿宋_GB2312"/>
          <w:bCs/>
          <w:kern w:val="0"/>
          <w:sz w:val="32"/>
          <w:szCs w:val="32"/>
          <w:highlight w:val="none"/>
          <w:lang w:val="en-US" w:eastAsia="zh-CN"/>
        </w:rPr>
        <w:t>4126.74</w:t>
      </w:r>
      <w:r>
        <w:rPr>
          <w:rFonts w:hint="eastAsia" w:ascii="仿宋_GB2312" w:eastAsia="仿宋_GB2312" w:cs="仿宋_GB2312"/>
          <w:bCs/>
          <w:kern w:val="0"/>
          <w:sz w:val="32"/>
          <w:szCs w:val="32"/>
          <w:highlight w:val="none"/>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 xml:space="preserve"> 人员经费</w:t>
      </w:r>
      <w:r>
        <w:rPr>
          <w:rFonts w:hint="eastAsia" w:ascii="仿宋_GB2312" w:eastAsia="仿宋_GB2312" w:cs="仿宋_GB2312"/>
          <w:bCs/>
          <w:kern w:val="0"/>
          <w:sz w:val="32"/>
          <w:szCs w:val="32"/>
          <w:highlight w:val="none"/>
          <w:lang w:val="en-US" w:eastAsia="zh-CN"/>
        </w:rPr>
        <w:t>3790.21</w:t>
      </w:r>
      <w:r>
        <w:rPr>
          <w:rFonts w:hint="eastAsia" w:ascii="仿宋_GB2312" w:eastAsia="仿宋_GB2312" w:cs="仿宋_GB2312"/>
          <w:bCs/>
          <w:kern w:val="0"/>
          <w:sz w:val="32"/>
          <w:szCs w:val="32"/>
          <w:highlight w:val="none"/>
        </w:rPr>
        <w:t>万元，主要包括：基本工资、津贴补贴、 奖金、伙食补助费、绩效工资、机关事业单位基本养老保险缴费、职业年金缴费、其他社会保障缴费、其他工资福利支出、 离休费、退休费、抚恤金、生活补助、医疗费、奖励金、住房公积金</w:t>
      </w:r>
      <w:r>
        <w:rPr>
          <w:rFonts w:hint="eastAsia" w:ascii="仿宋_GB2312" w:eastAsia="仿宋_GB2312" w:cs="仿宋_GB2312"/>
          <w:bCs/>
          <w:kern w:val="0"/>
          <w:sz w:val="32"/>
          <w:szCs w:val="32"/>
          <w:highlight w:val="none"/>
          <w:lang w:eastAsia="zh-CN"/>
        </w:rPr>
        <w:t>等。</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公用经费</w:t>
      </w:r>
      <w:r>
        <w:rPr>
          <w:rFonts w:hint="eastAsia" w:ascii="仿宋_GB2312" w:eastAsia="仿宋_GB2312" w:cs="仿宋_GB2312"/>
          <w:bCs/>
          <w:kern w:val="0"/>
          <w:sz w:val="32"/>
          <w:szCs w:val="32"/>
          <w:highlight w:val="none"/>
          <w:lang w:val="en-US" w:eastAsia="zh-CN"/>
        </w:rPr>
        <w:t>256.53</w:t>
      </w:r>
      <w:r>
        <w:rPr>
          <w:rFonts w:hint="eastAsia" w:ascii="仿宋_GB2312" w:eastAsia="仿宋_GB2312" w:cs="仿宋_GB2312"/>
          <w:bCs/>
          <w:kern w:val="0"/>
          <w:sz w:val="32"/>
          <w:szCs w:val="32"/>
          <w:highlight w:val="none"/>
        </w:rPr>
        <w:t>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kern w:val="0"/>
          <w:sz w:val="32"/>
          <w:szCs w:val="32"/>
          <w:highlight w:val="none"/>
          <w:lang w:eastAsia="zh-CN"/>
        </w:rPr>
        <w:t>等。</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七、</w:t>
      </w:r>
      <w:r>
        <w:rPr>
          <w:rFonts w:hint="eastAsia" w:ascii="仿宋_GB2312" w:eastAsia="仿宋_GB2312" w:cs="仿宋_GB2312"/>
          <w:b/>
          <w:kern w:val="0"/>
          <w:sz w:val="32"/>
          <w:szCs w:val="32"/>
          <w:highlight w:val="none"/>
        </w:rPr>
        <w:t>2020 年度一般公共预算财政拨款“三公” 经费支出决算情况</w:t>
      </w:r>
      <w:r>
        <w:rPr>
          <w:rFonts w:hint="eastAsia" w:ascii="仿宋_GB2312" w:eastAsia="仿宋_GB2312" w:cs="仿宋_GB2312"/>
          <w:bCs/>
          <w:kern w:val="0"/>
          <w:sz w:val="32"/>
          <w:szCs w:val="32"/>
          <w:highlight w:val="none"/>
        </w:rPr>
        <w:t xml:space="preserve"> （根据实际情况作表述 ）</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 xml:space="preserve">2020 年度“三公”经费财政拨款支出预算为 </w:t>
      </w:r>
      <w:r>
        <w:rPr>
          <w:rFonts w:hint="eastAsia" w:ascii="仿宋_GB2312" w:eastAsia="仿宋_GB2312" w:cs="仿宋_GB2312"/>
          <w:bCs/>
          <w:kern w:val="0"/>
          <w:sz w:val="32"/>
          <w:szCs w:val="32"/>
          <w:highlight w:val="none"/>
          <w:lang w:val="en-US" w:eastAsia="zh-CN"/>
        </w:rPr>
        <w:t>0.2</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0.18</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90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为</w:t>
      </w:r>
      <w:r>
        <w:rPr>
          <w:rFonts w:hint="eastAsia" w:ascii="仿宋_GB2312" w:eastAsia="仿宋_GB2312" w:cs="仿宋_GB2312"/>
          <w:bCs/>
          <w:kern w:val="0"/>
          <w:sz w:val="32"/>
          <w:szCs w:val="32"/>
          <w:highlight w:val="none"/>
        </w:rPr>
        <w:t>公务用车购置及运行费支出决算</w:t>
      </w:r>
      <w:r>
        <w:rPr>
          <w:rFonts w:hint="eastAsia" w:ascii="仿宋_GB2312" w:eastAsia="仿宋_GB2312" w:cs="仿宋_GB2312"/>
          <w:bCs/>
          <w:kern w:val="0"/>
          <w:sz w:val="32"/>
          <w:szCs w:val="32"/>
          <w:highlight w:val="none"/>
          <w:lang w:eastAsia="zh-CN"/>
        </w:rPr>
        <w:t>为</w:t>
      </w:r>
      <w:r>
        <w:rPr>
          <w:rFonts w:hint="eastAsia" w:ascii="仿宋_GB2312" w:eastAsia="仿宋_GB2312" w:cs="仿宋_GB2312"/>
          <w:bCs/>
          <w:kern w:val="0"/>
          <w:sz w:val="32"/>
          <w:szCs w:val="32"/>
          <w:highlight w:val="none"/>
          <w:lang w:val="en-US" w:eastAsia="zh-CN"/>
        </w:rPr>
        <w:t>0.18</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90</w:t>
      </w:r>
      <w:r>
        <w:rPr>
          <w:rFonts w:hint="eastAsia" w:ascii="仿宋_GB2312" w:eastAsia="仿宋_GB2312" w:cs="仿宋_GB2312"/>
          <w:bCs/>
          <w:kern w:val="0"/>
          <w:sz w:val="32"/>
          <w:szCs w:val="32"/>
          <w:highlight w:val="none"/>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2020年度“三公”经费财政拨款支出决算数比2019年减少</w:t>
      </w:r>
      <w:r>
        <w:rPr>
          <w:rFonts w:hint="eastAsia" w:ascii="仿宋_GB2312" w:eastAsia="仿宋_GB2312" w:cs="仿宋_GB2312"/>
          <w:bCs/>
          <w:kern w:val="0"/>
          <w:sz w:val="32"/>
          <w:szCs w:val="32"/>
          <w:highlight w:val="none"/>
          <w:lang w:val="en-US" w:eastAsia="zh-CN"/>
        </w:rPr>
        <w:t>0.72</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80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为</w:t>
      </w:r>
      <w:r>
        <w:rPr>
          <w:rFonts w:hint="eastAsia" w:ascii="仿宋_GB2312" w:eastAsia="仿宋_GB2312" w:cs="仿宋_GB2312"/>
          <w:bCs/>
          <w:kern w:val="0"/>
          <w:sz w:val="32"/>
          <w:szCs w:val="32"/>
          <w:highlight w:val="none"/>
        </w:rPr>
        <w:t>公务用车购置及运行费支出决算</w:t>
      </w:r>
      <w:r>
        <w:rPr>
          <w:rFonts w:hint="eastAsia" w:ascii="仿宋_GB2312" w:eastAsia="仿宋_GB2312" w:cs="仿宋_GB2312"/>
          <w:bCs/>
          <w:kern w:val="0"/>
          <w:sz w:val="32"/>
          <w:szCs w:val="32"/>
          <w:highlight w:val="none"/>
          <w:lang w:eastAsia="zh-CN"/>
        </w:rPr>
        <w:t>，主要是因为</w:t>
      </w:r>
      <w:r>
        <w:rPr>
          <w:rFonts w:hint="eastAsia" w:ascii="仿宋_GB2312" w:eastAsia="仿宋_GB2312" w:cs="仿宋_GB2312"/>
          <w:bCs/>
          <w:kern w:val="0"/>
          <w:sz w:val="32"/>
          <w:szCs w:val="32"/>
          <w:highlight w:val="none"/>
          <w:lang w:val="en-US" w:eastAsia="zh-CN"/>
        </w:rPr>
        <w:t>2019年公务用车年久失修，发动机进行了换新，开支比较大，2020年度则没有此开销。</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2020年度“三公”经费财政拨款支出决算中，因公出国（境）费支出决算</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%；公务用车购置及运行费 支出决算</w:t>
      </w:r>
      <w:r>
        <w:rPr>
          <w:rFonts w:hint="eastAsia" w:ascii="仿宋_GB2312" w:eastAsia="仿宋_GB2312" w:cs="仿宋_GB2312"/>
          <w:bCs/>
          <w:kern w:val="0"/>
          <w:sz w:val="32"/>
          <w:szCs w:val="32"/>
          <w:highlight w:val="none"/>
          <w:lang w:val="en-US" w:eastAsia="zh-CN"/>
        </w:rPr>
        <w:t>0.18</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 xml:space="preserve"> %；公务接待费支出决算</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 xml:space="preserve"> %。具体情况如下：  </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1.因公出国（境）费支出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万元。全年安排机关和所属单位因公出国 （境）团组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个，累计</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人次。</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2.公务用车购置及运行费支出</w:t>
      </w:r>
      <w:r>
        <w:rPr>
          <w:rFonts w:hint="eastAsia" w:ascii="仿宋_GB2312" w:eastAsia="仿宋_GB2312" w:cs="仿宋_GB2312"/>
          <w:bCs/>
          <w:kern w:val="0"/>
          <w:sz w:val="32"/>
          <w:szCs w:val="32"/>
          <w:highlight w:val="none"/>
          <w:lang w:val="en-US" w:eastAsia="zh-CN"/>
        </w:rPr>
        <w:t>0.18</w:t>
      </w:r>
      <w:r>
        <w:rPr>
          <w:rFonts w:hint="eastAsia" w:ascii="仿宋_GB2312" w:eastAsia="仿宋_GB2312" w:cs="仿宋_GB2312"/>
          <w:bCs/>
          <w:kern w:val="0"/>
          <w:sz w:val="32"/>
          <w:szCs w:val="32"/>
          <w:highlight w:val="none"/>
        </w:rPr>
        <w:t>万元。其中： 公务用车购置支出为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万元。公务用车运行支出</w:t>
      </w:r>
      <w:r>
        <w:rPr>
          <w:rFonts w:hint="eastAsia" w:ascii="仿宋_GB2312" w:eastAsia="仿宋_GB2312" w:cs="仿宋_GB2312"/>
          <w:bCs/>
          <w:kern w:val="0"/>
          <w:sz w:val="32"/>
          <w:szCs w:val="32"/>
          <w:highlight w:val="none"/>
          <w:lang w:val="en-US" w:eastAsia="zh-CN"/>
        </w:rPr>
        <w:t>0.18</w:t>
      </w:r>
      <w:r>
        <w:rPr>
          <w:rFonts w:hint="eastAsia" w:ascii="仿宋_GB2312" w:eastAsia="仿宋_GB2312" w:cs="仿宋_GB2312"/>
          <w:bCs/>
          <w:kern w:val="0"/>
          <w:sz w:val="32"/>
          <w:szCs w:val="32"/>
          <w:highlight w:val="none"/>
        </w:rPr>
        <w:t>万元。主要用于</w:t>
      </w:r>
      <w:r>
        <w:rPr>
          <w:rFonts w:hint="eastAsia" w:ascii="仿宋_GB2312" w:eastAsia="仿宋_GB2312" w:cs="仿宋_GB2312"/>
          <w:bCs/>
          <w:kern w:val="0"/>
          <w:sz w:val="32"/>
          <w:szCs w:val="32"/>
          <w:highlight w:val="none"/>
          <w:lang w:eastAsia="zh-CN"/>
        </w:rPr>
        <w:t>公务用车维修</w:t>
      </w:r>
      <w:r>
        <w:rPr>
          <w:rFonts w:hint="eastAsia" w:ascii="仿宋_GB2312" w:eastAsia="仿宋_GB2312" w:cs="仿宋_GB2312"/>
          <w:bCs/>
          <w:kern w:val="0"/>
          <w:sz w:val="32"/>
          <w:szCs w:val="32"/>
          <w:highlight w:val="none"/>
        </w:rPr>
        <w:t>。2020年，机关所属单位开支财政拨款的公务用车保有量为</w:t>
      </w:r>
      <w:r>
        <w:rPr>
          <w:rFonts w:hint="eastAsia" w:ascii="仿宋_GB2312" w:eastAsia="仿宋_GB2312" w:cs="仿宋_GB2312"/>
          <w:bCs/>
          <w:kern w:val="0"/>
          <w:sz w:val="32"/>
          <w:szCs w:val="32"/>
          <w:highlight w:val="none"/>
          <w:lang w:val="en-US" w:eastAsia="zh-CN"/>
        </w:rPr>
        <w:t>1</w:t>
      </w:r>
      <w:r>
        <w:rPr>
          <w:rFonts w:hint="eastAsia" w:ascii="仿宋_GB2312" w:eastAsia="仿宋_GB2312" w:cs="仿宋_GB2312"/>
          <w:bCs/>
          <w:kern w:val="0"/>
          <w:sz w:val="32"/>
          <w:szCs w:val="32"/>
          <w:highlight w:val="none"/>
        </w:rPr>
        <w:t>辆。</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3.公务接待费支出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万元。其中：</w:t>
      </w:r>
    </w:p>
    <w:p>
      <w:pPr>
        <w:autoSpaceDE w:val="0"/>
        <w:autoSpaceDN w:val="0"/>
        <w:adjustRightInd w:val="0"/>
        <w:spacing w:line="580" w:lineRule="exact"/>
        <w:ind w:firstLine="64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外宾接待支出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万元。2020 年共接待国（境）外来访团组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个、来访外宾</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人次。</w:t>
      </w:r>
    </w:p>
    <w:p>
      <w:pPr>
        <w:autoSpaceDE w:val="0"/>
        <w:autoSpaceDN w:val="0"/>
        <w:adjustRightInd w:val="0"/>
        <w:spacing w:line="580" w:lineRule="exact"/>
        <w:ind w:firstLine="64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国内公务接待支出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万元。2020 年共接待国内来访团组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个、来宾</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人次</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jc w:val="left"/>
        <w:rPr>
          <w:rFonts w:hint="eastAsia" w:ascii="仿宋_GB2312" w:eastAsia="仿宋_GB2312" w:cs="仿宋_GB2312"/>
          <w:b/>
          <w:kern w:val="0"/>
          <w:sz w:val="32"/>
          <w:szCs w:val="32"/>
          <w:highlight w:val="none"/>
        </w:rPr>
      </w:pPr>
      <w:r>
        <w:rPr>
          <w:rFonts w:hint="eastAsia" w:ascii="仿宋_GB2312" w:eastAsia="仿宋_GB2312" w:cs="仿宋_GB2312"/>
          <w:bCs/>
          <w:kern w:val="0"/>
          <w:sz w:val="32"/>
          <w:szCs w:val="32"/>
          <w:highlight w:val="none"/>
        </w:rPr>
        <w:t xml:space="preserve">   八、</w:t>
      </w:r>
      <w:r>
        <w:rPr>
          <w:rFonts w:hint="eastAsia" w:ascii="仿宋_GB2312" w:eastAsia="仿宋_GB2312" w:cs="仿宋_GB2312"/>
          <w:b/>
          <w:kern w:val="0"/>
          <w:sz w:val="32"/>
          <w:szCs w:val="32"/>
          <w:highlight w:val="none"/>
        </w:rPr>
        <w:t xml:space="preserve">2020 年度政府性基金预算财政拨款收入支出决算情况说明 </w:t>
      </w:r>
    </w:p>
    <w:p>
      <w:pPr>
        <w:autoSpaceDE w:val="0"/>
        <w:autoSpaceDN w:val="0"/>
        <w:adjustRightInd w:val="0"/>
        <w:spacing w:line="580" w:lineRule="exact"/>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 xml:space="preserve">    本部门</w:t>
      </w:r>
      <w:r>
        <w:rPr>
          <w:rFonts w:hint="eastAsia" w:ascii="仿宋_GB2312" w:eastAsia="仿宋_GB2312" w:cs="仿宋_GB2312"/>
          <w:bCs/>
          <w:kern w:val="0"/>
          <w:sz w:val="32"/>
          <w:szCs w:val="32"/>
          <w:highlight w:val="none"/>
          <w:lang w:eastAsia="zh-CN"/>
        </w:rPr>
        <w:t>无</w:t>
      </w:r>
      <w:r>
        <w:rPr>
          <w:rFonts w:hint="eastAsia" w:ascii="仿宋_GB2312" w:eastAsia="仿宋_GB2312" w:cs="仿宋_GB2312"/>
          <w:bCs/>
          <w:kern w:val="0"/>
          <w:sz w:val="32"/>
          <w:szCs w:val="32"/>
          <w:highlight w:val="none"/>
        </w:rPr>
        <w:t>政府</w:t>
      </w:r>
      <w:r>
        <w:rPr>
          <w:rFonts w:hint="eastAsia" w:ascii="仿宋_GB2312" w:eastAsia="仿宋_GB2312" w:cs="仿宋_GB2312"/>
          <w:bCs/>
          <w:kern w:val="0"/>
          <w:sz w:val="32"/>
          <w:szCs w:val="32"/>
          <w:highlight w:val="none"/>
          <w:lang w:val="en-US" w:eastAsia="zh-CN"/>
        </w:rPr>
        <w:t>性</w:t>
      </w:r>
      <w:r>
        <w:rPr>
          <w:rFonts w:hint="eastAsia" w:ascii="仿宋_GB2312" w:eastAsia="仿宋_GB2312" w:cs="仿宋_GB2312"/>
          <w:bCs/>
          <w:kern w:val="0"/>
          <w:sz w:val="32"/>
          <w:szCs w:val="32"/>
          <w:highlight w:val="none"/>
        </w:rPr>
        <w:t>基金</w:t>
      </w:r>
      <w:r>
        <w:rPr>
          <w:rFonts w:hint="eastAsia" w:ascii="仿宋_GB2312" w:eastAsia="仿宋_GB2312" w:cs="仿宋_GB2312"/>
          <w:bCs/>
          <w:kern w:val="0"/>
          <w:sz w:val="32"/>
          <w:szCs w:val="32"/>
          <w:highlight w:val="none"/>
          <w:lang w:eastAsia="zh-CN"/>
        </w:rPr>
        <w:t>收入支出。</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Cs/>
          <w:kern w:val="0"/>
          <w:sz w:val="32"/>
          <w:szCs w:val="32"/>
          <w:highlight w:val="none"/>
        </w:rPr>
        <w:t>本部门</w:t>
      </w:r>
      <w:r>
        <w:rPr>
          <w:rFonts w:hint="eastAsia" w:ascii="仿宋_GB2312" w:eastAsia="仿宋_GB2312" w:cs="仿宋_GB2312"/>
          <w:bCs/>
          <w:kern w:val="0"/>
          <w:sz w:val="32"/>
          <w:szCs w:val="32"/>
          <w:highlight w:val="none"/>
          <w:lang w:eastAsia="zh-CN"/>
        </w:rPr>
        <w:t>无国有资本经营预算财政拨款收入支出。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eastAsia="仿宋_GB2312"/>
          <w:b/>
          <w:kern w:val="0"/>
          <w:sz w:val="32"/>
          <w:szCs w:val="32"/>
          <w:highlight w:val="none"/>
          <w:lang w:eastAsia="zh-CN"/>
        </w:rPr>
        <w:t>十、</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 xml:space="preserve"> 年度预算绩效情况说明</w:t>
      </w:r>
    </w:p>
    <w:p>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绩效管理工作开展情况</w:t>
      </w:r>
    </w:p>
    <w:p>
      <w:pPr>
        <w:autoSpaceDE w:val="0"/>
        <w:autoSpaceDN w:val="0"/>
        <w:adjustRightInd w:val="0"/>
        <w:spacing w:line="580" w:lineRule="exact"/>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 xml:space="preserve">    根据财政预算管理要求，我部门组织对2020年度一般公共预算项目支出全面开展绩效自评。其中，一级项目</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个，二级项目</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个，共涉及预算资金</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万元，自评覆盖率达到</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十</w:t>
      </w:r>
      <w:r>
        <w:rPr>
          <w:rFonts w:hint="eastAsia" w:ascii="仿宋_GB2312" w:eastAsia="仿宋_GB2312" w:cs="仿宋_GB2312"/>
          <w:b/>
          <w:kern w:val="0"/>
          <w:sz w:val="32"/>
          <w:szCs w:val="32"/>
          <w:highlight w:val="none"/>
          <w:lang w:eastAsia="zh-CN"/>
        </w:rPr>
        <w:t>一</w:t>
      </w:r>
      <w:r>
        <w:rPr>
          <w:rFonts w:hint="eastAsia" w:ascii="仿宋_GB2312" w:eastAsia="仿宋_GB2312" w:cs="仿宋_GB2312"/>
          <w:b/>
          <w:kern w:val="0"/>
          <w:sz w:val="32"/>
          <w:szCs w:val="32"/>
          <w:highlight w:val="none"/>
        </w:rPr>
        <w:t>、其他重要事项的情况</w:t>
      </w:r>
    </w:p>
    <w:p>
      <w:pPr>
        <w:spacing w:line="560" w:lineRule="exact"/>
        <w:ind w:firstLine="640" w:firstLineChars="200"/>
        <w:rPr>
          <w:rFonts w:hint="default" w:ascii="仿宋_GB2312" w:eastAsia="仿宋_GB2312"/>
          <w:sz w:val="28"/>
          <w:szCs w:val="28"/>
          <w:lang w:val="en-US" w:eastAsia="zh-CN"/>
        </w:rPr>
      </w:pP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一</w:t>
      </w:r>
      <w:r>
        <w:rPr>
          <w:rFonts w:hint="eastAsia" w:ascii="仿宋_GB2312" w:eastAsia="仿宋_GB2312" w:cs="仿宋_GB2312"/>
          <w:kern w:val="0"/>
          <w:sz w:val="32"/>
          <w:szCs w:val="32"/>
          <w:highlight w:val="none"/>
        </w:rPr>
        <w:t>）政府采购支出情况。</w:t>
      </w:r>
    </w:p>
    <w:p>
      <w:pPr>
        <w:autoSpaceDE w:val="0"/>
        <w:autoSpaceDN w:val="0"/>
        <w:adjustRightInd w:val="0"/>
        <w:spacing w:line="580" w:lineRule="exact"/>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2020年度部门政府采购支出总额</w:t>
      </w:r>
      <w:r>
        <w:rPr>
          <w:rFonts w:hint="eastAsia" w:ascii="仿宋_GB2312" w:eastAsia="仿宋_GB2312" w:cs="仿宋_GB2312"/>
          <w:kern w:val="0"/>
          <w:sz w:val="32"/>
          <w:szCs w:val="32"/>
          <w:highlight w:val="none"/>
          <w:lang w:val="en-US" w:eastAsia="zh-CN"/>
        </w:rPr>
        <w:t>123.81</w:t>
      </w:r>
      <w:r>
        <w:rPr>
          <w:rFonts w:hint="eastAsia" w:ascii="仿宋_GB2312" w:eastAsia="仿宋_GB2312" w:cs="仿宋_GB2312"/>
          <w:kern w:val="0"/>
          <w:sz w:val="32"/>
          <w:szCs w:val="32"/>
          <w:highlight w:val="none"/>
        </w:rPr>
        <w:t>万元，其中：货物支出</w:t>
      </w:r>
      <w:r>
        <w:rPr>
          <w:rFonts w:hint="eastAsia" w:ascii="仿宋_GB2312" w:eastAsia="仿宋_GB2312" w:cs="仿宋_GB2312"/>
          <w:kern w:val="0"/>
          <w:sz w:val="32"/>
          <w:szCs w:val="32"/>
          <w:highlight w:val="none"/>
          <w:lang w:val="en-US" w:eastAsia="zh-CN"/>
        </w:rPr>
        <w:t>25.69</w:t>
      </w:r>
      <w:r>
        <w:rPr>
          <w:rFonts w:hint="eastAsia" w:ascii="仿宋_GB2312" w:eastAsia="仿宋_GB2312" w:cs="仿宋_GB2312"/>
          <w:kern w:val="0"/>
          <w:sz w:val="32"/>
          <w:szCs w:val="32"/>
          <w:highlight w:val="none"/>
        </w:rPr>
        <w:t>万元、工程支出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万元、服务支出</w:t>
      </w:r>
      <w:r>
        <w:rPr>
          <w:rFonts w:hint="eastAsia" w:ascii="仿宋_GB2312" w:eastAsia="仿宋_GB2312" w:cs="仿宋_GB2312"/>
          <w:kern w:val="0"/>
          <w:sz w:val="32"/>
          <w:szCs w:val="32"/>
          <w:highlight w:val="none"/>
          <w:lang w:val="en-US" w:eastAsia="zh-CN"/>
        </w:rPr>
        <w:t>98.12</w:t>
      </w:r>
      <w:r>
        <w:rPr>
          <w:rFonts w:hint="eastAsia" w:ascii="仿宋_GB2312" w:eastAsia="仿宋_GB2312" w:cs="仿宋_GB2312"/>
          <w:kern w:val="0"/>
          <w:sz w:val="32"/>
          <w:szCs w:val="32"/>
          <w:highlight w:val="none"/>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二</w:t>
      </w:r>
      <w:r>
        <w:rPr>
          <w:rFonts w:hint="eastAsia" w:ascii="仿宋_GB2312" w:eastAsia="仿宋_GB2312" w:cs="仿宋_GB2312"/>
          <w:kern w:val="0"/>
          <w:sz w:val="32"/>
          <w:szCs w:val="32"/>
          <w:highlight w:val="none"/>
        </w:rPr>
        <w:t>）国有资产占用情况。截至年末部门共有车辆</w:t>
      </w:r>
      <w:r>
        <w:rPr>
          <w:rFonts w:hint="eastAsia" w:ascii="仿宋_GB2312" w:eastAsia="仿宋_GB2312" w:cs="仿宋_GB2312"/>
          <w:kern w:val="0"/>
          <w:sz w:val="32"/>
          <w:szCs w:val="32"/>
          <w:highlight w:val="none"/>
          <w:lang w:val="en-US" w:eastAsia="zh-CN"/>
        </w:rPr>
        <w:t>1</w:t>
      </w:r>
      <w:r>
        <w:rPr>
          <w:rFonts w:hint="eastAsia" w:ascii="仿宋_GB2312" w:eastAsia="仿宋_GB2312" w:cs="仿宋_GB2312"/>
          <w:kern w:val="0"/>
          <w:sz w:val="32"/>
          <w:szCs w:val="32"/>
          <w:highlight w:val="none"/>
        </w:rPr>
        <w:t>辆，其中：公务用车</w:t>
      </w:r>
      <w:r>
        <w:rPr>
          <w:rFonts w:hint="eastAsia" w:ascii="仿宋_GB2312" w:eastAsia="仿宋_GB2312" w:cs="仿宋_GB2312"/>
          <w:kern w:val="0"/>
          <w:sz w:val="32"/>
          <w:szCs w:val="32"/>
          <w:highlight w:val="none"/>
          <w:lang w:val="en-US" w:eastAsia="zh-CN"/>
        </w:rPr>
        <w:t>1</w:t>
      </w:r>
      <w:r>
        <w:rPr>
          <w:rFonts w:hint="eastAsia" w:ascii="仿宋_GB2312" w:eastAsia="仿宋_GB2312" w:cs="仿宋_GB2312"/>
          <w:kern w:val="0"/>
          <w:sz w:val="32"/>
          <w:szCs w:val="32"/>
          <w:highlight w:val="none"/>
        </w:rPr>
        <w:t xml:space="preserve"> 辆</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单价50万元 以上通用设备</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台（套），单价100 万元以上专用设备</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 xml:space="preserve">台（套）。 </w:t>
      </w:r>
    </w:p>
    <w:p>
      <w:pPr>
        <w:spacing w:line="580" w:lineRule="exact"/>
        <w:ind w:firstLine="645"/>
        <w:rPr>
          <w:rFonts w:ascii="仿宋_GB2312" w:eastAsia="仿宋_GB2312"/>
          <w:b/>
          <w:sz w:val="32"/>
          <w:szCs w:val="32"/>
          <w:highlight w:val="none"/>
        </w:rPr>
      </w:pPr>
      <w:r>
        <w:rPr>
          <w:rFonts w:hint="eastAsia" w:ascii="仿宋_GB2312" w:eastAsia="仿宋_GB2312"/>
          <w:b/>
          <w:sz w:val="32"/>
          <w:szCs w:val="32"/>
          <w:highlight w:val="none"/>
        </w:rPr>
        <w:t>第四部分：名词解释</w:t>
      </w:r>
    </w:p>
    <w:p>
      <w:pPr>
        <w:numPr>
          <w:ilvl w:val="0"/>
          <w:numId w:val="2"/>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财政拨款收入：指市本级财政当年拨付的资金。</w:t>
      </w:r>
    </w:p>
    <w:p>
      <w:pPr>
        <w:numPr>
          <w:ilvl w:val="0"/>
          <w:numId w:val="2"/>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highlight w:val="none"/>
        </w:rPr>
      </w:pPr>
      <w:r>
        <w:rPr>
          <w:rFonts w:hint="eastAsia" w:ascii="仿宋_GB2312" w:eastAsia="仿宋_GB2312"/>
          <w:sz w:val="32"/>
          <w:szCs w:val="32"/>
          <w:highlight w:val="none"/>
        </w:rPr>
        <w:t>使用非财政拨款结余</w:t>
      </w:r>
      <w:r>
        <w:rPr>
          <w:rFonts w:hint="eastAsia" w:ascii="仿宋_GB2312" w:eastAsia="仿宋_GB2312"/>
          <w:bCs/>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rPr>
          <w:highlight w:val="none"/>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66CA3"/>
    <w:rsid w:val="006C1367"/>
    <w:rsid w:val="00715385"/>
    <w:rsid w:val="00F66C5B"/>
    <w:rsid w:val="08D73975"/>
    <w:rsid w:val="0974277E"/>
    <w:rsid w:val="0A20501F"/>
    <w:rsid w:val="0DA86951"/>
    <w:rsid w:val="0E074DDF"/>
    <w:rsid w:val="124204B5"/>
    <w:rsid w:val="16870127"/>
    <w:rsid w:val="182962AB"/>
    <w:rsid w:val="19D073EB"/>
    <w:rsid w:val="1BE02AFE"/>
    <w:rsid w:val="1C262F87"/>
    <w:rsid w:val="1CC31F67"/>
    <w:rsid w:val="23351BBC"/>
    <w:rsid w:val="24D337DC"/>
    <w:rsid w:val="26460DBA"/>
    <w:rsid w:val="27622707"/>
    <w:rsid w:val="292E7259"/>
    <w:rsid w:val="2B6F74EB"/>
    <w:rsid w:val="2C4219FE"/>
    <w:rsid w:val="2E9D0C73"/>
    <w:rsid w:val="34020F86"/>
    <w:rsid w:val="38804FE7"/>
    <w:rsid w:val="39A63F06"/>
    <w:rsid w:val="3ED1439F"/>
    <w:rsid w:val="44500BF5"/>
    <w:rsid w:val="482B6110"/>
    <w:rsid w:val="48374EDC"/>
    <w:rsid w:val="499D5802"/>
    <w:rsid w:val="4C256E3D"/>
    <w:rsid w:val="4CB52F0F"/>
    <w:rsid w:val="532F1F9A"/>
    <w:rsid w:val="5E995A3E"/>
    <w:rsid w:val="5F155949"/>
    <w:rsid w:val="62163194"/>
    <w:rsid w:val="624D024D"/>
    <w:rsid w:val="650E086A"/>
    <w:rsid w:val="65D26342"/>
    <w:rsid w:val="68F63D3F"/>
    <w:rsid w:val="6BAA0708"/>
    <w:rsid w:val="7D82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6639</Words>
  <Characters>9582</Characters>
  <Lines>60</Lines>
  <Paragraphs>17</Paragraphs>
  <TotalTime>14</TotalTime>
  <ScaleCrop>false</ScaleCrop>
  <LinksUpToDate>false</LinksUpToDate>
  <CharactersWithSpaces>10323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2022-08-02T01:43:00Z</cp:lastPrinted>
  <dcterms:modified xsi:type="dcterms:W3CDTF">2022-09-10T13:17:47Z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E2E6240F5BAC489E9A37DF949F2B02D2</vt:lpwstr>
  </property>
</Properties>
</file>