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highlight w:val="none"/>
        </w:rPr>
      </w:pPr>
    </w:p>
    <w:p>
      <w:pPr>
        <w:rPr>
          <w:rFonts w:ascii="黑体" w:eastAsia="黑体" w:cs="ArialUnicodeMS"/>
          <w:color w:val="auto"/>
          <w:kern w:val="0"/>
          <w:sz w:val="72"/>
          <w:szCs w:val="72"/>
          <w:highlight w:val="none"/>
        </w:rPr>
      </w:pPr>
    </w:p>
    <w:p>
      <w:pPr>
        <w:rPr>
          <w:rFonts w:ascii="黑体" w:eastAsia="黑体" w:cs="ArialUnicodeMS"/>
          <w:color w:val="auto"/>
          <w:kern w:val="0"/>
          <w:sz w:val="72"/>
          <w:szCs w:val="72"/>
          <w:highlight w:val="none"/>
        </w:rPr>
      </w:pPr>
    </w:p>
    <w:p>
      <w:pPr>
        <w:jc w:val="center"/>
        <w:rPr>
          <w:rFonts w:hint="eastAsia" w:ascii="黑体" w:hAnsi="黑体" w:eastAsia="黑体"/>
          <w:bCs/>
          <w:color w:val="auto"/>
          <w:sz w:val="52"/>
          <w:szCs w:val="52"/>
          <w:highlight w:val="none"/>
          <w:lang w:eastAsia="zh-CN"/>
        </w:rPr>
      </w:pPr>
      <w:r>
        <w:rPr>
          <w:rFonts w:hint="eastAsia" w:ascii="黑体" w:eastAsia="黑体" w:cs="ArialUnicodeMS"/>
          <w:color w:val="auto"/>
          <w:kern w:val="0"/>
          <w:sz w:val="52"/>
          <w:szCs w:val="52"/>
          <w:highlight w:val="none"/>
        </w:rPr>
        <w:t>柳州市</w:t>
      </w:r>
      <w:r>
        <w:rPr>
          <w:rFonts w:hint="eastAsia" w:ascii="黑体" w:eastAsia="黑体" w:cs="ArialUnicodeMS"/>
          <w:color w:val="auto"/>
          <w:kern w:val="0"/>
          <w:sz w:val="52"/>
          <w:szCs w:val="52"/>
          <w:highlight w:val="none"/>
          <w:lang w:eastAsia="zh-CN"/>
        </w:rPr>
        <w:t>柳江职业教育中心</w:t>
      </w:r>
    </w:p>
    <w:p>
      <w:pPr>
        <w:jc w:val="center"/>
        <w:rPr>
          <w:rFonts w:ascii="黑体" w:eastAsia="黑体" w:cs="ArialUnicodeMS"/>
          <w:color w:val="auto"/>
          <w:kern w:val="0"/>
          <w:sz w:val="52"/>
          <w:szCs w:val="52"/>
          <w:highlight w:val="none"/>
        </w:rPr>
      </w:pPr>
      <w:r>
        <w:rPr>
          <w:rFonts w:hint="eastAsia" w:ascii="黑体" w:eastAsia="黑体"/>
          <w:color w:val="auto"/>
          <w:kern w:val="0"/>
          <w:sz w:val="52"/>
          <w:szCs w:val="52"/>
          <w:highlight w:val="none"/>
        </w:rPr>
        <w:t>2020</w:t>
      </w:r>
      <w:r>
        <w:rPr>
          <w:rFonts w:hint="eastAsia" w:ascii="黑体" w:eastAsia="黑体" w:cs="ArialUnicodeMS"/>
          <w:color w:val="auto"/>
          <w:kern w:val="0"/>
          <w:sz w:val="52"/>
          <w:szCs w:val="52"/>
          <w:highlight w:val="none"/>
        </w:rPr>
        <w:t>年度部门决算</w:t>
      </w: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jc w:val="center"/>
        <w:rPr>
          <w:rFonts w:ascii="黑体" w:eastAsia="黑体" w:cs="黑体"/>
          <w:color w:val="auto"/>
          <w:kern w:val="0"/>
          <w:sz w:val="44"/>
          <w:szCs w:val="44"/>
          <w:highlight w:val="none"/>
        </w:rPr>
      </w:pP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pPr>
        <w:ind w:firstLine="645"/>
        <w:rPr>
          <w:rFonts w:ascii="仿宋_GB2312" w:eastAsia="仿宋_GB2312"/>
          <w:b/>
          <w:color w:val="auto"/>
          <w:sz w:val="32"/>
          <w:szCs w:val="32"/>
          <w:highlight w:val="none"/>
        </w:rPr>
      </w:pP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eastAsia="仿宋_GB2312"/>
          <w:b/>
          <w:color w:val="auto"/>
          <w:sz w:val="32"/>
          <w:szCs w:val="32"/>
          <w:highlight w:val="none"/>
          <w:lang w:eastAsia="zh-CN"/>
        </w:rPr>
        <w:t>柳州市柳江职业教育中心</w:t>
      </w:r>
      <w:r>
        <w:rPr>
          <w:rFonts w:hint="eastAsia" w:ascii="仿宋_GB2312" w:eastAsia="仿宋_GB2312"/>
          <w:b/>
          <w:color w:val="auto"/>
          <w:sz w:val="32"/>
          <w:szCs w:val="32"/>
          <w:highlight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二、部门决算单位构成</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eastAsia="仿宋_GB2312"/>
          <w:b/>
          <w:color w:val="auto"/>
          <w:sz w:val="32"/>
          <w:szCs w:val="32"/>
          <w:highlight w:val="none"/>
          <w:lang w:eastAsia="zh-CN"/>
        </w:rPr>
        <w:t>柳州市柳江职业教育中心</w:t>
      </w:r>
      <w:r>
        <w:rPr>
          <w:rFonts w:hint="eastAsia" w:ascii="仿宋_GB2312" w:eastAsia="仿宋_GB2312"/>
          <w:b/>
          <w:color w:val="auto"/>
          <w:sz w:val="32"/>
          <w:szCs w:val="32"/>
          <w:highlight w:val="none"/>
        </w:rPr>
        <w:t>2020年部门决算报表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eastAsia="仿宋_GB2312"/>
          <w:b/>
          <w:color w:val="auto"/>
          <w:sz w:val="32"/>
          <w:szCs w:val="32"/>
          <w:highlight w:val="none"/>
          <w:lang w:eastAsia="zh-CN"/>
        </w:rPr>
        <w:t>柳州市柳江职业教育中心</w:t>
      </w:r>
      <w:r>
        <w:rPr>
          <w:rFonts w:hint="eastAsia" w:ascii="仿宋_GB2312" w:eastAsia="仿宋_GB2312"/>
          <w:b/>
          <w:color w:val="auto"/>
          <w:sz w:val="32"/>
          <w:szCs w:val="32"/>
          <w:highlight w:val="none"/>
        </w:rPr>
        <w:t>2020年度部门决算情况说明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 xml:space="preserve"> 年度政府性基金预算财政拨款收入支出决算情况</w:t>
      </w:r>
    </w:p>
    <w:p>
      <w:pPr>
        <w:ind w:left="645"/>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十、其他重要事项的情况说明</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jc w:val="both"/>
        <w:rPr>
          <w:rFonts w:ascii="仿宋_GB2312" w:eastAsia="仿宋_GB2312"/>
          <w:b/>
          <w:color w:val="auto"/>
          <w:sz w:val="32"/>
          <w:szCs w:val="32"/>
          <w:highlight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eastAsia="仿宋_GB2312"/>
          <w:b/>
          <w:color w:val="auto"/>
          <w:sz w:val="32"/>
          <w:szCs w:val="32"/>
          <w:highlight w:val="none"/>
          <w:lang w:eastAsia="zh-CN"/>
        </w:rPr>
        <w:t>柳州市柳江职业教育中心</w:t>
      </w:r>
      <w:r>
        <w:rPr>
          <w:rFonts w:hint="eastAsia" w:ascii="仿宋_GB2312" w:eastAsia="仿宋_GB2312"/>
          <w:b/>
          <w:color w:val="auto"/>
          <w:sz w:val="32"/>
          <w:szCs w:val="32"/>
          <w:highlight w:val="none"/>
        </w:rPr>
        <w:t>概况</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spacing w:line="560" w:lineRule="exact"/>
        <w:ind w:firstLine="480" w:firstLineChars="15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柳州市</w:t>
      </w:r>
      <w:r>
        <w:rPr>
          <w:rFonts w:hint="eastAsia" w:ascii="仿宋_GB2312" w:hAnsi="宋体" w:eastAsia="仿宋_GB2312" w:cs="Times New Roman"/>
          <w:color w:val="auto"/>
          <w:sz w:val="32"/>
          <w:szCs w:val="32"/>
          <w:highlight w:val="none"/>
          <w:lang w:eastAsia="zh-CN"/>
        </w:rPr>
        <w:t>柳江职业教育中心</w:t>
      </w:r>
      <w:r>
        <w:rPr>
          <w:rFonts w:hint="eastAsia" w:ascii="仿宋_GB2312" w:hAnsi="宋体" w:eastAsia="仿宋_GB2312" w:cs="Times New Roman"/>
          <w:color w:val="auto"/>
          <w:sz w:val="32"/>
          <w:szCs w:val="32"/>
          <w:highlight w:val="none"/>
        </w:rPr>
        <w:t>为公立全日制中等职业教育学校，具有独立法人资格。</w:t>
      </w:r>
      <w:r>
        <w:rPr>
          <w:rFonts w:hint="eastAsia" w:ascii="仿宋_GB2312" w:hAnsi="宋体" w:eastAsia="仿宋_GB2312" w:cs="Times New Roman"/>
          <w:color w:val="auto"/>
          <w:sz w:val="32"/>
          <w:szCs w:val="32"/>
          <w:highlight w:val="none"/>
          <w:lang w:eastAsia="zh-CN"/>
        </w:rPr>
        <w:t>从</w:t>
      </w:r>
      <w:r>
        <w:rPr>
          <w:rFonts w:hint="eastAsia" w:ascii="仿宋_GB2312" w:hAnsi="宋体" w:eastAsia="仿宋_GB2312" w:cs="Times New Roman"/>
          <w:color w:val="auto"/>
          <w:sz w:val="32"/>
          <w:szCs w:val="32"/>
          <w:highlight w:val="none"/>
          <w:lang w:val="en-US" w:eastAsia="zh-CN"/>
        </w:rPr>
        <w:t>2018年8月我校由柳州市第一职业技术学校</w:t>
      </w:r>
      <w:r>
        <w:rPr>
          <w:rFonts w:hint="default" w:ascii="仿宋_GB2312" w:hAnsi="宋体" w:eastAsia="仿宋_GB2312" w:cs="Times New Roman"/>
          <w:color w:val="auto"/>
          <w:sz w:val="32"/>
          <w:szCs w:val="32"/>
          <w:highlight w:val="none"/>
          <w:lang w:eastAsia="zh-CN"/>
        </w:rPr>
        <w:t>（下文中简称一职校）</w:t>
      </w:r>
      <w:r>
        <w:rPr>
          <w:rFonts w:hint="eastAsia" w:ascii="仿宋_GB2312" w:hAnsi="宋体" w:eastAsia="仿宋_GB2312" w:cs="Times New Roman"/>
          <w:color w:val="auto"/>
          <w:sz w:val="32"/>
          <w:szCs w:val="32"/>
          <w:highlight w:val="none"/>
          <w:lang w:val="en-US" w:eastAsia="zh-CN"/>
        </w:rPr>
        <w:t>全面托管，2019年秋学期开始，一职校旅游专业进驻柳江校区，</w:t>
      </w:r>
      <w:r>
        <w:rPr>
          <w:rFonts w:hint="eastAsia" w:ascii="仿宋_GB2312" w:hAnsi="宋体" w:eastAsia="仿宋_GB2312" w:cs="Times New Roman"/>
          <w:color w:val="auto"/>
          <w:sz w:val="32"/>
          <w:szCs w:val="32"/>
          <w:highlight w:val="none"/>
        </w:rPr>
        <w:t>学校主要开展</w:t>
      </w:r>
      <w:r>
        <w:rPr>
          <w:rFonts w:hint="eastAsia" w:ascii="仿宋_GB2312" w:hAnsi="宋体" w:eastAsia="仿宋_GB2312" w:cs="Times New Roman"/>
          <w:color w:val="auto"/>
          <w:sz w:val="32"/>
          <w:szCs w:val="32"/>
          <w:highlight w:val="none"/>
          <w:lang w:eastAsia="zh-CN"/>
        </w:rPr>
        <w:t>旅游系</w:t>
      </w:r>
      <w:r>
        <w:rPr>
          <w:rFonts w:hint="eastAsia" w:ascii="仿宋_GB2312" w:hAnsi="宋体" w:eastAsia="仿宋_GB2312" w:cs="Times New Roman"/>
          <w:color w:val="auto"/>
          <w:sz w:val="32"/>
          <w:szCs w:val="32"/>
          <w:highlight w:val="none"/>
        </w:rPr>
        <w:t>全日制学历教育、社会培训等其他类型的教育。</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学校主要</w:t>
      </w:r>
      <w:r>
        <w:rPr>
          <w:rFonts w:ascii="仿宋_GB2312" w:hAnsi="宋体" w:eastAsia="仿宋_GB2312"/>
          <w:color w:val="auto"/>
          <w:sz w:val="32"/>
          <w:szCs w:val="32"/>
          <w:highlight w:val="none"/>
        </w:rPr>
        <w:t>职责为：</w:t>
      </w:r>
    </w:p>
    <w:p>
      <w:pPr>
        <w:spacing w:line="560" w:lineRule="exact"/>
        <w:ind w:firstLine="480" w:firstLineChars="150"/>
        <w:rPr>
          <w:rFonts w:ascii="仿宋_GB2312" w:hAnsi="宋体" w:eastAsia="仿宋_GB2312" w:cs="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hAnsi="宋体" w:eastAsia="仿宋_GB2312" w:cs="仿宋_GB2312"/>
          <w:color w:val="auto"/>
          <w:sz w:val="32"/>
          <w:szCs w:val="32"/>
          <w:highlight w:val="none"/>
        </w:rPr>
        <w:t>执行国家有关教育法律、法规、方针、政策和上级教育行政主管部门的规定，按教育规律办学。</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hAnsi="宋体" w:eastAsia="仿宋_GB2312" w:cs="仿宋_GB2312"/>
          <w:color w:val="auto"/>
          <w:sz w:val="32"/>
          <w:szCs w:val="32"/>
          <w:highlight w:val="none"/>
        </w:rPr>
        <w:t>组织教师学习政治和研究业务，努力建设学习型的教</w:t>
      </w:r>
      <w:r>
        <w:rPr>
          <w:rFonts w:hint="eastAsia" w:ascii="仿宋_GB2312" w:hAnsi="宋体" w:eastAsia="仿宋_GB2312"/>
          <w:color w:val="auto"/>
          <w:sz w:val="32"/>
          <w:szCs w:val="32"/>
          <w:highlight w:val="none"/>
        </w:rPr>
        <w:t>师队伍。</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（三）拟订并实施学校的发展规划，制定实施年度工作计划和学校规章制度，保证教育教学整体质量的稳步提高。</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（四）发挥学校教育的主导作用，加强学生的法制教育和安全知识教育。</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（五）依法聘任和解聘学校教师和其他工作人员，对学生进行学籍管理。</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（六）拟订和执行年度经费预算方案，保护和管理学校的财产。</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（七）逐年增加专项经费，加强校园安全隐患的排查整改，强化安全管理手段，避免学校安全生产责任事故发生。</w:t>
      </w:r>
    </w:p>
    <w:p>
      <w:pPr>
        <w:spacing w:line="560" w:lineRule="exact"/>
        <w:ind w:firstLine="480" w:firstLineChars="150"/>
        <w:rPr>
          <w:rFonts w:hint="eastAsia" w:ascii="仿宋_GB2312" w:hAnsi="宋体" w:eastAsia="仿宋_GB2312"/>
          <w:color w:val="auto"/>
          <w:sz w:val="32"/>
          <w:szCs w:val="32"/>
          <w:highlight w:val="none"/>
        </w:rPr>
      </w:pPr>
    </w:p>
    <w:p>
      <w:pPr>
        <w:numPr>
          <w:ilvl w:val="0"/>
          <w:numId w:val="1"/>
        </w:numPr>
        <w:ind w:firstLine="646"/>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部门决算单位构成</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default" w:ascii="仿宋_GB2312" w:hAnsi="华文仿宋" w:eastAsia="仿宋_GB2312"/>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柳州市柳江职业教育中心</w:t>
      </w:r>
      <w:r>
        <w:rPr>
          <w:rFonts w:hint="eastAsia" w:ascii="仿宋_GB2312" w:hAnsi="宋体" w:eastAsia="仿宋_GB2312" w:cs="Times New Roman"/>
          <w:color w:val="auto"/>
          <w:sz w:val="32"/>
          <w:szCs w:val="32"/>
          <w:highlight w:val="none"/>
        </w:rPr>
        <w:t>为公立全日制中等职业教育学校，具有独立法人资格。学校主要培养职业中等专业学历技术应用人才，提高社会职业素质。</w:t>
      </w:r>
      <w:r>
        <w:rPr>
          <w:rFonts w:hint="default" w:ascii="仿宋_GB2312" w:hAnsi="宋体" w:eastAsia="仿宋_GB2312" w:cs="Times New Roman"/>
          <w:color w:val="auto"/>
          <w:sz w:val="32"/>
          <w:szCs w:val="32"/>
          <w:highlight w:val="none"/>
        </w:rPr>
        <w:t>开设有旅游与导游管理</w:t>
      </w:r>
      <w:r>
        <w:rPr>
          <w:rFonts w:hint="eastAsia" w:ascii="仿宋_GB2312" w:hAnsi="宋体" w:eastAsia="仿宋_GB2312" w:cs="Times New Roman"/>
          <w:color w:val="auto"/>
          <w:sz w:val="32"/>
          <w:szCs w:val="32"/>
          <w:highlight w:val="none"/>
        </w:rPr>
        <w:t>等职业中等专业学历教育和相关职业培训。学校</w:t>
      </w:r>
      <w:r>
        <w:rPr>
          <w:rFonts w:hint="eastAsia" w:ascii="仿宋_GB2312" w:hAnsi="宋体" w:eastAsia="仿宋_GB2312" w:cs="Times New Roman"/>
          <w:color w:val="auto"/>
          <w:sz w:val="32"/>
          <w:szCs w:val="32"/>
          <w:highlight w:val="none"/>
          <w:lang w:eastAsia="zh-CN"/>
        </w:rPr>
        <w:t>由一职校全面托管，除了柳江校区设置柳江综合办以外，其他没有单独设置内设机构，统一由一职校管理</w:t>
      </w:r>
      <w:r>
        <w:rPr>
          <w:rFonts w:hint="eastAsia" w:ascii="仿宋_GB2312" w:eastAsia="仿宋_GB2312"/>
          <w:color w:val="auto"/>
          <w:sz w:val="30"/>
          <w:szCs w:val="30"/>
          <w:highlight w:val="none"/>
          <w:lang w:eastAsia="zh-CN"/>
        </w:rPr>
        <w:t>。</w:t>
      </w:r>
    </w:p>
    <w:p>
      <w:pPr>
        <w:numPr>
          <w:ilvl w:val="0"/>
          <w:numId w:val="0"/>
        </w:numPr>
        <w:rPr>
          <w:rFonts w:hint="eastAsia" w:ascii="仿宋_GB2312" w:eastAsia="仿宋_GB2312"/>
          <w:color w:val="auto"/>
          <w:sz w:val="32"/>
          <w:szCs w:val="32"/>
          <w:highlight w:val="none"/>
        </w:rPr>
      </w:pPr>
    </w:p>
    <w:p>
      <w:pPr>
        <w:rPr>
          <w:rFonts w:ascii="仿宋_GB2312" w:eastAsia="仿宋_GB2312"/>
          <w:b/>
          <w:color w:val="auto"/>
          <w:sz w:val="32"/>
          <w:szCs w:val="32"/>
          <w:highlight w:val="none"/>
        </w:rPr>
      </w:pPr>
      <w:r>
        <w:rPr>
          <w:rFonts w:hint="eastAsia" w:ascii="仿宋_GB2312" w:eastAsia="仿宋_GB2312"/>
          <w:b/>
          <w:color w:val="auto"/>
          <w:sz w:val="32"/>
          <w:szCs w:val="32"/>
          <w:highlight w:val="none"/>
        </w:rPr>
        <w:t xml:space="preserve">第二部分： </w:t>
      </w:r>
      <w:r>
        <w:rPr>
          <w:rFonts w:hint="eastAsia" w:ascii="仿宋_GB2312" w:eastAsia="仿宋_GB2312"/>
          <w:b/>
          <w:color w:val="auto"/>
          <w:sz w:val="32"/>
          <w:szCs w:val="32"/>
          <w:highlight w:val="none"/>
          <w:lang w:eastAsia="zh-CN"/>
        </w:rPr>
        <w:t>柳州市柳江职业教育中心</w:t>
      </w:r>
      <w:r>
        <w:rPr>
          <w:rFonts w:hint="eastAsia" w:ascii="仿宋_GB2312" w:eastAsia="仿宋_GB2312"/>
          <w:b/>
          <w:color w:val="auto"/>
          <w:sz w:val="32"/>
          <w:szCs w:val="32"/>
          <w:highlight w:val="none"/>
        </w:rPr>
        <w:t>2020年部门决算报表</w:t>
      </w:r>
    </w:p>
    <w:p>
      <w:pPr>
        <w:ind w:firstLine="640" w:firstLineChars="2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center"/>
        <w:rPr>
          <w:color w:val="auto"/>
          <w:highlight w:val="none"/>
        </w:rPr>
      </w:pPr>
    </w:p>
    <w:p>
      <w:pPr>
        <w:rPr>
          <w:color w:val="auto"/>
          <w:highlight w:val="none"/>
        </w:rPr>
      </w:pPr>
    </w:p>
    <w:tbl>
      <w:tblPr>
        <w:tblStyle w:val="5"/>
        <w:tblW w:w="8720" w:type="dxa"/>
        <w:jc w:val="center"/>
        <w:tblLayout w:type="fixed"/>
        <w:tblCellMar>
          <w:top w:w="0" w:type="dxa"/>
          <w:left w:w="108" w:type="dxa"/>
          <w:bottom w:w="0" w:type="dxa"/>
          <w:right w:w="108" w:type="dxa"/>
        </w:tblCellMar>
      </w:tblPr>
      <w:tblGrid>
        <w:gridCol w:w="2895"/>
        <w:gridCol w:w="1200"/>
        <w:gridCol w:w="3008"/>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color w:val="auto"/>
                <w:kern w:val="0"/>
                <w:sz w:val="36"/>
                <w:szCs w:val="36"/>
                <w:highlight w:val="none"/>
              </w:rPr>
            </w:pPr>
            <w:r>
              <w:rPr>
                <w:rFonts w:hint="eastAsia" w:ascii="方正小标宋简体" w:hAnsi="宋体" w:eastAsia="方正小标宋简体" w:cs="宋体"/>
                <w:color w:val="auto"/>
                <w:kern w:val="0"/>
                <w:sz w:val="36"/>
                <w:szCs w:val="36"/>
                <w:highlight w:val="none"/>
              </w:rPr>
              <w:t>表一：收入支出决算总表</w:t>
            </w:r>
          </w:p>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单位：</w:t>
            </w:r>
            <w:r>
              <w:rPr>
                <w:rFonts w:ascii="宋体" w:hAnsi="宋体" w:cs="宋体"/>
                <w:color w:val="auto"/>
                <w:kern w:val="0"/>
                <w:sz w:val="22"/>
                <w:szCs w:val="22"/>
                <w:highlight w:val="none"/>
              </w:rPr>
              <w:t>万元</w:t>
            </w:r>
          </w:p>
        </w:tc>
      </w:tr>
      <w:tr>
        <w:tblPrEx>
          <w:tblCellMar>
            <w:top w:w="0" w:type="dxa"/>
            <w:left w:w="108" w:type="dxa"/>
            <w:bottom w:w="0" w:type="dxa"/>
            <w:right w:w="108" w:type="dxa"/>
          </w:tblCellMar>
        </w:tblPrEx>
        <w:trPr>
          <w:trHeight w:val="270" w:hRule="atLeast"/>
          <w:jc w:val="center"/>
        </w:trPr>
        <w:tc>
          <w:tcPr>
            <w:tcW w:w="409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收    入</w:t>
            </w:r>
          </w:p>
        </w:tc>
        <w:tc>
          <w:tcPr>
            <w:tcW w:w="46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项目</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决算数</w:t>
            </w:r>
          </w:p>
        </w:tc>
        <w:tc>
          <w:tcPr>
            <w:tcW w:w="300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一、一般公共预算财政拨款收入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1501.92</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二、政府性基金预算财政拨款收入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三、上级补助收入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1295.87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四、事业收入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271.54</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五、经营收入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六、附属单位上缴收入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六、</w:t>
            </w:r>
            <w:r>
              <w:rPr>
                <w:rFonts w:hint="eastAsia" w:ascii="宋体" w:hAnsi="宋体" w:cs="宋体"/>
                <w:color w:val="auto"/>
                <w:kern w:val="0"/>
                <w:sz w:val="22"/>
                <w:szCs w:val="22"/>
                <w:highlight w:val="none"/>
              </w:rPr>
              <w:t>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259.66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七、其他收入</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4.75</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七</w:t>
            </w:r>
            <w:r>
              <w:rPr>
                <w:rFonts w:hint="eastAsia" w:ascii="宋体" w:hAnsi="宋体" w:cs="宋体"/>
                <w:color w:val="auto"/>
                <w:kern w:val="0"/>
                <w:sz w:val="22"/>
                <w:szCs w:val="22"/>
                <w:highlight w:val="none"/>
              </w:rPr>
              <w:t>、住房保障支出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110.66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八</w:t>
            </w:r>
            <w:r>
              <w:rPr>
                <w:rFonts w:hint="eastAsia" w:ascii="宋体" w:hAnsi="宋体" w:cs="宋体"/>
                <w:color w:val="auto"/>
                <w:kern w:val="0"/>
                <w:sz w:val="22"/>
                <w:szCs w:val="22"/>
                <w:highlight w:val="none"/>
              </w:rPr>
              <w:t>、卫生健康支出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69.16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本年收入合计</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1778.2</w:t>
            </w:r>
          </w:p>
        </w:tc>
        <w:tc>
          <w:tcPr>
            <w:tcW w:w="3008"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　1735.36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使用非财政拨款结余</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年初结转和结余</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97.33</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140.17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0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00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收入总计</w:t>
            </w:r>
          </w:p>
        </w:tc>
        <w:tc>
          <w:tcPr>
            <w:tcW w:w="12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1,875.53</w:t>
            </w:r>
          </w:p>
        </w:tc>
        <w:tc>
          <w:tcPr>
            <w:tcW w:w="3008"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1,875.53</w:t>
            </w:r>
          </w:p>
        </w:tc>
      </w:tr>
    </w:tbl>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color w:val="auto"/>
          <w:highlight w:val="none"/>
        </w:rPr>
        <w:t>注：本表反映</w:t>
      </w:r>
      <w:r>
        <w:rPr>
          <w:rFonts w:hint="eastAsia"/>
          <w:color w:val="auto"/>
          <w:highlight w:val="none"/>
          <w:lang w:eastAsia="zh-CN"/>
        </w:rPr>
        <w:t>单位</w:t>
      </w:r>
      <w:r>
        <w:rPr>
          <w:rFonts w:hint="eastAsia"/>
          <w:color w:val="auto"/>
          <w:highlight w:val="none"/>
        </w:rPr>
        <w:t>本年度的总收支和年末结转结余情况。</w:t>
      </w:r>
    </w:p>
    <w:p>
      <w:pPr>
        <w:jc w:val="center"/>
        <w:rPr>
          <w:color w:val="auto"/>
          <w:highlight w:val="none"/>
        </w:rPr>
      </w:pPr>
      <w:r>
        <w:rPr>
          <w:rFonts w:hint="eastAsia" w:ascii="方正小标宋简体" w:hAnsi="宋体" w:eastAsia="方正小标宋简体" w:cs="宋体"/>
          <w:color w:val="auto"/>
          <w:kern w:val="0"/>
          <w:sz w:val="36"/>
          <w:szCs w:val="36"/>
          <w:highlight w:val="none"/>
        </w:rPr>
        <w:t>表二：收入决算表</w:t>
      </w:r>
    </w:p>
    <w:p>
      <w:pPr>
        <w:jc w:val="right"/>
        <w:rPr>
          <w:color w:val="auto"/>
          <w:sz w:val="22"/>
          <w:szCs w:val="22"/>
          <w:highlight w:val="none"/>
        </w:rPr>
      </w:pPr>
      <w:r>
        <w:rPr>
          <w:rFonts w:hint="eastAsia"/>
          <w:color w:val="auto"/>
          <w:sz w:val="22"/>
          <w:szCs w:val="22"/>
          <w:highlight w:val="none"/>
        </w:rPr>
        <w:t xml:space="preserve">单位：万元                     </w:t>
      </w:r>
    </w:p>
    <w:tbl>
      <w:tblPr>
        <w:tblStyle w:val="5"/>
        <w:tblW w:w="14140" w:type="dxa"/>
        <w:jc w:val="center"/>
        <w:tblLayout w:type="fixed"/>
        <w:tblCellMar>
          <w:top w:w="0" w:type="dxa"/>
          <w:left w:w="108" w:type="dxa"/>
          <w:bottom w:w="0" w:type="dxa"/>
          <w:right w:w="108" w:type="dxa"/>
        </w:tblCellMar>
      </w:tblPr>
      <w:tblGrid>
        <w:gridCol w:w="960"/>
        <w:gridCol w:w="240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事业收入</w:t>
            </w:r>
          </w:p>
          <w:p>
            <w:pPr>
              <w:widowControl/>
              <w:jc w:val="left"/>
              <w:rPr>
                <w:rFonts w:ascii="宋体" w:hAnsi="宋体" w:cs="Arial"/>
                <w:color w:val="auto"/>
                <w:kern w:val="0"/>
                <w:sz w:val="22"/>
                <w:szCs w:val="22"/>
                <w:highlight w:val="none"/>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其他收入</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支出功能分类科目编码</w:t>
            </w:r>
          </w:p>
        </w:tc>
        <w:tc>
          <w:tcPr>
            <w:tcW w:w="24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b/>
                <w:bCs/>
                <w:color w:val="auto"/>
                <w:kern w:val="0"/>
                <w:sz w:val="22"/>
                <w:szCs w:val="22"/>
                <w:highlight w:val="none"/>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auto"/>
                <w:kern w:val="0"/>
                <w:sz w:val="22"/>
                <w:szCs w:val="22"/>
                <w:highlight w:val="none"/>
              </w:rPr>
            </w:pPr>
            <w:r>
              <w:rPr>
                <w:rFonts w:hint="eastAsia" w:ascii="宋体" w:hAnsi="宋体" w:cs="Arial"/>
                <w:color w:val="auto"/>
                <w:kern w:val="0"/>
                <w:sz w:val="22"/>
                <w:szCs w:val="22"/>
                <w:highlight w:val="none"/>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auto"/>
                <w:kern w:val="0"/>
                <w:sz w:val="22"/>
                <w:szCs w:val="22"/>
                <w:highlight w:val="none"/>
              </w:rPr>
            </w:pPr>
            <w:r>
              <w:rPr>
                <w:rFonts w:hint="eastAsia" w:ascii="宋体" w:hAnsi="宋体" w:cs="Arial"/>
                <w:color w:val="auto"/>
                <w:kern w:val="0"/>
                <w:sz w:val="22"/>
                <w:szCs w:val="22"/>
                <w:highlight w:val="none"/>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1,778.20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1,501.92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271.54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4.75</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1,338.72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1,062.43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271.54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4.75</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职业教育</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1,338.72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1,062.43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271.54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4.75</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2050302</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中等职业教育</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1,337.85</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1,061.56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271.54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4.75</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2050303</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技校教育</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38.34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38.34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2080505</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147.55</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147.55</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2080506</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机关事业单位职业年金缴费支出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73.77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73.77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2101102</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住房保障支出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22102</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住房改革支出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2210201</w:t>
            </w:r>
          </w:p>
        </w:tc>
        <w:tc>
          <w:tcPr>
            <w:tcW w:w="24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bl>
    <w:p>
      <w:pPr>
        <w:rPr>
          <w:color w:val="auto"/>
          <w:highlight w:val="none"/>
        </w:rPr>
      </w:pPr>
    </w:p>
    <w:p>
      <w:pPr>
        <w:rPr>
          <w:color w:val="auto"/>
          <w:highlight w:val="none"/>
        </w:rPr>
      </w:pPr>
      <w:r>
        <w:rPr>
          <w:rFonts w:hint="eastAsia"/>
          <w:color w:val="auto"/>
          <w:highlight w:val="none"/>
        </w:rPr>
        <w:t>注：本表反映</w:t>
      </w:r>
      <w:r>
        <w:rPr>
          <w:rFonts w:hint="eastAsia"/>
          <w:color w:val="auto"/>
          <w:highlight w:val="none"/>
          <w:lang w:eastAsia="zh-CN"/>
        </w:rPr>
        <w:t>单位</w:t>
      </w:r>
      <w:r>
        <w:rPr>
          <w:rFonts w:hint="eastAsia"/>
          <w:color w:val="auto"/>
          <w:highlight w:val="none"/>
        </w:rPr>
        <w:t>本年度取得的各项收入情况。</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color w:val="auto"/>
          <w:highlight w:val="none"/>
        </w:rPr>
      </w:pPr>
      <w:r>
        <w:rPr>
          <w:rFonts w:hint="eastAsia" w:ascii="方正小标宋简体" w:hAnsi="宋体" w:eastAsia="方正小标宋简体" w:cs="宋体"/>
          <w:color w:val="auto"/>
          <w:kern w:val="0"/>
          <w:sz w:val="36"/>
          <w:szCs w:val="36"/>
          <w:highlight w:val="none"/>
        </w:rPr>
        <w:t>表三：支出决算表</w:t>
      </w:r>
    </w:p>
    <w:p>
      <w:pPr>
        <w:jc w:val="right"/>
        <w:rPr>
          <w:color w:val="auto"/>
          <w:highlight w:val="none"/>
        </w:rPr>
      </w:pPr>
      <w:r>
        <w:rPr>
          <w:rFonts w:hint="eastAsia"/>
          <w:color w:val="auto"/>
          <w:sz w:val="22"/>
          <w:szCs w:val="22"/>
          <w:highlight w:val="none"/>
        </w:rPr>
        <w:t>单位：万元</w:t>
      </w:r>
    </w:p>
    <w:tbl>
      <w:tblPr>
        <w:tblStyle w:val="5"/>
        <w:tblW w:w="14049" w:type="dxa"/>
        <w:jc w:val="center"/>
        <w:tblLayout w:type="fixed"/>
        <w:tblCellMar>
          <w:top w:w="0" w:type="dxa"/>
          <w:left w:w="108" w:type="dxa"/>
          <w:bottom w:w="0" w:type="dxa"/>
          <w:right w:w="108" w:type="dxa"/>
        </w:tblCellMar>
      </w:tblPr>
      <w:tblGrid>
        <w:gridCol w:w="1180"/>
        <w:gridCol w:w="2140"/>
        <w:gridCol w:w="1657"/>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3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支出功能项 目</w:t>
            </w:r>
          </w:p>
        </w:tc>
        <w:tc>
          <w:tcPr>
            <w:tcW w:w="16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支出功能分类科目编码</w:t>
            </w:r>
          </w:p>
        </w:tc>
        <w:tc>
          <w:tcPr>
            <w:tcW w:w="214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科目名称</w:t>
            </w:r>
          </w:p>
        </w:tc>
        <w:tc>
          <w:tcPr>
            <w:tcW w:w="1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r>
      <w:tr>
        <w:tblPrEx>
          <w:tblCellMar>
            <w:top w:w="0" w:type="dxa"/>
            <w:left w:w="108" w:type="dxa"/>
            <w:bottom w:w="0" w:type="dxa"/>
            <w:right w:w="108" w:type="dxa"/>
          </w:tblCellMar>
        </w:tblPrEx>
        <w:trPr>
          <w:trHeight w:val="288" w:hRule="atLeast"/>
          <w:jc w:val="center"/>
        </w:trPr>
        <w:tc>
          <w:tcPr>
            <w:tcW w:w="33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栏次</w:t>
            </w:r>
          </w:p>
        </w:tc>
        <w:tc>
          <w:tcPr>
            <w:tcW w:w="1657"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6</w:t>
            </w:r>
          </w:p>
        </w:tc>
      </w:tr>
      <w:tr>
        <w:tblPrEx>
          <w:tblCellMar>
            <w:top w:w="0" w:type="dxa"/>
            <w:left w:w="108" w:type="dxa"/>
            <w:bottom w:w="0" w:type="dxa"/>
            <w:right w:w="108" w:type="dxa"/>
          </w:tblCellMar>
        </w:tblPrEx>
        <w:trPr>
          <w:trHeight w:val="288" w:hRule="atLeast"/>
          <w:jc w:val="center"/>
        </w:trPr>
        <w:tc>
          <w:tcPr>
            <w:tcW w:w="33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1,735.36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1,681.51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53.85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1,295.87</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1,242.02</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53.85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职业教育</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1,295.87</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1,242.02</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53.85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2050302</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中等职业教育</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1,295.01</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1,241.16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53.85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2050303</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技校教育</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259.66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38.34</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38.34</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2080505</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147.55</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147.55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2080506</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机关事业单位职业年金缴费支出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73.77</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73.77</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417"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2101102</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住房保障支出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22102</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住房改革支出</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2210201</w:t>
            </w:r>
          </w:p>
        </w:tc>
        <w:tc>
          <w:tcPr>
            <w:tcW w:w="21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6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110.66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110.66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bl>
    <w:p>
      <w:pPr>
        <w:rPr>
          <w:color w:val="auto"/>
          <w:highlight w:val="none"/>
        </w:rPr>
      </w:pPr>
    </w:p>
    <w:p>
      <w:pPr>
        <w:rPr>
          <w:color w:val="auto"/>
          <w:highlight w:val="none"/>
        </w:rPr>
      </w:pPr>
      <w:r>
        <w:rPr>
          <w:rFonts w:hint="eastAsia"/>
          <w:color w:val="auto"/>
          <w:highlight w:val="none"/>
        </w:rPr>
        <w:t>注：本表反映</w:t>
      </w:r>
      <w:r>
        <w:rPr>
          <w:rFonts w:hint="eastAsia"/>
          <w:color w:val="auto"/>
          <w:highlight w:val="none"/>
          <w:lang w:eastAsia="zh-CN"/>
        </w:rPr>
        <w:t>单位</w:t>
      </w:r>
      <w:r>
        <w:rPr>
          <w:rFonts w:hint="eastAsia"/>
          <w:color w:val="auto"/>
          <w:highlight w:val="none"/>
        </w:rPr>
        <w:t>本年度各项支出情况。</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rFonts w:hint="eastAsia" w:ascii="方正小标宋简体" w:hAnsi="宋体" w:eastAsia="方正小标宋简体" w:cs="宋体"/>
          <w:color w:val="auto"/>
          <w:kern w:val="0"/>
          <w:sz w:val="36"/>
          <w:szCs w:val="36"/>
          <w:highlight w:val="none"/>
        </w:rPr>
      </w:pPr>
    </w:p>
    <w:p>
      <w:pPr>
        <w:ind w:firstLine="3600" w:firstLineChars="1000"/>
        <w:rPr>
          <w:color w:val="auto"/>
          <w:highlight w:val="none"/>
        </w:rPr>
      </w:pPr>
      <w:r>
        <w:rPr>
          <w:rFonts w:hint="eastAsia" w:ascii="方正小标宋简体" w:hAnsi="宋体" w:eastAsia="方正小标宋简体" w:cs="宋体"/>
          <w:color w:val="auto"/>
          <w:kern w:val="0"/>
          <w:sz w:val="36"/>
          <w:szCs w:val="36"/>
          <w:highlight w:val="none"/>
        </w:rPr>
        <w:t>表四：财政拨款收入支出决算总表</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858"/>
        <w:gridCol w:w="551"/>
        <w:gridCol w:w="1681"/>
        <w:gridCol w:w="2655"/>
        <w:gridCol w:w="510"/>
        <w:gridCol w:w="1650"/>
        <w:gridCol w:w="1185"/>
        <w:gridCol w:w="675"/>
      </w:tblGrid>
      <w:tr>
        <w:tblPrEx>
          <w:tblCellMar>
            <w:top w:w="0" w:type="dxa"/>
            <w:left w:w="108" w:type="dxa"/>
            <w:bottom w:w="0" w:type="dxa"/>
            <w:right w:w="108" w:type="dxa"/>
          </w:tblCellMar>
        </w:tblPrEx>
        <w:trPr>
          <w:trHeight w:val="300" w:hRule="atLeast"/>
        </w:trPr>
        <w:tc>
          <w:tcPr>
            <w:tcW w:w="709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auto"/>
                <w:kern w:val="0"/>
                <w:sz w:val="20"/>
                <w:szCs w:val="20"/>
                <w:highlight w:val="none"/>
              </w:rPr>
            </w:pPr>
            <w:r>
              <w:rPr>
                <w:rFonts w:hint="eastAsia" w:ascii="MingLiU" w:hAnsi="MingLiU" w:eastAsia="MingLiU" w:cs="Arial"/>
                <w:color w:val="auto"/>
                <w:kern w:val="0"/>
                <w:sz w:val="22"/>
                <w:szCs w:val="22"/>
                <w:highlight w:val="none"/>
              </w:rPr>
              <w:t>收 入</w:t>
            </w:r>
          </w:p>
        </w:tc>
        <w:tc>
          <w:tcPr>
            <w:tcW w:w="667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auto"/>
                <w:kern w:val="0"/>
                <w:sz w:val="20"/>
                <w:szCs w:val="20"/>
                <w:highlight w:val="none"/>
              </w:rPr>
            </w:pPr>
            <w:r>
              <w:rPr>
                <w:rFonts w:hint="eastAsia" w:ascii="MingLiU" w:hAnsi="MingLiU" w:eastAsia="MingLiU" w:cs="Arial"/>
                <w:color w:val="auto"/>
                <w:kern w:val="0"/>
                <w:sz w:val="22"/>
                <w:szCs w:val="22"/>
                <w:highlight w:val="none"/>
              </w:rPr>
              <w:t>支 出</w:t>
            </w:r>
          </w:p>
        </w:tc>
      </w:tr>
      <w:tr>
        <w:tblPrEx>
          <w:tblCellMar>
            <w:top w:w="0" w:type="dxa"/>
            <w:left w:w="108" w:type="dxa"/>
            <w:bottom w:w="0" w:type="dxa"/>
            <w:right w:w="108" w:type="dxa"/>
          </w:tblCellMar>
        </w:tblPrEx>
        <w:trPr>
          <w:trHeight w:val="732" w:hRule="atLeast"/>
        </w:trPr>
        <w:tc>
          <w:tcPr>
            <w:tcW w:w="485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项 目</w:t>
            </w:r>
          </w:p>
        </w:tc>
        <w:tc>
          <w:tcPr>
            <w:tcW w:w="551"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行次</w:t>
            </w:r>
          </w:p>
        </w:tc>
        <w:tc>
          <w:tcPr>
            <w:tcW w:w="1681"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金额</w:t>
            </w:r>
          </w:p>
        </w:tc>
        <w:tc>
          <w:tcPr>
            <w:tcW w:w="2655"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项 目</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行次</w:t>
            </w:r>
          </w:p>
        </w:tc>
        <w:tc>
          <w:tcPr>
            <w:tcW w:w="165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合计</w:t>
            </w:r>
          </w:p>
        </w:tc>
        <w:tc>
          <w:tcPr>
            <w:tcW w:w="1185"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一般公共预算财政拨款</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政府性基金预算财政拨款</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栏 次</w:t>
            </w:r>
          </w:p>
        </w:tc>
        <w:tc>
          <w:tcPr>
            <w:tcW w:w="55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w:t>
            </w:r>
          </w:p>
        </w:tc>
        <w:tc>
          <w:tcPr>
            <w:tcW w:w="265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栏 次</w:t>
            </w:r>
          </w:p>
        </w:tc>
        <w:tc>
          <w:tcPr>
            <w:tcW w:w="51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65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w:t>
            </w:r>
          </w:p>
        </w:tc>
        <w:tc>
          <w:tcPr>
            <w:tcW w:w="118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w:t>
            </w:r>
          </w:p>
        </w:tc>
        <w:tc>
          <w:tcPr>
            <w:tcW w:w="67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4</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一、一般公共预算财政拨款收入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w:t>
            </w:r>
          </w:p>
        </w:tc>
        <w:tc>
          <w:tcPr>
            <w:tcW w:w="168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1501.92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一、一般公共服务支出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18</w:t>
            </w:r>
          </w:p>
        </w:tc>
        <w:tc>
          <w:tcPr>
            <w:tcW w:w="165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二、政府性基金预算财政拨款收入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w:t>
            </w:r>
          </w:p>
        </w:tc>
        <w:tc>
          <w:tcPr>
            <w:tcW w:w="168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二、外交支出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19</w:t>
            </w:r>
          </w:p>
        </w:tc>
        <w:tc>
          <w:tcPr>
            <w:tcW w:w="165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三、教育支出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20</w:t>
            </w:r>
          </w:p>
        </w:tc>
        <w:tc>
          <w:tcPr>
            <w:tcW w:w="1650" w:type="dxa"/>
            <w:tcBorders>
              <w:top w:val="nil"/>
              <w:left w:val="nil"/>
              <w:bottom w:val="single" w:color="auto" w:sz="4" w:space="0"/>
              <w:right w:val="single" w:color="auto" w:sz="4" w:space="0"/>
            </w:tcBorders>
          </w:tcPr>
          <w:p>
            <w:pPr>
              <w:widowControl/>
              <w:ind w:firstLine="660" w:firstLineChars="300"/>
              <w:jc w:val="left"/>
              <w:rPr>
                <w:rFonts w:hint="eastAsia" w:ascii="宋体" w:hAnsi="宋体" w:cs="Arial"/>
                <w:color w:val="auto"/>
                <w:kern w:val="0"/>
                <w:sz w:val="22"/>
                <w:szCs w:val="22"/>
                <w:highlight w:val="none"/>
              </w:rPr>
            </w:pPr>
          </w:p>
          <w:p>
            <w:pPr>
              <w:widowControl/>
              <w:ind w:firstLine="660" w:firstLineChars="3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1116.28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1116.28</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4</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四、科学技术支出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21</w:t>
            </w:r>
          </w:p>
        </w:tc>
        <w:tc>
          <w:tcPr>
            <w:tcW w:w="165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5</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五、文化旅游体育与传媒支出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22</w:t>
            </w:r>
          </w:p>
        </w:tc>
        <w:tc>
          <w:tcPr>
            <w:tcW w:w="165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6</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六、社会保障和就业支出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23</w:t>
            </w:r>
          </w:p>
        </w:tc>
        <w:tc>
          <w:tcPr>
            <w:tcW w:w="165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259.66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259.66</w:t>
            </w:r>
          </w:p>
        </w:tc>
        <w:tc>
          <w:tcPr>
            <w:tcW w:w="67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7</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hint="eastAsia" w:ascii="宋体" w:hAnsi="宋体" w:eastAsia="宋体" w:cs="Arial"/>
                <w:color w:val="auto"/>
                <w:kern w:val="0"/>
                <w:sz w:val="22"/>
                <w:szCs w:val="22"/>
                <w:highlight w:val="none"/>
                <w:lang w:eastAsia="zh-CN"/>
              </w:rPr>
            </w:pPr>
            <w:r>
              <w:rPr>
                <w:rFonts w:hint="eastAsia" w:ascii="宋体" w:hAnsi="宋体" w:cs="Arial"/>
                <w:color w:val="auto"/>
                <w:kern w:val="0"/>
                <w:sz w:val="22"/>
                <w:szCs w:val="22"/>
                <w:highlight w:val="none"/>
                <w:lang w:eastAsia="zh-CN"/>
              </w:rPr>
              <w:t>七、卫生健康支出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24</w:t>
            </w:r>
          </w:p>
        </w:tc>
        <w:tc>
          <w:tcPr>
            <w:tcW w:w="1650" w:type="dxa"/>
            <w:tcBorders>
              <w:top w:val="nil"/>
              <w:left w:val="nil"/>
              <w:bottom w:val="single" w:color="auto" w:sz="4" w:space="0"/>
              <w:right w:val="single" w:color="auto" w:sz="4" w:space="0"/>
            </w:tcBorders>
          </w:tcPr>
          <w:p>
            <w:pPr>
              <w:widowControl/>
              <w:ind w:left="655" w:leftChars="312"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69.16</w:t>
            </w:r>
          </w:p>
        </w:tc>
        <w:tc>
          <w:tcPr>
            <w:tcW w:w="1185" w:type="dxa"/>
            <w:tcBorders>
              <w:top w:val="nil"/>
              <w:left w:val="nil"/>
              <w:bottom w:val="single" w:color="auto" w:sz="4" w:space="0"/>
              <w:right w:val="single" w:color="auto" w:sz="4" w:space="0"/>
            </w:tcBorders>
          </w:tcPr>
          <w:p>
            <w:pPr>
              <w:widowControl/>
              <w:ind w:left="220" w:hanging="220" w:hangingChars="100"/>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r>
              <w:rPr>
                <w:rFonts w:hint="eastAsia" w:ascii="宋体" w:hAnsi="宋体" w:cs="Arial"/>
                <w:color w:val="auto"/>
                <w:kern w:val="0"/>
                <w:sz w:val="22"/>
                <w:szCs w:val="22"/>
                <w:highlight w:val="none"/>
                <w:lang w:val="en-US" w:eastAsia="zh-CN"/>
              </w:rPr>
              <w:t xml:space="preserve">   </w:t>
            </w:r>
            <w:r>
              <w:rPr>
                <w:rFonts w:hint="eastAsia" w:ascii="宋体" w:hAnsi="宋体" w:cs="Arial"/>
                <w:color w:val="auto"/>
                <w:kern w:val="0"/>
                <w:sz w:val="22"/>
                <w:szCs w:val="22"/>
                <w:highlight w:val="none"/>
              </w:rPr>
              <w:t>69.16</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8</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lang w:eastAsia="zh-CN"/>
              </w:rPr>
              <w:t>八</w:t>
            </w:r>
            <w:r>
              <w:rPr>
                <w:rFonts w:hint="eastAsia" w:ascii="宋体" w:hAnsi="宋体" w:cs="Arial"/>
                <w:color w:val="auto"/>
                <w:kern w:val="0"/>
                <w:sz w:val="22"/>
                <w:szCs w:val="22"/>
                <w:highlight w:val="none"/>
              </w:rPr>
              <w:t>、住房保障支出</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25</w:t>
            </w:r>
          </w:p>
        </w:tc>
        <w:tc>
          <w:tcPr>
            <w:tcW w:w="165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110.66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110.66</w:t>
            </w:r>
          </w:p>
        </w:tc>
        <w:tc>
          <w:tcPr>
            <w:tcW w:w="67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9</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26</w:t>
            </w:r>
          </w:p>
        </w:tc>
        <w:tc>
          <w:tcPr>
            <w:tcW w:w="165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10</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27</w:t>
            </w:r>
          </w:p>
        </w:tc>
        <w:tc>
          <w:tcPr>
            <w:tcW w:w="1650"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1185" w:type="dxa"/>
            <w:tcBorders>
              <w:top w:val="nil"/>
              <w:left w:val="nil"/>
              <w:bottom w:val="single" w:color="auto" w:sz="4" w:space="0"/>
              <w:right w:val="single" w:color="auto" w:sz="4" w:space="0"/>
            </w:tcBorders>
          </w:tcPr>
          <w:p>
            <w:pPr>
              <w:widowControl/>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11</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28</w:t>
            </w:r>
          </w:p>
        </w:tc>
        <w:tc>
          <w:tcPr>
            <w:tcW w:w="3510"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本年收入合计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12</w:t>
            </w:r>
          </w:p>
        </w:tc>
        <w:tc>
          <w:tcPr>
            <w:tcW w:w="168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1501.92</w:t>
            </w:r>
          </w:p>
        </w:tc>
        <w:tc>
          <w:tcPr>
            <w:tcW w:w="26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本年支出合计</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29</w:t>
            </w:r>
          </w:p>
        </w:tc>
        <w:tc>
          <w:tcPr>
            <w:tcW w:w="3510"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1555.77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年初财政拨款结转和结余</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13</w:t>
            </w:r>
          </w:p>
        </w:tc>
        <w:tc>
          <w:tcPr>
            <w:tcW w:w="168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97.33</w:t>
            </w:r>
          </w:p>
        </w:tc>
        <w:tc>
          <w:tcPr>
            <w:tcW w:w="26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年末财政拨款结转和结余</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w:t>
            </w:r>
          </w:p>
        </w:tc>
        <w:tc>
          <w:tcPr>
            <w:tcW w:w="3510"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43.48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一般公共预算财政拨款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14</w:t>
            </w:r>
          </w:p>
        </w:tc>
        <w:tc>
          <w:tcPr>
            <w:tcW w:w="168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97.33</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31</w:t>
            </w:r>
          </w:p>
        </w:tc>
        <w:tc>
          <w:tcPr>
            <w:tcW w:w="3510"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政府性基金预算财政拨款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15</w:t>
            </w:r>
          </w:p>
        </w:tc>
        <w:tc>
          <w:tcPr>
            <w:tcW w:w="1681"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32</w:t>
            </w:r>
          </w:p>
        </w:tc>
        <w:tc>
          <w:tcPr>
            <w:tcW w:w="3510"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16</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265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33</w:t>
            </w:r>
          </w:p>
        </w:tc>
        <w:tc>
          <w:tcPr>
            <w:tcW w:w="3510"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17</w:t>
            </w:r>
          </w:p>
        </w:tc>
        <w:tc>
          <w:tcPr>
            <w:tcW w:w="1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1599.24</w:t>
            </w:r>
          </w:p>
        </w:tc>
        <w:tc>
          <w:tcPr>
            <w:tcW w:w="265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合计</w:t>
            </w:r>
          </w:p>
        </w:tc>
        <w:tc>
          <w:tcPr>
            <w:tcW w:w="51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34</w:t>
            </w:r>
          </w:p>
        </w:tc>
        <w:tc>
          <w:tcPr>
            <w:tcW w:w="3510"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1599.24　</w:t>
            </w:r>
          </w:p>
        </w:tc>
      </w:tr>
    </w:tbl>
    <w:p>
      <w:pPr>
        <w:jc w:val="right"/>
        <w:rPr>
          <w:color w:val="auto"/>
          <w:sz w:val="22"/>
          <w:szCs w:val="22"/>
          <w:highlight w:val="none"/>
        </w:rPr>
      </w:pPr>
      <w:r>
        <w:rPr>
          <w:rFonts w:hint="eastAsia"/>
          <w:color w:val="auto"/>
          <w:sz w:val="22"/>
          <w:szCs w:val="22"/>
          <w:highlight w:val="none"/>
        </w:rPr>
        <w:t>单位：万元</w:t>
      </w:r>
    </w:p>
    <w:p>
      <w:pPr>
        <w:rPr>
          <w:color w:val="auto"/>
          <w:highlight w:val="none"/>
        </w:rPr>
      </w:pPr>
      <w:r>
        <w:rPr>
          <w:rFonts w:hint="eastAsia"/>
          <w:color w:val="auto"/>
          <w:highlight w:val="none"/>
        </w:rPr>
        <w:t>注：本表反映</w:t>
      </w:r>
      <w:r>
        <w:rPr>
          <w:rFonts w:hint="eastAsia"/>
          <w:color w:val="auto"/>
          <w:highlight w:val="none"/>
          <w:lang w:eastAsia="zh-CN"/>
        </w:rPr>
        <w:t>单位</w:t>
      </w:r>
      <w:r>
        <w:rPr>
          <w:rFonts w:hint="eastAsia"/>
          <w:color w:val="auto"/>
          <w:highlight w:val="none"/>
        </w:rPr>
        <w:t>本年度一般公共预算财政拨款和政府性基金预算财政拨款的总收支和年末结转结余情况。</w:t>
      </w:r>
    </w:p>
    <w:p>
      <w:pPr>
        <w:rPr>
          <w:color w:val="auto"/>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hint="eastAsia" w:ascii="方正小标宋简体" w:hAnsi="宋体" w:eastAsia="方正小标宋简体" w:cs="宋体"/>
          <w:color w:val="auto"/>
          <w:kern w:val="0"/>
          <w:sz w:val="36"/>
          <w:szCs w:val="36"/>
          <w:highlight w:val="none"/>
        </w:rPr>
      </w:pPr>
    </w:p>
    <w:p>
      <w:pPr>
        <w:jc w:val="center"/>
        <w:rPr>
          <w:rFonts w:ascii="方正小标宋简体" w:hAnsi="宋体" w:eastAsia="方正小标宋简体" w:cs="宋体"/>
          <w:color w:val="auto"/>
          <w:kern w:val="0"/>
          <w:sz w:val="36"/>
          <w:szCs w:val="36"/>
          <w:highlight w:val="none"/>
        </w:rPr>
      </w:pPr>
      <w:r>
        <w:rPr>
          <w:rFonts w:hint="eastAsia" w:ascii="方正小标宋简体" w:hAnsi="宋体" w:eastAsia="方正小标宋简体" w:cs="宋体"/>
          <w:color w:val="auto"/>
          <w:kern w:val="0"/>
          <w:sz w:val="36"/>
          <w:szCs w:val="36"/>
          <w:highlight w:val="none"/>
        </w:rPr>
        <w:t>表五：</w:t>
      </w:r>
      <w:r>
        <w:rPr>
          <w:rFonts w:hint="eastAsia" w:ascii="方正小标宋简体" w:eastAsia="方正小标宋简体"/>
          <w:color w:val="auto"/>
          <w:sz w:val="36"/>
          <w:szCs w:val="36"/>
          <w:highlight w:val="none"/>
        </w:rPr>
        <w:t>一般</w:t>
      </w:r>
      <w:r>
        <w:rPr>
          <w:rFonts w:hint="eastAsia" w:ascii="方正小标宋简体" w:hAnsi="宋体" w:eastAsia="方正小标宋简体" w:cs="宋体"/>
          <w:color w:val="auto"/>
          <w:kern w:val="0"/>
          <w:sz w:val="36"/>
          <w:szCs w:val="36"/>
          <w:highlight w:val="none"/>
        </w:rPr>
        <w:t>公共预算财政拨款支出决算表</w:t>
      </w:r>
    </w:p>
    <w:p>
      <w:pPr>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单位：</w:t>
      </w:r>
      <w:r>
        <w:rPr>
          <w:rFonts w:ascii="宋体" w:hAnsi="宋体" w:cs="宋体"/>
          <w:color w:val="auto"/>
          <w:kern w:val="0"/>
          <w:sz w:val="22"/>
          <w:szCs w:val="22"/>
          <w:highlight w:val="none"/>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highlight w:val="none"/>
              </w:rPr>
            </w:pPr>
            <w:r>
              <w:rPr>
                <w:rFonts w:hint="eastAsia" w:ascii="MingLiU" w:hAnsi="MingLiU" w:cs="Arial"/>
                <w:color w:val="auto"/>
                <w:kern w:val="0"/>
                <w:sz w:val="22"/>
                <w:szCs w:val="22"/>
                <w:highlight w:val="none"/>
              </w:rPr>
              <w:t>支出功能</w:t>
            </w:r>
            <w:r>
              <w:rPr>
                <w:rFonts w:hint="eastAsia" w:ascii="MingLiU" w:hAnsi="MingLiU" w:eastAsia="MingLiU" w:cs="Arial"/>
                <w:color w:val="auto"/>
                <w:kern w:val="0"/>
                <w:sz w:val="22"/>
                <w:szCs w:val="22"/>
                <w:highlight w:val="none"/>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highlight w:val="none"/>
              </w:rPr>
            </w:pPr>
            <w:r>
              <w:rPr>
                <w:rFonts w:hint="eastAsia" w:ascii="MingLiU" w:hAnsi="MingLiU" w:eastAsia="MingLiU" w:cs="Arial"/>
                <w:color w:val="auto"/>
                <w:kern w:val="0"/>
                <w:sz w:val="22"/>
                <w:szCs w:val="22"/>
                <w:highlight w:val="none"/>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highlight w:val="none"/>
              </w:rPr>
            </w:pPr>
            <w:r>
              <w:rPr>
                <w:rFonts w:hint="eastAsia" w:ascii="MingLiU" w:hAnsi="MingLiU" w:eastAsia="MingLiU" w:cs="Arial"/>
                <w:color w:val="auto"/>
                <w:kern w:val="0"/>
                <w:sz w:val="22"/>
                <w:szCs w:val="22"/>
                <w:highlight w:val="none"/>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highlight w:val="none"/>
              </w:rPr>
            </w:pPr>
            <w:r>
              <w:rPr>
                <w:rFonts w:hint="eastAsia" w:ascii="MingLiU" w:hAnsi="MingLiU" w:eastAsia="MingLiU" w:cs="Arial"/>
                <w:color w:val="auto"/>
                <w:kern w:val="0"/>
                <w:sz w:val="22"/>
                <w:szCs w:val="22"/>
                <w:highlight w:val="none"/>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color w:val="auto"/>
                <w:kern w:val="0"/>
                <w:sz w:val="22"/>
                <w:szCs w:val="22"/>
                <w:highlight w:val="none"/>
              </w:rPr>
            </w:pPr>
            <w:r>
              <w:rPr>
                <w:rFonts w:hint="eastAsia" w:ascii="MingLiU" w:hAnsi="MingLiU" w:cs="Arial"/>
                <w:color w:val="auto"/>
                <w:kern w:val="0"/>
                <w:sz w:val="22"/>
                <w:szCs w:val="22"/>
                <w:highlight w:val="none"/>
              </w:rPr>
              <w:t>支出功能分类</w:t>
            </w:r>
            <w:r>
              <w:rPr>
                <w:rFonts w:hint="eastAsia" w:ascii="MingLiU" w:hAnsi="MingLiU" w:eastAsia="MingLiU" w:cs="Arial"/>
                <w:color w:val="auto"/>
                <w:kern w:val="0"/>
                <w:sz w:val="22"/>
                <w:szCs w:val="22"/>
                <w:highlight w:val="none"/>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auto"/>
                <w:kern w:val="0"/>
                <w:sz w:val="20"/>
                <w:szCs w:val="20"/>
                <w:highlight w:val="none"/>
              </w:rPr>
            </w:pPr>
            <w:r>
              <w:rPr>
                <w:rFonts w:hint="eastAsia" w:ascii="MingLiU" w:hAnsi="MingLiU" w:eastAsia="MingLiU" w:cs="Arial"/>
                <w:color w:val="auto"/>
                <w:kern w:val="0"/>
                <w:sz w:val="22"/>
                <w:szCs w:val="22"/>
                <w:highlight w:val="none"/>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highlight w:val="none"/>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highlight w:val="none"/>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highlight w:val="none"/>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auto"/>
                <w:kern w:val="0"/>
                <w:sz w:val="20"/>
                <w:szCs w:val="20"/>
                <w:highlight w:val="none"/>
              </w:rPr>
            </w:pPr>
            <w:r>
              <w:rPr>
                <w:rFonts w:hint="eastAsia" w:ascii="MingLiU" w:hAnsi="MingLiU" w:eastAsia="MingLiU" w:cs="Arial"/>
                <w:b/>
                <w:bCs/>
                <w:color w:val="auto"/>
                <w:kern w:val="0"/>
                <w:sz w:val="18"/>
                <w:szCs w:val="18"/>
                <w:highlight w:val="none"/>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auto"/>
                <w:kern w:val="0"/>
                <w:sz w:val="20"/>
                <w:szCs w:val="20"/>
                <w:highlight w:val="none"/>
              </w:rPr>
            </w:pPr>
            <w:r>
              <w:rPr>
                <w:rFonts w:ascii="Arial" w:hAnsi="Arial" w:cs="Arial"/>
                <w:color w:val="auto"/>
                <w:kern w:val="0"/>
                <w:sz w:val="20"/>
                <w:szCs w:val="20"/>
                <w:highlight w:val="none"/>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auto"/>
                <w:kern w:val="0"/>
                <w:sz w:val="20"/>
                <w:szCs w:val="20"/>
                <w:highlight w:val="none"/>
              </w:rPr>
            </w:pPr>
            <w:r>
              <w:rPr>
                <w:rFonts w:ascii="Arial" w:hAnsi="Arial" w:cs="Arial"/>
                <w:color w:val="auto"/>
                <w:kern w:val="0"/>
                <w:sz w:val="20"/>
                <w:szCs w:val="20"/>
                <w:highlight w:val="none"/>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auto"/>
                <w:kern w:val="0"/>
                <w:sz w:val="20"/>
                <w:szCs w:val="20"/>
                <w:highlight w:val="none"/>
              </w:rPr>
            </w:pPr>
            <w:r>
              <w:rPr>
                <w:rFonts w:ascii="Arial" w:hAnsi="Arial" w:cs="Arial"/>
                <w:color w:val="auto"/>
                <w:kern w:val="0"/>
                <w:sz w:val="20"/>
                <w:szCs w:val="20"/>
                <w:highlight w:val="none"/>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1,555.77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1,501.92</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53.85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1,116.28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1,062.43</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53.85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20503</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职业教育</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1,116.28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1,062.43</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53.85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中等职业教育</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1,115.41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1,061.56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53.85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2050303</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技校教育</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0.86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259.66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259.66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259.66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259.66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38.34</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38.34</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147.55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147.55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2080506</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机关事业单位职业年金缴费支出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73.77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73.77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69.16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住房保障支出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110.66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22102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住房改革支出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110.66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110.66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2210201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110.66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110.66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bl>
    <w:p>
      <w:pPr>
        <w:rPr>
          <w:color w:val="auto"/>
          <w:highlight w:val="none"/>
        </w:rPr>
      </w:pPr>
    </w:p>
    <w:p>
      <w:pPr>
        <w:rPr>
          <w:color w:val="auto"/>
          <w:highlight w:val="none"/>
        </w:rPr>
      </w:pPr>
      <w:r>
        <w:rPr>
          <w:rFonts w:hint="eastAsia"/>
          <w:color w:val="auto"/>
          <w:highlight w:val="none"/>
        </w:rPr>
        <w:t>注：本表反映</w:t>
      </w:r>
      <w:r>
        <w:rPr>
          <w:rFonts w:hint="eastAsia"/>
          <w:color w:val="auto"/>
          <w:highlight w:val="none"/>
          <w:lang w:eastAsia="zh-CN"/>
        </w:rPr>
        <w:t>单位</w:t>
      </w:r>
      <w:r>
        <w:rPr>
          <w:rFonts w:hint="eastAsia"/>
          <w:color w:val="auto"/>
          <w:highlight w:val="none"/>
        </w:rPr>
        <w:t>本年度一般公共预算财政拨款实际支出情况。</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color w:val="auto"/>
          <w:kern w:val="0"/>
          <w:sz w:val="36"/>
          <w:szCs w:val="36"/>
          <w:highlight w:val="none"/>
        </w:rPr>
      </w:pPr>
      <w:r>
        <w:rPr>
          <w:rFonts w:hint="eastAsia" w:ascii="方正小标宋简体" w:hAnsi="宋体" w:eastAsia="方正小标宋简体" w:cs="宋体"/>
          <w:color w:val="auto"/>
          <w:kern w:val="0"/>
          <w:sz w:val="36"/>
          <w:szCs w:val="36"/>
          <w:highlight w:val="none"/>
        </w:rPr>
        <w:t>表六：</w:t>
      </w:r>
      <w:r>
        <w:rPr>
          <w:rFonts w:hint="eastAsia" w:ascii="方正小标宋简体" w:eastAsia="方正小标宋简体"/>
          <w:color w:val="auto"/>
          <w:sz w:val="36"/>
          <w:szCs w:val="36"/>
          <w:highlight w:val="none"/>
        </w:rPr>
        <w:t>一般</w:t>
      </w:r>
      <w:r>
        <w:rPr>
          <w:rFonts w:hint="eastAsia" w:ascii="方正小标宋简体" w:hAnsi="宋体" w:eastAsia="方正小标宋简体" w:cs="宋体"/>
          <w:color w:val="auto"/>
          <w:kern w:val="0"/>
          <w:sz w:val="36"/>
          <w:szCs w:val="36"/>
          <w:highlight w:val="none"/>
        </w:rPr>
        <w:t>公共预算财政拨款基本支出决算表</w:t>
      </w:r>
    </w:p>
    <w:p>
      <w:pPr>
        <w:jc w:val="center"/>
        <w:rPr>
          <w:rFonts w:ascii="方正小标宋简体" w:hAnsi="宋体" w:eastAsia="方正小标宋简体" w:cs="宋体"/>
          <w:color w:val="auto"/>
          <w:kern w:val="0"/>
          <w:sz w:val="36"/>
          <w:szCs w:val="36"/>
          <w:highlight w:val="none"/>
        </w:rPr>
      </w:pPr>
    </w:p>
    <w:p>
      <w:pPr>
        <w:ind w:right="330"/>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单位：万元</w:t>
      </w:r>
    </w:p>
    <w:tbl>
      <w:tblPr>
        <w:tblStyle w:val="5"/>
        <w:tblW w:w="9151" w:type="dxa"/>
        <w:tblInd w:w="93" w:type="dxa"/>
        <w:tblLayout w:type="fixed"/>
        <w:tblCellMar>
          <w:top w:w="0" w:type="dxa"/>
          <w:left w:w="108" w:type="dxa"/>
          <w:bottom w:w="0" w:type="dxa"/>
          <w:right w:w="108" w:type="dxa"/>
        </w:tblCellMar>
      </w:tblPr>
      <w:tblGrid>
        <w:gridCol w:w="916"/>
        <w:gridCol w:w="3015"/>
        <w:gridCol w:w="1275"/>
        <w:gridCol w:w="840"/>
        <w:gridCol w:w="1500"/>
        <w:gridCol w:w="1605"/>
      </w:tblGrid>
      <w:tr>
        <w:tblPrEx>
          <w:tblCellMar>
            <w:top w:w="0" w:type="dxa"/>
            <w:left w:w="108" w:type="dxa"/>
            <w:bottom w:w="0" w:type="dxa"/>
            <w:right w:w="108" w:type="dxa"/>
          </w:tblCellMar>
        </w:tblPrEx>
        <w:trPr>
          <w:trHeight w:val="564" w:hRule="atLeast"/>
        </w:trPr>
        <w:tc>
          <w:tcPr>
            <w:tcW w:w="52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人员经费</w:t>
            </w:r>
          </w:p>
        </w:tc>
        <w:tc>
          <w:tcPr>
            <w:tcW w:w="394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支出经济分类科目编码</w:t>
            </w:r>
          </w:p>
        </w:tc>
        <w:tc>
          <w:tcPr>
            <w:tcW w:w="3015"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科目名称</w:t>
            </w:r>
          </w:p>
        </w:tc>
        <w:tc>
          <w:tcPr>
            <w:tcW w:w="1275"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金额</w:t>
            </w:r>
          </w:p>
        </w:tc>
        <w:tc>
          <w:tcPr>
            <w:tcW w:w="840"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经济分类科目编码</w:t>
            </w:r>
          </w:p>
        </w:tc>
        <w:tc>
          <w:tcPr>
            <w:tcW w:w="1500"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金额</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301</w:t>
            </w:r>
          </w:p>
        </w:tc>
        <w:tc>
          <w:tcPr>
            <w:tcW w:w="301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工资福利支出</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1,422.17</w:t>
            </w: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302</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商品和服务支出</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41.33</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30101</w:t>
            </w:r>
          </w:p>
        </w:tc>
        <w:tc>
          <w:tcPr>
            <w:tcW w:w="301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r>
              <w:rPr>
                <w:rFonts w:hint="eastAsia" w:ascii="宋体" w:hAnsi="宋体" w:cs="Arial"/>
                <w:color w:val="auto"/>
                <w:kern w:val="0"/>
                <w:sz w:val="22"/>
                <w:szCs w:val="22"/>
                <w:highlight w:val="none"/>
              </w:rPr>
              <w:t>基本工资</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367.60</w:t>
            </w:r>
          </w:p>
        </w:tc>
        <w:tc>
          <w:tcPr>
            <w:tcW w:w="84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30201</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办公费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0.42</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30102</w:t>
            </w:r>
          </w:p>
        </w:tc>
        <w:tc>
          <w:tcPr>
            <w:tcW w:w="301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r>
              <w:rPr>
                <w:rFonts w:hint="eastAsia" w:ascii="宋体" w:hAnsi="宋体" w:cs="Arial"/>
                <w:color w:val="auto"/>
                <w:kern w:val="0"/>
                <w:sz w:val="22"/>
                <w:szCs w:val="22"/>
                <w:highlight w:val="none"/>
              </w:rPr>
              <w:t>津贴补贴</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20.27</w:t>
            </w:r>
          </w:p>
        </w:tc>
        <w:tc>
          <w:tcPr>
            <w:tcW w:w="84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30202</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印刷费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30103</w:t>
            </w:r>
          </w:p>
        </w:tc>
        <w:tc>
          <w:tcPr>
            <w:tcW w:w="301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xml:space="preserve">  奖金  </w:t>
            </w:r>
            <w:r>
              <w:rPr>
                <w:rFonts w:ascii="宋体" w:hAnsi="宋体" w:cs="Arial"/>
                <w:color w:val="auto"/>
                <w:kern w:val="0"/>
                <w:sz w:val="22"/>
                <w:szCs w:val="22"/>
                <w:highlight w:val="none"/>
              </w:rPr>
              <w:t>　</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30303</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咨询费</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30106</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伙食补助费</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30304</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手续费</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30107</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绩效工资</w:t>
            </w:r>
          </w:p>
        </w:tc>
        <w:tc>
          <w:tcPr>
            <w:tcW w:w="127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518.72</w:t>
            </w:r>
          </w:p>
        </w:tc>
        <w:tc>
          <w:tcPr>
            <w:tcW w:w="84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30305</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水费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30108</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机关事业单位基本养老保险缴费</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151.63</w:t>
            </w:r>
          </w:p>
        </w:tc>
        <w:tc>
          <w:tcPr>
            <w:tcW w:w="84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30306</w:t>
            </w:r>
          </w:p>
        </w:tc>
        <w:tc>
          <w:tcPr>
            <w:tcW w:w="1500"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电费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0.38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30109</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职业年金缴费</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81.43</w:t>
            </w: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30307</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邮电费</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30110</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职工基本医疗保险缴费</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69.72</w:t>
            </w: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30308</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取暖费</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30111</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公务员医疗补助缴费</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70.19</w:t>
            </w: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30309</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物业管理费</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12.80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30112</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其他社会保障缴费</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6.49</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30213</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0.52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30113</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住房公积金</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130.93</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30214</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0.24</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30114</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医疗费</w:t>
            </w:r>
          </w:p>
        </w:tc>
        <w:tc>
          <w:tcPr>
            <w:tcW w:w="127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30218</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0.15</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30199</w:t>
            </w:r>
          </w:p>
        </w:tc>
        <w:tc>
          <w:tcPr>
            <w:tcW w:w="3015"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auto"/>
                <w:kern w:val="0"/>
                <w:sz w:val="22"/>
                <w:szCs w:val="22"/>
                <w:highlight w:val="none"/>
              </w:rPr>
            </w:pPr>
            <w:r>
              <w:rPr>
                <w:rFonts w:hint="eastAsia" w:ascii="宋体" w:hAnsi="宋体" w:cs="宋体"/>
                <w:color w:val="auto"/>
                <w:kern w:val="0"/>
                <w:sz w:val="20"/>
                <w:szCs w:val="20"/>
                <w:highlight w:val="none"/>
                <w:lang w:bidi="ar"/>
              </w:rPr>
              <w:t>其他工资福利支出</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5.18</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30226</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0.37</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rPr>
              <w:t xml:space="preserve"> </w:t>
            </w:r>
            <w:r>
              <w:rPr>
                <w:rFonts w:hint="eastAsia" w:ascii="宋体" w:hAnsi="宋体" w:cs="Arial"/>
                <w:color w:val="auto"/>
                <w:kern w:val="0"/>
                <w:sz w:val="22"/>
                <w:szCs w:val="22"/>
                <w:highlight w:val="none"/>
                <w:lang w:val="en-US" w:eastAsia="zh-CN"/>
              </w:rPr>
              <w:t>303</w:t>
            </w:r>
          </w:p>
        </w:tc>
        <w:tc>
          <w:tcPr>
            <w:tcW w:w="301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r>
              <w:rPr>
                <w:rFonts w:hint="eastAsia" w:ascii="宋体" w:hAnsi="宋体" w:cs="Arial"/>
                <w:color w:val="auto"/>
                <w:kern w:val="0"/>
                <w:sz w:val="22"/>
                <w:szCs w:val="22"/>
                <w:highlight w:val="none"/>
              </w:rPr>
              <w:t xml:space="preserve"> 对个人和家庭的补助</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38.42</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30228</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24.68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30302</w:t>
            </w:r>
          </w:p>
        </w:tc>
        <w:tc>
          <w:tcPr>
            <w:tcW w:w="30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10.42</w:t>
            </w: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307</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债务利息支出</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30305</w:t>
            </w:r>
          </w:p>
        </w:tc>
        <w:tc>
          <w:tcPr>
            <w:tcW w:w="30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23.75</w:t>
            </w: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310</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资本性支出</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30399</w:t>
            </w:r>
          </w:p>
        </w:tc>
        <w:tc>
          <w:tcPr>
            <w:tcW w:w="30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3.65</w:t>
            </w:r>
          </w:p>
        </w:tc>
        <w:tc>
          <w:tcPr>
            <w:tcW w:w="84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399</w:t>
            </w:r>
          </w:p>
        </w:tc>
        <w:tc>
          <w:tcPr>
            <w:tcW w:w="1500"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hint="eastAsia" w:ascii="宋体" w:hAnsi="宋体" w:cs="Arial"/>
                <w:color w:val="auto"/>
                <w:kern w:val="0"/>
                <w:sz w:val="22"/>
                <w:szCs w:val="22"/>
                <w:highlight w:val="none"/>
              </w:rPr>
              <w:t>其他支出</w:t>
            </w:r>
            <w:r>
              <w:rPr>
                <w:rFonts w:ascii="宋体" w:hAnsi="宋体" w:cs="Arial"/>
                <w:color w:val="auto"/>
                <w:kern w:val="0"/>
                <w:sz w:val="22"/>
                <w:szCs w:val="22"/>
                <w:highlight w:val="none"/>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p>
        </w:tc>
      </w:tr>
      <w:tr>
        <w:tblPrEx>
          <w:tblCellMar>
            <w:top w:w="0" w:type="dxa"/>
            <w:left w:w="108" w:type="dxa"/>
            <w:bottom w:w="0" w:type="dxa"/>
            <w:right w:w="108" w:type="dxa"/>
          </w:tblCellMar>
        </w:tblPrEx>
        <w:trPr>
          <w:trHeight w:val="264" w:hRule="atLeast"/>
        </w:trPr>
        <w:tc>
          <w:tcPr>
            <w:tcW w:w="393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p>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人员经费合计</w:t>
            </w:r>
          </w:p>
        </w:tc>
        <w:tc>
          <w:tcPr>
            <w:tcW w:w="12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1,460.59</w:t>
            </w:r>
          </w:p>
        </w:tc>
        <w:tc>
          <w:tcPr>
            <w:tcW w:w="234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公用经费合计</w:t>
            </w:r>
          </w:p>
        </w:tc>
        <w:tc>
          <w:tcPr>
            <w:tcW w:w="1605" w:type="dxa"/>
            <w:tcBorders>
              <w:top w:val="nil"/>
              <w:left w:val="nil"/>
              <w:bottom w:val="single" w:color="auto" w:sz="4" w:space="0"/>
              <w:right w:val="single" w:color="auto" w:sz="4" w:space="0"/>
            </w:tcBorders>
            <w:vAlign w:val="bottom"/>
          </w:tcPr>
          <w:p>
            <w:pPr>
              <w:widowControl/>
              <w:ind w:firstLine="220" w:firstLineChars="100"/>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41.33</w:t>
            </w:r>
          </w:p>
        </w:tc>
      </w:tr>
    </w:tbl>
    <w:p>
      <w:pPr>
        <w:rPr>
          <w:color w:val="auto"/>
          <w:highlight w:val="none"/>
        </w:rPr>
        <w:sectPr>
          <w:pgSz w:w="11906" w:h="16838"/>
          <w:pgMar w:top="1440" w:right="1797" w:bottom="1440" w:left="1797" w:header="851" w:footer="992" w:gutter="0"/>
          <w:pgNumType w:fmt="numberInDash"/>
          <w:cols w:space="720" w:num="1"/>
          <w:docGrid w:type="lines" w:linePitch="312" w:charSpace="0"/>
        </w:sectPr>
      </w:pPr>
      <w:r>
        <w:rPr>
          <w:rFonts w:hint="eastAsia"/>
          <w:color w:val="auto"/>
          <w:highlight w:val="none"/>
        </w:rPr>
        <w:t>注：本表反映</w:t>
      </w:r>
      <w:r>
        <w:rPr>
          <w:rFonts w:hint="eastAsia"/>
          <w:color w:val="auto"/>
          <w:highlight w:val="none"/>
          <w:lang w:eastAsia="zh-CN"/>
        </w:rPr>
        <w:t>单位</w:t>
      </w:r>
      <w:r>
        <w:rPr>
          <w:rFonts w:hint="eastAsia"/>
          <w:color w:val="auto"/>
          <w:highlight w:val="none"/>
        </w:rPr>
        <w:t>本年度一般公共预算财政拨款基本支出明细情况。</w:t>
      </w:r>
    </w:p>
    <w:p>
      <w:pPr>
        <w:jc w:val="center"/>
        <w:rPr>
          <w:rFonts w:ascii="方正小标宋简体" w:hAnsi="宋体" w:eastAsia="方正小标宋简体" w:cs="宋体"/>
          <w:color w:val="auto"/>
          <w:kern w:val="0"/>
          <w:sz w:val="36"/>
          <w:szCs w:val="36"/>
          <w:highlight w:val="none"/>
        </w:rPr>
      </w:pPr>
    </w:p>
    <w:p>
      <w:pPr>
        <w:jc w:val="center"/>
        <w:rPr>
          <w:rFonts w:ascii="方正小标宋简体" w:hAnsi="宋体" w:eastAsia="方正小标宋简体" w:cs="宋体"/>
          <w:color w:val="auto"/>
          <w:kern w:val="0"/>
          <w:sz w:val="36"/>
          <w:szCs w:val="36"/>
          <w:highlight w:val="none"/>
        </w:rPr>
      </w:pPr>
      <w:r>
        <w:rPr>
          <w:rFonts w:hint="eastAsia" w:ascii="方正小标宋简体" w:hAnsi="宋体" w:eastAsia="方正小标宋简体" w:cs="宋体"/>
          <w:color w:val="auto"/>
          <w:kern w:val="0"/>
          <w:sz w:val="36"/>
          <w:szCs w:val="36"/>
          <w:highlight w:val="none"/>
        </w:rPr>
        <w:t>表七：</w:t>
      </w:r>
      <w:r>
        <w:rPr>
          <w:rFonts w:hint="eastAsia" w:ascii="方正小标宋简体" w:eastAsia="方正小标宋简体"/>
          <w:color w:val="auto"/>
          <w:sz w:val="36"/>
          <w:szCs w:val="36"/>
          <w:highlight w:val="none"/>
        </w:rPr>
        <w:t>一般</w:t>
      </w:r>
      <w:r>
        <w:rPr>
          <w:rFonts w:hint="eastAsia" w:ascii="方正小标宋简体" w:hAnsi="宋体" w:eastAsia="方正小标宋简体" w:cs="宋体"/>
          <w:color w:val="auto"/>
          <w:kern w:val="0"/>
          <w:sz w:val="36"/>
          <w:szCs w:val="36"/>
          <w:highlight w:val="none"/>
        </w:rPr>
        <w:t>公共预算财政拨款安排的“</w:t>
      </w:r>
      <w:r>
        <w:rPr>
          <w:rFonts w:ascii="方正小标宋简体" w:hAnsi="宋体" w:eastAsia="方正小标宋简体" w:cs="宋体"/>
          <w:color w:val="auto"/>
          <w:kern w:val="0"/>
          <w:sz w:val="36"/>
          <w:szCs w:val="36"/>
          <w:highlight w:val="none"/>
        </w:rPr>
        <w:t>三公</w:t>
      </w:r>
      <w:r>
        <w:rPr>
          <w:rFonts w:hint="eastAsia" w:ascii="方正小标宋简体" w:hAnsi="宋体" w:eastAsia="方正小标宋简体" w:cs="宋体"/>
          <w:color w:val="auto"/>
          <w:kern w:val="0"/>
          <w:sz w:val="36"/>
          <w:szCs w:val="36"/>
          <w:highlight w:val="none"/>
        </w:rPr>
        <w:t>”</w:t>
      </w:r>
      <w:r>
        <w:rPr>
          <w:rFonts w:ascii="方正小标宋简体" w:hAnsi="宋体" w:eastAsia="方正小标宋简体" w:cs="宋体"/>
          <w:color w:val="auto"/>
          <w:kern w:val="0"/>
          <w:sz w:val="36"/>
          <w:szCs w:val="36"/>
          <w:highlight w:val="none"/>
        </w:rPr>
        <w:t>经费</w:t>
      </w:r>
      <w:r>
        <w:rPr>
          <w:rFonts w:hint="eastAsia" w:ascii="方正小标宋简体" w:hAnsi="宋体" w:eastAsia="方正小标宋简体" w:cs="宋体"/>
          <w:color w:val="auto"/>
          <w:kern w:val="0"/>
          <w:sz w:val="36"/>
          <w:szCs w:val="36"/>
          <w:highlight w:val="none"/>
        </w:rPr>
        <w:t>支出决算表</w:t>
      </w:r>
    </w:p>
    <w:p>
      <w:pPr>
        <w:rPr>
          <w:color w:val="auto"/>
          <w:highlight w:val="none"/>
        </w:rPr>
      </w:pPr>
    </w:p>
    <w:p>
      <w:pPr>
        <w:jc w:val="right"/>
        <w:rPr>
          <w:color w:val="auto"/>
          <w:highlight w:val="none"/>
        </w:rPr>
      </w:pPr>
      <w:r>
        <w:rPr>
          <w:rFonts w:hint="eastAsia"/>
          <w:color w:val="auto"/>
          <w:highlight w:val="none"/>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highlight w:val="none"/>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highlight w:val="none"/>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highlight w:val="none"/>
              </w:rPr>
            </w:pPr>
            <w:r>
              <w:rPr>
                <w:rFonts w:hint="eastAsia" w:ascii="宋体" w:hAnsi="宋体" w:cs="Arial"/>
                <w:color w:val="auto"/>
                <w:kern w:val="0"/>
                <w:sz w:val="22"/>
                <w:szCs w:val="22"/>
                <w:highlight w:val="none"/>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42" w:type="dxa"/>
            <w:tcBorders>
              <w:top w:val="nil"/>
              <w:left w:val="nil"/>
              <w:bottom w:val="single" w:color="auto" w:sz="4" w:space="0"/>
              <w:right w:val="single" w:color="auto" w:sz="4" w:space="0"/>
            </w:tcBorders>
          </w:tcPr>
          <w:p>
            <w:pPr>
              <w:widowControl/>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42" w:type="dxa"/>
            <w:tcBorders>
              <w:top w:val="nil"/>
              <w:left w:val="nil"/>
              <w:bottom w:val="single" w:color="auto" w:sz="4" w:space="0"/>
              <w:right w:val="single" w:color="auto" w:sz="4" w:space="0"/>
            </w:tcBorders>
          </w:tcPr>
          <w:p>
            <w:pPr>
              <w:widowControl/>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r>
    </w:tbl>
    <w:p>
      <w:pPr>
        <w:rPr>
          <w:rFonts w:hint="eastAsia"/>
          <w:color w:val="auto"/>
          <w:highlight w:val="none"/>
          <w:lang w:eastAsia="zh-CN"/>
        </w:rPr>
      </w:pPr>
      <w:r>
        <w:rPr>
          <w:rFonts w:hint="eastAsia"/>
          <w:color w:val="auto"/>
          <w:highlight w:val="none"/>
        </w:rPr>
        <w:t>注：</w:t>
      </w:r>
      <w:r>
        <w:rPr>
          <w:rFonts w:hint="eastAsia"/>
          <w:color w:val="auto"/>
          <w:highlight w:val="none"/>
          <w:lang w:eastAsia="zh-CN"/>
        </w:rPr>
        <w:t>本单位</w:t>
      </w:r>
      <w:r>
        <w:rPr>
          <w:rFonts w:hint="eastAsia"/>
          <w:color w:val="auto"/>
          <w:highlight w:val="none"/>
        </w:rPr>
        <w:t>没有</w:t>
      </w:r>
      <w:r>
        <w:rPr>
          <w:rFonts w:hint="eastAsia"/>
          <w:color w:val="auto"/>
          <w:highlight w:val="none"/>
          <w:lang w:val="en-US" w:eastAsia="zh-CN"/>
        </w:rPr>
        <w:t>2020年度“三公”经费预算数</w:t>
      </w:r>
      <w:r>
        <w:rPr>
          <w:rFonts w:hint="eastAsia"/>
          <w:color w:val="auto"/>
          <w:highlight w:val="none"/>
        </w:rPr>
        <w:t>，也没有</w:t>
      </w:r>
      <w:r>
        <w:rPr>
          <w:rFonts w:hint="eastAsia"/>
          <w:color w:val="auto"/>
          <w:highlight w:val="none"/>
          <w:lang w:val="en-US" w:eastAsia="zh-CN"/>
        </w:rPr>
        <w:t>2020年度“三公”经费决算数</w:t>
      </w:r>
      <w:r>
        <w:rPr>
          <w:rFonts w:hint="eastAsia"/>
          <w:color w:val="auto"/>
          <w:highlight w:val="none"/>
        </w:rPr>
        <w:t>支出，故本表无数据</w:t>
      </w:r>
      <w:r>
        <w:rPr>
          <w:rFonts w:hint="eastAsia"/>
          <w:color w:val="auto"/>
          <w:highlight w:val="none"/>
          <w:lang w:eastAsia="zh-CN"/>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hint="eastAsia" w:ascii="方正小标宋简体" w:hAnsi="宋体" w:eastAsia="方正小标宋简体" w:cs="宋体"/>
                <w:color w:val="auto"/>
                <w:kern w:val="0"/>
                <w:sz w:val="36"/>
                <w:szCs w:val="36"/>
                <w:highlight w:val="none"/>
              </w:rPr>
            </w:pPr>
          </w:p>
          <w:p>
            <w:pPr>
              <w:widowControl/>
              <w:jc w:val="center"/>
              <w:rPr>
                <w:rFonts w:ascii="方正小标宋简体" w:hAnsi="宋体" w:eastAsia="方正小标宋简体" w:cs="宋体"/>
                <w:color w:val="auto"/>
                <w:kern w:val="0"/>
                <w:sz w:val="36"/>
                <w:szCs w:val="36"/>
                <w:highlight w:val="none"/>
              </w:rPr>
            </w:pPr>
            <w:r>
              <w:rPr>
                <w:rFonts w:hint="eastAsia" w:ascii="方正小标宋简体" w:hAnsi="宋体" w:eastAsia="方正小标宋简体" w:cs="宋体"/>
                <w:color w:val="auto"/>
                <w:kern w:val="0"/>
                <w:sz w:val="36"/>
                <w:szCs w:val="36"/>
                <w:highlight w:val="none"/>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385"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765"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highlight w:val="none"/>
              </w:rPr>
            </w:pPr>
          </w:p>
        </w:tc>
        <w:tc>
          <w:tcPr>
            <w:tcW w:w="2010" w:type="dxa"/>
            <w:gridSpan w:val="2"/>
            <w:tcBorders>
              <w:top w:val="nil"/>
              <w:left w:val="nil"/>
              <w:bottom w:val="nil"/>
              <w:right w:val="nil"/>
            </w:tcBorders>
            <w:vAlign w:val="bottom"/>
          </w:tcPr>
          <w:p>
            <w:pPr>
              <w:widowControl/>
              <w:jc w:val="right"/>
              <w:rPr>
                <w:rFonts w:ascii="仿宋_GB2312" w:hAnsi="宋体" w:cs="宋体"/>
                <w:color w:val="auto"/>
                <w:kern w:val="0"/>
                <w:sz w:val="22"/>
                <w:szCs w:val="22"/>
                <w:highlight w:val="none"/>
              </w:rPr>
            </w:pPr>
            <w:r>
              <w:rPr>
                <w:rFonts w:hint="eastAsia" w:ascii="仿宋_GB2312" w:hAnsi="宋体" w:cs="宋体"/>
                <w:color w:val="auto"/>
                <w:kern w:val="0"/>
                <w:sz w:val="22"/>
                <w:szCs w:val="22"/>
                <w:highlight w:val="none"/>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color w:val="auto"/>
                <w:kern w:val="0"/>
                <w:sz w:val="22"/>
                <w:szCs w:val="22"/>
                <w:highlight w:val="none"/>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color w:val="auto"/>
                <w:kern w:val="0"/>
                <w:sz w:val="22"/>
                <w:szCs w:val="22"/>
                <w:highlight w:val="none"/>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highlight w:val="none"/>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highlight w:val="none"/>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highlight w:val="none"/>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pPr>
        <w:rPr>
          <w:rFonts w:hint="eastAsia"/>
          <w:color w:val="auto"/>
          <w:highlight w:val="none"/>
          <w:lang w:eastAsia="zh-CN"/>
        </w:rPr>
      </w:pPr>
      <w:r>
        <w:rPr>
          <w:rFonts w:hint="eastAsia"/>
          <w:color w:val="auto"/>
          <w:highlight w:val="none"/>
        </w:rPr>
        <w:t>注：</w:t>
      </w:r>
      <w:r>
        <w:rPr>
          <w:rFonts w:hint="eastAsia"/>
          <w:color w:val="auto"/>
          <w:highlight w:val="none"/>
          <w:lang w:eastAsia="zh-CN"/>
        </w:rPr>
        <w:t>本单位</w:t>
      </w:r>
      <w:r>
        <w:rPr>
          <w:rFonts w:hint="eastAsia"/>
          <w:color w:val="auto"/>
          <w:highlight w:val="none"/>
        </w:rPr>
        <w:t>没有</w:t>
      </w:r>
      <w:r>
        <w:rPr>
          <w:rFonts w:hint="eastAsia"/>
          <w:color w:val="auto"/>
          <w:highlight w:val="none"/>
          <w:lang w:val="en-US" w:eastAsia="zh-CN"/>
        </w:rPr>
        <w:t>政府性基金预算财政拨款收入</w:t>
      </w:r>
      <w:r>
        <w:rPr>
          <w:rFonts w:hint="eastAsia"/>
          <w:color w:val="auto"/>
          <w:highlight w:val="none"/>
        </w:rPr>
        <w:t>，也没有</w:t>
      </w:r>
      <w:r>
        <w:rPr>
          <w:rFonts w:hint="eastAsia"/>
          <w:color w:val="auto"/>
          <w:highlight w:val="none"/>
          <w:lang w:val="en-US" w:eastAsia="zh-CN"/>
        </w:rPr>
        <w:t>政府性基金预算财政拨款</w:t>
      </w:r>
      <w:r>
        <w:rPr>
          <w:rFonts w:hint="eastAsia"/>
          <w:color w:val="auto"/>
          <w:highlight w:val="none"/>
        </w:rPr>
        <w:t>支出，故本表无数据</w:t>
      </w:r>
      <w:r>
        <w:rPr>
          <w:rFonts w:hint="eastAsia"/>
          <w:color w:val="auto"/>
          <w:highlight w:val="none"/>
          <w:lang w:eastAsia="zh-CN"/>
        </w:rPr>
        <w:t>。</w:t>
      </w:r>
    </w:p>
    <w:p>
      <w:pPr>
        <w:spacing w:line="560" w:lineRule="exact"/>
        <w:ind w:firstLine="420"/>
        <w:rPr>
          <w:rFonts w:hint="eastAsia"/>
          <w:color w:val="auto"/>
          <w:highlight w:val="none"/>
        </w:rPr>
      </w:pPr>
    </w:p>
    <w:p>
      <w:pPr>
        <w:spacing w:line="560" w:lineRule="exact"/>
        <w:ind w:firstLine="420"/>
        <w:rPr>
          <w:rFonts w:hint="eastAsia"/>
          <w:color w:val="auto"/>
          <w:highlight w:val="none"/>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auto"/>
                <w:kern w:val="0"/>
                <w:sz w:val="32"/>
                <w:szCs w:val="32"/>
                <w:highlight w:val="none"/>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i w:val="0"/>
                <w:color w:val="auto"/>
                <w:kern w:val="0"/>
                <w:sz w:val="32"/>
                <w:szCs w:val="32"/>
                <w:highlight w:val="none"/>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auto"/>
                <w:sz w:val="32"/>
                <w:szCs w:val="32"/>
                <w:highlight w:val="none"/>
                <w:u w:val="none"/>
              </w:rPr>
            </w:pPr>
            <w:r>
              <w:rPr>
                <w:rFonts w:hint="eastAsia" w:ascii="华文中宋" w:hAnsi="华文中宋" w:eastAsia="华文中宋" w:cs="华文中宋"/>
                <w:i w:val="0"/>
                <w:color w:val="auto"/>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auto"/>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auto"/>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项 </w:t>
            </w:r>
            <w:r>
              <w:rPr>
                <w:rStyle w:val="9"/>
                <w:color w:val="auto"/>
                <w:highlight w:val="none"/>
                <w:lang w:val="en-US" w:eastAsia="zh-CN" w:bidi="ar"/>
              </w:rPr>
              <w:t xml:space="preserve">   </w:t>
            </w:r>
            <w:r>
              <w:rPr>
                <w:rStyle w:val="10"/>
                <w:color w:val="auto"/>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auto"/>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rPr>
                <w:rFonts w:hint="eastAsia" w:eastAsia="仿宋_GB2312"/>
                <w:color w:val="auto"/>
                <w:highlight w:val="none"/>
                <w:lang w:eastAsia="zh-CN"/>
              </w:rPr>
            </w:pPr>
            <w:r>
              <w:rPr>
                <w:rFonts w:hint="eastAsia"/>
                <w:color w:val="auto"/>
                <w:highlight w:val="none"/>
              </w:rPr>
              <w:t>注：</w:t>
            </w:r>
            <w:r>
              <w:rPr>
                <w:rFonts w:hint="eastAsia"/>
                <w:color w:val="auto"/>
                <w:highlight w:val="none"/>
                <w:lang w:eastAsia="zh-CN"/>
              </w:rPr>
              <w:t>本单位</w:t>
            </w:r>
            <w:r>
              <w:rPr>
                <w:rFonts w:hint="eastAsia"/>
                <w:color w:val="auto"/>
                <w:highlight w:val="none"/>
              </w:rPr>
              <w:t>没有</w:t>
            </w:r>
            <w:r>
              <w:rPr>
                <w:rFonts w:hint="eastAsia"/>
                <w:color w:val="auto"/>
                <w:highlight w:val="none"/>
                <w:lang w:val="en-US" w:eastAsia="zh-CN"/>
              </w:rPr>
              <w:t>国有资本经营预算财政拨款收入</w:t>
            </w:r>
            <w:r>
              <w:rPr>
                <w:rFonts w:hint="eastAsia"/>
                <w:color w:val="auto"/>
                <w:highlight w:val="none"/>
              </w:rPr>
              <w:t>，也没有</w:t>
            </w:r>
            <w:r>
              <w:rPr>
                <w:rFonts w:hint="eastAsia"/>
                <w:color w:val="auto"/>
                <w:highlight w:val="none"/>
                <w:lang w:val="en-US" w:eastAsia="zh-CN"/>
              </w:rPr>
              <w:t>国有资本经营预算财政拨款</w:t>
            </w:r>
            <w:r>
              <w:rPr>
                <w:rFonts w:hint="eastAsia"/>
                <w:color w:val="auto"/>
                <w:highlight w:val="none"/>
              </w:rPr>
              <w:t>支出，故本表无数据</w:t>
            </w:r>
            <w:r>
              <w:rPr>
                <w:rFonts w:hint="eastAsia"/>
                <w:color w:val="auto"/>
                <w:highlight w:val="none"/>
                <w:lang w:eastAsia="zh-CN"/>
              </w:rPr>
              <w:t>。</w:t>
            </w:r>
          </w:p>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p>
        </w:tc>
      </w:tr>
    </w:tbl>
    <w:p>
      <w:pPr>
        <w:spacing w:line="560" w:lineRule="exact"/>
        <w:ind w:firstLine="420"/>
        <w:rPr>
          <w:rFonts w:hint="eastAsia"/>
          <w:color w:val="auto"/>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eastAsia="仿宋_GB2312"/>
          <w:b/>
          <w:color w:val="auto"/>
          <w:sz w:val="32"/>
          <w:szCs w:val="32"/>
          <w:highlight w:val="none"/>
          <w:lang w:val="en-US" w:eastAsia="zh-CN"/>
        </w:rPr>
        <w:t>柳州市柳江职业教育中心</w:t>
      </w:r>
      <w:r>
        <w:rPr>
          <w:rFonts w:hint="eastAsia" w:ascii="仿宋_GB2312" w:eastAsia="仿宋_GB2312"/>
          <w:b/>
          <w:color w:val="auto"/>
          <w:sz w:val="32"/>
          <w:szCs w:val="32"/>
          <w:highlight w:val="none"/>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rPr>
        <w:t xml:space="preserve"> </w:t>
      </w:r>
      <w:r>
        <w:rPr>
          <w:rFonts w:hint="eastAsia" w:ascii="仿宋_GB2312" w:eastAsia="仿宋_GB2312" w:cs="仿宋_GB2312"/>
          <w:bCs/>
          <w:color w:val="auto"/>
          <w:kern w:val="0"/>
          <w:sz w:val="32"/>
          <w:szCs w:val="32"/>
          <w:highlight w:val="none"/>
        </w:rPr>
        <w:t>2020年度收入总计</w:t>
      </w:r>
      <w:r>
        <w:rPr>
          <w:rFonts w:hint="eastAsia" w:ascii="仿宋_GB2312" w:eastAsia="仿宋_GB2312" w:cs="仿宋_GB2312"/>
          <w:bCs/>
          <w:color w:val="auto"/>
          <w:kern w:val="0"/>
          <w:sz w:val="32"/>
          <w:szCs w:val="32"/>
          <w:highlight w:val="none"/>
          <w:lang w:val="en-US" w:eastAsia="zh-CN"/>
        </w:rPr>
        <w:t>1778.2</w:t>
      </w:r>
      <w:r>
        <w:rPr>
          <w:rFonts w:hint="eastAsia" w:ascii="仿宋_GB2312" w:eastAsia="仿宋_GB2312" w:cs="仿宋_GB2312"/>
          <w:bCs/>
          <w:color w:val="auto"/>
          <w:kern w:val="0"/>
          <w:sz w:val="32"/>
          <w:szCs w:val="32"/>
          <w:highlight w:val="none"/>
        </w:rPr>
        <w:t>万元，支出总计</w:t>
      </w:r>
      <w:r>
        <w:rPr>
          <w:rFonts w:hint="eastAsia" w:ascii="仿宋_GB2312" w:eastAsia="仿宋_GB2312" w:cs="仿宋_GB2312"/>
          <w:bCs/>
          <w:color w:val="auto"/>
          <w:kern w:val="0"/>
          <w:sz w:val="32"/>
          <w:szCs w:val="32"/>
          <w:highlight w:val="none"/>
          <w:lang w:val="en-US" w:eastAsia="zh-CN"/>
        </w:rPr>
        <w:t>1735.36</w:t>
      </w:r>
      <w:r>
        <w:rPr>
          <w:rFonts w:hint="eastAsia" w:ascii="仿宋_GB2312" w:eastAsia="仿宋_GB2312" w:cs="仿宋_GB2312"/>
          <w:bCs/>
          <w:color w:val="auto"/>
          <w:kern w:val="0"/>
          <w:sz w:val="32"/>
          <w:szCs w:val="32"/>
          <w:highlight w:val="none"/>
        </w:rPr>
        <w:t>万元，与2019年相比，收、支分别增加</w:t>
      </w:r>
      <w:r>
        <w:rPr>
          <w:rFonts w:hint="eastAsia" w:ascii="仿宋_GB2312" w:eastAsia="仿宋_GB2312" w:cs="仿宋_GB2312"/>
          <w:bCs/>
          <w:color w:val="auto"/>
          <w:kern w:val="0"/>
          <w:sz w:val="32"/>
          <w:szCs w:val="32"/>
          <w:highlight w:val="none"/>
          <w:lang w:val="en-US" w:eastAsia="zh-CN"/>
        </w:rPr>
        <w:t>245.36万元，203.17万元</w:t>
      </w:r>
      <w:r>
        <w:rPr>
          <w:rFonts w:hint="eastAsia" w:ascii="仿宋_GB2312" w:eastAsia="仿宋_GB2312" w:cs="仿宋_GB2312"/>
          <w:bCs/>
          <w:color w:val="auto"/>
          <w:kern w:val="0"/>
          <w:sz w:val="32"/>
          <w:szCs w:val="32"/>
          <w:highlight w:val="none"/>
        </w:rPr>
        <w:t>；分别增长</w:t>
      </w:r>
      <w:r>
        <w:rPr>
          <w:rFonts w:hint="eastAsia" w:ascii="仿宋_GB2312" w:eastAsia="仿宋_GB2312" w:cs="仿宋_GB2312"/>
          <w:bCs/>
          <w:color w:val="auto"/>
          <w:kern w:val="0"/>
          <w:sz w:val="32"/>
          <w:szCs w:val="32"/>
          <w:highlight w:val="none"/>
          <w:lang w:val="en-US" w:eastAsia="zh-CN"/>
        </w:rPr>
        <w:t>16</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,13.26%。</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本年收入总计</w:t>
      </w:r>
      <w:r>
        <w:rPr>
          <w:rFonts w:hint="eastAsia" w:ascii="仿宋_GB2312" w:eastAsia="仿宋_GB2312" w:cs="仿宋_GB2312"/>
          <w:bCs/>
          <w:color w:val="auto"/>
          <w:kern w:val="0"/>
          <w:sz w:val="32"/>
          <w:szCs w:val="32"/>
          <w:highlight w:val="none"/>
          <w:lang w:val="en-US" w:eastAsia="zh-CN"/>
        </w:rPr>
        <w:t>1778.2</w:t>
      </w:r>
      <w:r>
        <w:rPr>
          <w:rFonts w:hint="eastAsia" w:ascii="仿宋_GB2312" w:eastAsia="仿宋_GB2312" w:cs="仿宋_GB2312"/>
          <w:bCs/>
          <w:color w:val="auto"/>
          <w:kern w:val="0"/>
          <w:sz w:val="32"/>
          <w:szCs w:val="32"/>
          <w:highlight w:val="none"/>
        </w:rPr>
        <w:t>万元 ，其中：一般公共预算财政拨款收入1501.92万元；占比</w:t>
      </w:r>
      <w:r>
        <w:rPr>
          <w:rFonts w:hint="eastAsia" w:ascii="仿宋_GB2312" w:eastAsia="仿宋_GB2312" w:cs="仿宋_GB2312"/>
          <w:bCs/>
          <w:color w:val="auto"/>
          <w:kern w:val="0"/>
          <w:sz w:val="32"/>
          <w:szCs w:val="32"/>
          <w:highlight w:val="none"/>
          <w:lang w:val="en-US" w:eastAsia="zh-CN"/>
        </w:rPr>
        <w:t>84.46%</w:t>
      </w:r>
      <w:r>
        <w:rPr>
          <w:rFonts w:hint="eastAsia" w:ascii="仿宋_GB2312" w:eastAsia="仿宋_GB2312" w:cs="仿宋_GB2312"/>
          <w:bCs/>
          <w:color w:val="auto"/>
          <w:kern w:val="0"/>
          <w:sz w:val="32"/>
          <w:szCs w:val="32"/>
          <w:highlight w:val="none"/>
        </w:rPr>
        <w:t>；事业收入271.54万元，占比</w:t>
      </w:r>
      <w:r>
        <w:rPr>
          <w:rFonts w:hint="eastAsia" w:ascii="仿宋_GB2312" w:eastAsia="仿宋_GB2312" w:cs="仿宋_GB2312"/>
          <w:bCs/>
          <w:color w:val="auto"/>
          <w:kern w:val="0"/>
          <w:sz w:val="32"/>
          <w:szCs w:val="32"/>
          <w:highlight w:val="none"/>
          <w:lang w:val="en-US" w:eastAsia="zh-CN"/>
        </w:rPr>
        <w:t>15.27%</w:t>
      </w:r>
      <w:r>
        <w:rPr>
          <w:rFonts w:hint="eastAsia" w:ascii="仿宋_GB2312" w:eastAsia="仿宋_GB2312" w:cs="仿宋_GB2312"/>
          <w:bCs/>
          <w:color w:val="auto"/>
          <w:kern w:val="0"/>
          <w:sz w:val="32"/>
          <w:szCs w:val="32"/>
          <w:highlight w:val="none"/>
        </w:rPr>
        <w:t xml:space="preserve"> ；其他收入4.75万元，占比</w:t>
      </w:r>
      <w:r>
        <w:rPr>
          <w:rFonts w:hint="eastAsia" w:ascii="仿宋_GB2312" w:eastAsia="仿宋_GB2312" w:cs="仿宋_GB2312"/>
          <w:bCs/>
          <w:color w:val="auto"/>
          <w:kern w:val="0"/>
          <w:sz w:val="32"/>
          <w:szCs w:val="32"/>
          <w:highlight w:val="none"/>
          <w:lang w:val="en-US" w:eastAsia="zh-CN"/>
        </w:rPr>
        <w:t>0.27%</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本年支出合计 </w:t>
      </w:r>
      <w:r>
        <w:rPr>
          <w:rFonts w:hint="eastAsia" w:ascii="仿宋_GB2312" w:eastAsia="仿宋_GB2312" w:cs="仿宋_GB2312"/>
          <w:bCs/>
          <w:color w:val="auto"/>
          <w:kern w:val="0"/>
          <w:sz w:val="32"/>
          <w:szCs w:val="32"/>
          <w:highlight w:val="none"/>
          <w:lang w:val="en-US" w:eastAsia="zh-CN"/>
        </w:rPr>
        <w:t>1735.36</w:t>
      </w:r>
      <w:r>
        <w:rPr>
          <w:rFonts w:hint="eastAsia" w:ascii="仿宋_GB2312" w:eastAsia="仿宋_GB2312" w:cs="仿宋_GB2312"/>
          <w:bCs/>
          <w:color w:val="auto"/>
          <w:kern w:val="0"/>
          <w:sz w:val="32"/>
          <w:szCs w:val="32"/>
          <w:highlight w:val="none"/>
        </w:rPr>
        <w:t xml:space="preserve"> 万元，其中：基本支出 1681.51万元，占</w:t>
      </w:r>
      <w:r>
        <w:rPr>
          <w:rFonts w:hint="eastAsia" w:ascii="仿宋_GB2312" w:eastAsia="仿宋_GB2312" w:cs="仿宋_GB2312"/>
          <w:bCs/>
          <w:color w:val="auto"/>
          <w:kern w:val="0"/>
          <w:sz w:val="32"/>
          <w:szCs w:val="32"/>
          <w:highlight w:val="none"/>
          <w:lang w:val="en-US" w:eastAsia="zh-CN"/>
        </w:rPr>
        <w:t>96.90</w:t>
      </w:r>
      <w:r>
        <w:rPr>
          <w:rFonts w:hint="eastAsia" w:ascii="仿宋_GB2312" w:eastAsia="仿宋_GB2312" w:cs="仿宋_GB2312"/>
          <w:bCs/>
          <w:color w:val="auto"/>
          <w:kern w:val="0"/>
          <w:sz w:val="32"/>
          <w:szCs w:val="32"/>
          <w:highlight w:val="none"/>
        </w:rPr>
        <w:t>%；项目支出 53.85万元，占</w:t>
      </w:r>
      <w:r>
        <w:rPr>
          <w:rFonts w:hint="eastAsia" w:ascii="仿宋_GB2312" w:eastAsia="仿宋_GB2312" w:cs="仿宋_GB2312"/>
          <w:bCs/>
          <w:color w:val="auto"/>
          <w:kern w:val="0"/>
          <w:sz w:val="32"/>
          <w:szCs w:val="32"/>
          <w:highlight w:val="none"/>
          <w:lang w:val="en-US" w:eastAsia="zh-CN"/>
        </w:rPr>
        <w:t>3.1</w:t>
      </w:r>
      <w:r>
        <w:rPr>
          <w:rFonts w:hint="eastAsia" w:ascii="仿宋_GB2312" w:eastAsia="仿宋_GB2312" w:cs="仿宋_GB2312"/>
          <w:bCs/>
          <w:color w:val="auto"/>
          <w:kern w:val="0"/>
          <w:sz w:val="32"/>
          <w:szCs w:val="32"/>
          <w:highlight w:val="none"/>
        </w:rPr>
        <w:t>%；经营支出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本</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 xml:space="preserve"> 2020年度财政拨款收、支总决算 1501.92万元、1555.77万元。与 2019 年相比，财政拨款收、支总计各增加</w:t>
      </w:r>
      <w:r>
        <w:rPr>
          <w:rFonts w:hint="eastAsia" w:ascii="仿宋_GB2312" w:eastAsia="仿宋_GB2312" w:cs="仿宋_GB2312"/>
          <w:bCs/>
          <w:color w:val="auto"/>
          <w:kern w:val="0"/>
          <w:sz w:val="32"/>
          <w:szCs w:val="32"/>
          <w:highlight w:val="none"/>
          <w:lang w:val="en-US" w:eastAsia="zh-CN"/>
        </w:rPr>
        <w:t>208.39</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245.47万元，</w:t>
      </w:r>
      <w:r>
        <w:rPr>
          <w:rFonts w:hint="eastAsia" w:ascii="仿宋_GB2312" w:eastAsia="仿宋_GB2312" w:cs="仿宋_GB2312"/>
          <w:bCs/>
          <w:color w:val="auto"/>
          <w:kern w:val="0"/>
          <w:sz w:val="32"/>
          <w:szCs w:val="32"/>
          <w:highlight w:val="none"/>
          <w:lang w:eastAsia="zh-CN"/>
        </w:rPr>
        <w:t>分别</w:t>
      </w:r>
      <w:r>
        <w:rPr>
          <w:rFonts w:hint="eastAsia" w:ascii="仿宋_GB2312" w:eastAsia="仿宋_GB2312" w:cs="仿宋_GB2312"/>
          <w:bCs/>
          <w:color w:val="auto"/>
          <w:kern w:val="0"/>
          <w:sz w:val="32"/>
          <w:szCs w:val="32"/>
          <w:highlight w:val="none"/>
        </w:rPr>
        <w:t>增长</w:t>
      </w:r>
      <w:r>
        <w:rPr>
          <w:rFonts w:hint="eastAsia" w:ascii="仿宋_GB2312" w:eastAsia="仿宋_GB2312" w:cs="仿宋_GB2312"/>
          <w:bCs/>
          <w:color w:val="auto"/>
          <w:kern w:val="0"/>
          <w:sz w:val="32"/>
          <w:szCs w:val="32"/>
          <w:highlight w:val="none"/>
          <w:lang w:val="en-US" w:eastAsia="zh-CN"/>
        </w:rPr>
        <w:t>16.11</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,18.73%。</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 xml:space="preserve"> 2020年度财政拨款支出 1555.77 万元，占本年支出合计的 </w:t>
      </w:r>
      <w:r>
        <w:rPr>
          <w:rFonts w:hint="eastAsia" w:ascii="仿宋_GB2312" w:eastAsia="仿宋_GB2312" w:cs="仿宋_GB2312"/>
          <w:bCs/>
          <w:color w:val="auto"/>
          <w:kern w:val="0"/>
          <w:sz w:val="32"/>
          <w:szCs w:val="32"/>
          <w:highlight w:val="none"/>
          <w:lang w:val="en-US" w:eastAsia="zh-CN"/>
        </w:rPr>
        <w:t>89.65</w:t>
      </w:r>
      <w:r>
        <w:rPr>
          <w:rFonts w:hint="eastAsia" w:ascii="仿宋_GB2312" w:eastAsia="仿宋_GB2312" w:cs="仿宋_GB2312"/>
          <w:bCs/>
          <w:color w:val="auto"/>
          <w:kern w:val="0"/>
          <w:sz w:val="32"/>
          <w:szCs w:val="32"/>
          <w:highlight w:val="none"/>
        </w:rPr>
        <w:t>%。与 2019 年相比，财政拨款支出增</w:t>
      </w:r>
      <w:r>
        <w:rPr>
          <w:rFonts w:hint="eastAsia" w:ascii="仿宋_GB2312" w:eastAsia="仿宋_GB2312" w:cs="仿宋_GB2312"/>
          <w:bCs/>
          <w:color w:val="auto"/>
          <w:kern w:val="0"/>
          <w:sz w:val="32"/>
          <w:szCs w:val="32"/>
          <w:highlight w:val="none"/>
          <w:lang w:eastAsia="zh-CN"/>
        </w:rPr>
        <w:t>加</w:t>
      </w:r>
      <w:r>
        <w:rPr>
          <w:rFonts w:hint="eastAsia" w:ascii="仿宋_GB2312" w:eastAsia="仿宋_GB2312" w:cs="仿宋_GB2312"/>
          <w:bCs/>
          <w:color w:val="auto"/>
          <w:kern w:val="0"/>
          <w:sz w:val="32"/>
          <w:szCs w:val="32"/>
          <w:highlight w:val="none"/>
          <w:lang w:val="en-US" w:eastAsia="zh-CN"/>
        </w:rPr>
        <w:t>245.47</w:t>
      </w:r>
      <w:r>
        <w:rPr>
          <w:rFonts w:hint="eastAsia" w:ascii="仿宋_GB2312" w:eastAsia="仿宋_GB2312" w:cs="仿宋_GB2312"/>
          <w:bCs/>
          <w:color w:val="auto"/>
          <w:kern w:val="0"/>
          <w:sz w:val="32"/>
          <w:szCs w:val="32"/>
          <w:highlight w:val="none"/>
        </w:rPr>
        <w:t>万元，增加</w:t>
      </w:r>
      <w:r>
        <w:rPr>
          <w:rFonts w:hint="eastAsia" w:ascii="仿宋_GB2312" w:eastAsia="仿宋_GB2312" w:cs="仿宋_GB2312"/>
          <w:bCs/>
          <w:color w:val="auto"/>
          <w:kern w:val="0"/>
          <w:sz w:val="32"/>
          <w:szCs w:val="32"/>
          <w:highlight w:val="none"/>
          <w:lang w:val="en-US" w:eastAsia="zh-CN"/>
        </w:rPr>
        <w:t>18.73</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2020 年度财政拨款支出 1555.77 万元，主要用于以下方面：教育（类）支出1116.28万元，占</w:t>
      </w:r>
      <w:r>
        <w:rPr>
          <w:rFonts w:hint="eastAsia" w:ascii="仿宋_GB2312" w:eastAsia="仿宋_GB2312" w:cs="仿宋_GB2312"/>
          <w:bCs/>
          <w:color w:val="auto"/>
          <w:kern w:val="0"/>
          <w:sz w:val="32"/>
          <w:szCs w:val="32"/>
          <w:highlight w:val="none"/>
          <w:lang w:val="en-US" w:eastAsia="zh-CN"/>
        </w:rPr>
        <w:t>71.75</w:t>
      </w:r>
      <w:r>
        <w:rPr>
          <w:rFonts w:hint="eastAsia" w:ascii="仿宋_GB2312" w:eastAsia="仿宋_GB2312" w:cs="仿宋_GB2312"/>
          <w:bCs/>
          <w:color w:val="auto"/>
          <w:kern w:val="0"/>
          <w:sz w:val="32"/>
          <w:szCs w:val="32"/>
          <w:highlight w:val="none"/>
        </w:rPr>
        <w:t xml:space="preserve">%；社会保障和就业（类）支出259.66万元，占 </w:t>
      </w:r>
      <w:r>
        <w:rPr>
          <w:rFonts w:hint="eastAsia" w:ascii="仿宋_GB2312" w:eastAsia="仿宋_GB2312" w:cs="仿宋_GB2312"/>
          <w:bCs/>
          <w:color w:val="auto"/>
          <w:kern w:val="0"/>
          <w:sz w:val="32"/>
          <w:szCs w:val="32"/>
          <w:highlight w:val="none"/>
          <w:lang w:val="en-US" w:eastAsia="zh-CN"/>
        </w:rPr>
        <w:t>16.69</w:t>
      </w:r>
      <w:r>
        <w:rPr>
          <w:rFonts w:hint="eastAsia" w:ascii="仿宋_GB2312" w:eastAsia="仿宋_GB2312" w:cs="仿宋_GB2312"/>
          <w:bCs/>
          <w:color w:val="auto"/>
          <w:kern w:val="0"/>
          <w:sz w:val="32"/>
          <w:szCs w:val="32"/>
          <w:highlight w:val="none"/>
        </w:rPr>
        <w:t xml:space="preserve">%；卫生健康支出69.16 万元，占 </w:t>
      </w:r>
      <w:r>
        <w:rPr>
          <w:rFonts w:hint="eastAsia" w:ascii="仿宋_GB2312" w:eastAsia="仿宋_GB2312" w:cs="仿宋_GB2312"/>
          <w:bCs/>
          <w:color w:val="auto"/>
          <w:kern w:val="0"/>
          <w:sz w:val="32"/>
          <w:szCs w:val="32"/>
          <w:highlight w:val="none"/>
          <w:lang w:val="en-US" w:eastAsia="zh-CN"/>
        </w:rPr>
        <w:t>4.45</w:t>
      </w:r>
      <w:r>
        <w:rPr>
          <w:rFonts w:hint="eastAsia" w:ascii="仿宋_GB2312" w:eastAsia="仿宋_GB2312" w:cs="仿宋_GB2312"/>
          <w:bCs/>
          <w:color w:val="auto"/>
          <w:kern w:val="0"/>
          <w:sz w:val="32"/>
          <w:szCs w:val="32"/>
          <w:highlight w:val="none"/>
        </w:rPr>
        <w:t xml:space="preserve">%； 住房保障（类）支出110.66万元，占 </w:t>
      </w:r>
      <w:r>
        <w:rPr>
          <w:rFonts w:hint="eastAsia" w:ascii="仿宋_GB2312" w:eastAsia="仿宋_GB2312" w:cs="仿宋_GB2312"/>
          <w:bCs/>
          <w:color w:val="auto"/>
          <w:kern w:val="0"/>
          <w:sz w:val="32"/>
          <w:szCs w:val="32"/>
          <w:highlight w:val="none"/>
          <w:lang w:val="en-US" w:eastAsia="zh-CN"/>
        </w:rPr>
        <w:t>7.11</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 xml:space="preserve"> 2020 年度财政拨款支出年初预算为 </w:t>
      </w:r>
      <w:r>
        <w:rPr>
          <w:rFonts w:hint="eastAsia" w:ascii="仿宋_GB2312" w:eastAsia="仿宋_GB2312" w:cs="仿宋_GB2312"/>
          <w:bCs/>
          <w:color w:val="auto"/>
          <w:kern w:val="0"/>
          <w:sz w:val="32"/>
          <w:szCs w:val="32"/>
          <w:highlight w:val="none"/>
          <w:lang w:val="en-US" w:eastAsia="zh-CN"/>
        </w:rPr>
        <w:t>1433.80</w:t>
      </w:r>
      <w:r>
        <w:rPr>
          <w:rFonts w:hint="eastAsia" w:ascii="仿宋_GB2312" w:eastAsia="仿宋_GB2312" w:cs="仿宋_GB2312"/>
          <w:bCs/>
          <w:color w:val="auto"/>
          <w:kern w:val="0"/>
          <w:sz w:val="32"/>
          <w:szCs w:val="32"/>
          <w:highlight w:val="none"/>
        </w:rPr>
        <w:t>万元，支出决算为 1555.77万元。决算数大于预算数的主要原因：一是年中追加安排财政拨款支出预算，涉及项目有</w:t>
      </w:r>
      <w:r>
        <w:rPr>
          <w:rFonts w:hint="eastAsia" w:ascii="仿宋_GB2312" w:eastAsia="仿宋_GB2312" w:cs="仿宋_GB2312"/>
          <w:bCs/>
          <w:color w:val="auto"/>
          <w:kern w:val="0"/>
          <w:sz w:val="32"/>
          <w:szCs w:val="32"/>
          <w:highlight w:val="none"/>
          <w:lang w:eastAsia="zh-CN"/>
        </w:rPr>
        <w:t>公务员医疗补助等</w:t>
      </w:r>
      <w:r>
        <w:rPr>
          <w:rFonts w:hint="eastAsia" w:ascii="仿宋_GB2312" w:eastAsia="仿宋_GB2312" w:cs="仿宋_GB2312"/>
          <w:bCs/>
          <w:color w:val="auto"/>
          <w:kern w:val="0"/>
          <w:sz w:val="32"/>
          <w:szCs w:val="32"/>
          <w:highlight w:val="none"/>
        </w:rPr>
        <w:t>；二是部分支出按规定，通过使用以前年度财政拨款结转资金解决。</w:t>
      </w:r>
      <w:r>
        <w:rPr>
          <w:rFonts w:hint="eastAsia" w:ascii="仿宋_GB2312" w:eastAsia="仿宋_GB2312" w:cs="仿宋_GB2312"/>
          <w:bCs/>
          <w:color w:val="auto"/>
          <w:kern w:val="0"/>
          <w:sz w:val="32"/>
          <w:szCs w:val="32"/>
          <w:highlight w:val="none"/>
          <w:lang w:val="en-US" w:eastAsia="zh-CN"/>
        </w:rPr>
        <w:t>具体情况如下：</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10" w:leftChars="0" w:firstLine="640" w:firstLineChars="0"/>
        <w:jc w:val="both"/>
        <w:textAlignment w:val="auto"/>
        <w:rPr>
          <w:rFonts w:hint="eastAsia" w:ascii="仿宋_GB2312" w:hAnsi="黑体" w:eastAsia="仿宋_GB2312" w:cs="仿宋_GB2312"/>
          <w:b w:val="0"/>
          <w:bCs w:val="0"/>
          <w:color w:val="auto"/>
          <w:kern w:val="0"/>
          <w:sz w:val="32"/>
          <w:szCs w:val="32"/>
          <w:highlight w:val="none"/>
          <w:lang w:val="en-US" w:eastAsia="zh-CN"/>
        </w:rPr>
      </w:pPr>
      <w:r>
        <w:rPr>
          <w:rFonts w:hint="eastAsia" w:ascii="仿宋_GB2312" w:eastAsia="仿宋_GB2312"/>
          <w:bCs/>
          <w:color w:val="auto"/>
          <w:kern w:val="0"/>
          <w:sz w:val="32"/>
          <w:szCs w:val="32"/>
          <w:highlight w:val="none"/>
          <w:lang w:val="en-US" w:eastAsia="zh-CN"/>
        </w:rPr>
        <w:t>教育支出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205</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职业教育（</w:t>
      </w:r>
      <w:r>
        <w:rPr>
          <w:rFonts w:hint="eastAsia" w:ascii="仿宋_GB2312" w:eastAsia="仿宋_GB2312" w:cs="仿宋_GB2312"/>
          <w:bCs/>
          <w:color w:val="auto"/>
          <w:kern w:val="0"/>
          <w:sz w:val="32"/>
          <w:szCs w:val="32"/>
          <w:highlight w:val="none"/>
          <w:lang w:val="en-US" w:eastAsia="zh-CN"/>
        </w:rPr>
        <w:t>03</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）中等职业教育</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02</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color w:val="auto"/>
          <w:kern w:val="0"/>
          <w:sz w:val="32"/>
          <w:szCs w:val="32"/>
          <w:highlight w:val="none"/>
          <w:lang w:eastAsia="zh-CN"/>
        </w:rPr>
        <w:t>。</w:t>
      </w:r>
      <w:r>
        <w:rPr>
          <w:rFonts w:hint="eastAsia" w:ascii="仿宋_GB2312" w:hAnsi="黑体" w:eastAsia="仿宋_GB2312" w:cs="仿宋_GB2312"/>
          <w:color w:val="auto"/>
          <w:kern w:val="0"/>
          <w:sz w:val="32"/>
          <w:szCs w:val="32"/>
          <w:highlight w:val="none"/>
        </w:rPr>
        <w:t>年初预算为</w:t>
      </w:r>
      <w:r>
        <w:rPr>
          <w:rFonts w:hint="eastAsia" w:ascii="仿宋_GB2312" w:hAnsi="黑体" w:eastAsia="仿宋_GB2312" w:cs="仿宋_GB2312"/>
          <w:color w:val="auto"/>
          <w:kern w:val="0"/>
          <w:sz w:val="32"/>
          <w:szCs w:val="32"/>
          <w:highlight w:val="none"/>
          <w:lang w:val="en-US" w:eastAsia="zh-CN"/>
        </w:rPr>
        <w:t>1114.55</w:t>
      </w:r>
      <w:r>
        <w:rPr>
          <w:rFonts w:hint="eastAsia" w:ascii="仿宋_GB2312" w:hAnsi="黑体" w:eastAsia="仿宋_GB2312" w:cs="仿宋_GB2312"/>
          <w:color w:val="auto"/>
          <w:kern w:val="0"/>
          <w:sz w:val="32"/>
          <w:szCs w:val="32"/>
          <w:highlight w:val="none"/>
        </w:rPr>
        <w:t>万元，支出决算为</w:t>
      </w:r>
      <w:r>
        <w:rPr>
          <w:rFonts w:hint="eastAsia" w:ascii="仿宋_GB2312" w:hAnsi="黑体" w:eastAsia="仿宋_GB2312" w:cs="仿宋_GB2312"/>
          <w:color w:val="auto"/>
          <w:kern w:val="0"/>
          <w:sz w:val="32"/>
          <w:szCs w:val="32"/>
          <w:highlight w:val="none"/>
          <w:lang w:val="en-US" w:eastAsia="zh-CN"/>
        </w:rPr>
        <w:t>1115.41</w:t>
      </w:r>
      <w:r>
        <w:rPr>
          <w:rFonts w:hint="eastAsia" w:ascii="仿宋_GB2312" w:hAnsi="黑体" w:eastAsia="仿宋_GB2312" w:cs="仿宋_GB2312"/>
          <w:color w:val="auto"/>
          <w:kern w:val="0"/>
          <w:sz w:val="32"/>
          <w:szCs w:val="32"/>
          <w:highlight w:val="none"/>
        </w:rPr>
        <w:t>万元，完成年初预算的</w:t>
      </w:r>
      <w:r>
        <w:rPr>
          <w:rFonts w:hint="eastAsia" w:ascii="仿宋_GB2312" w:hAnsi="黑体" w:eastAsia="仿宋_GB2312" w:cs="仿宋_GB2312"/>
          <w:color w:val="auto"/>
          <w:kern w:val="0"/>
          <w:sz w:val="32"/>
          <w:szCs w:val="32"/>
          <w:highlight w:val="none"/>
          <w:lang w:val="en-US" w:eastAsia="zh-CN"/>
        </w:rPr>
        <w:t>100.08</w:t>
      </w:r>
      <w:r>
        <w:rPr>
          <w:rFonts w:hint="eastAsia" w:ascii="仿宋_GB2312" w:hAnsi="黑体" w:eastAsia="仿宋_GB2312" w:cs="仿宋_GB2312"/>
          <w:color w:val="auto"/>
          <w:kern w:val="0"/>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firstLine="640" w:firstLineChars="200"/>
        <w:jc w:val="both"/>
        <w:textAlignment w:val="auto"/>
        <w:rPr>
          <w:rFonts w:hint="eastAsia" w:ascii="仿宋_GB2312" w:hAnsi="黑体" w:eastAsia="仿宋_GB2312" w:cs="仿宋_GB2312"/>
          <w:b/>
          <w:bCs/>
          <w:color w:val="auto"/>
          <w:kern w:val="0"/>
          <w:sz w:val="32"/>
          <w:szCs w:val="32"/>
          <w:highlight w:val="none"/>
          <w:lang w:eastAsia="zh-CN"/>
        </w:rPr>
      </w:pPr>
      <w:r>
        <w:rPr>
          <w:rFonts w:hint="eastAsia" w:ascii="仿宋_GB2312" w:eastAsia="仿宋_GB2312"/>
          <w:bCs/>
          <w:color w:val="auto"/>
          <w:kern w:val="0"/>
          <w:sz w:val="32"/>
          <w:szCs w:val="32"/>
          <w:highlight w:val="none"/>
          <w:lang w:val="en-US" w:eastAsia="zh-CN"/>
        </w:rPr>
        <w:t>2、教育支出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205</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职业教育（</w:t>
      </w:r>
      <w:r>
        <w:rPr>
          <w:rFonts w:hint="eastAsia" w:ascii="仿宋_GB2312" w:eastAsia="仿宋_GB2312" w:cs="仿宋_GB2312"/>
          <w:bCs/>
          <w:color w:val="auto"/>
          <w:kern w:val="0"/>
          <w:sz w:val="32"/>
          <w:szCs w:val="32"/>
          <w:highlight w:val="none"/>
          <w:lang w:val="en-US" w:eastAsia="zh-CN"/>
        </w:rPr>
        <w:t>03</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lang w:val="en-US" w:eastAsia="zh-CN"/>
        </w:rPr>
        <w:t>技校教育</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03</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val="en-US" w:eastAsia="zh-CN"/>
        </w:rPr>
        <w:t>.年初预算为1.72万元，支出决算为0.86万元，完成年初预算的50%。</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b/>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3、</w:t>
      </w:r>
      <w:r>
        <w:rPr>
          <w:rFonts w:hint="eastAsia" w:ascii="仿宋_GB2312" w:eastAsia="仿宋_GB2312" w:cs="仿宋_GB2312"/>
          <w:bCs/>
          <w:color w:val="auto"/>
          <w:kern w:val="0"/>
          <w:sz w:val="32"/>
          <w:szCs w:val="32"/>
          <w:highlight w:val="none"/>
          <w:lang w:eastAsia="zh-CN"/>
        </w:rPr>
        <w:t>社会保障和就业支出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208</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05</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事业单位离退休</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02</w:t>
      </w:r>
      <w:r>
        <w:rPr>
          <w:rFonts w:hint="eastAsia" w:ascii="仿宋_GB2312" w:eastAsia="仿宋_GB2312" w:cs="仿宋_GB2312"/>
          <w:bCs/>
          <w:color w:val="auto"/>
          <w:kern w:val="0"/>
          <w:sz w:val="32"/>
          <w:szCs w:val="32"/>
          <w:highlight w:val="none"/>
        </w:rPr>
        <w:t>项）。</w:t>
      </w:r>
      <w:r>
        <w:rPr>
          <w:rFonts w:hint="eastAsia" w:ascii="仿宋_GB2312" w:hAnsi="黑体" w:eastAsia="仿宋_GB2312" w:cs="仿宋_GB2312"/>
          <w:color w:val="auto"/>
          <w:kern w:val="0"/>
          <w:sz w:val="32"/>
          <w:szCs w:val="32"/>
          <w:highlight w:val="none"/>
        </w:rPr>
        <w:t>年初预算为</w:t>
      </w:r>
      <w:r>
        <w:rPr>
          <w:rFonts w:hint="eastAsia" w:ascii="仿宋_GB2312" w:hAnsi="黑体" w:eastAsia="仿宋_GB2312" w:cs="仿宋_GB2312"/>
          <w:color w:val="auto"/>
          <w:kern w:val="0"/>
          <w:sz w:val="32"/>
          <w:szCs w:val="32"/>
          <w:highlight w:val="none"/>
          <w:lang w:val="en-US" w:eastAsia="zh-CN"/>
        </w:rPr>
        <w:t>38.34</w:t>
      </w:r>
      <w:r>
        <w:rPr>
          <w:rFonts w:hint="eastAsia" w:ascii="仿宋_GB2312" w:hAnsi="黑体" w:eastAsia="仿宋_GB2312" w:cs="仿宋_GB2312"/>
          <w:color w:val="auto"/>
          <w:kern w:val="0"/>
          <w:sz w:val="32"/>
          <w:szCs w:val="32"/>
          <w:highlight w:val="none"/>
        </w:rPr>
        <w:t>万元，支出决算为</w:t>
      </w:r>
      <w:r>
        <w:rPr>
          <w:rFonts w:hint="eastAsia" w:ascii="仿宋_GB2312" w:hAnsi="黑体" w:eastAsia="仿宋_GB2312" w:cs="仿宋_GB2312"/>
          <w:color w:val="auto"/>
          <w:kern w:val="0"/>
          <w:sz w:val="32"/>
          <w:szCs w:val="32"/>
          <w:highlight w:val="none"/>
          <w:lang w:val="en-US" w:eastAsia="zh-CN"/>
        </w:rPr>
        <w:t>38.34</w:t>
      </w:r>
      <w:r>
        <w:rPr>
          <w:rFonts w:hint="eastAsia" w:ascii="仿宋_GB2312" w:hAnsi="黑体" w:eastAsia="仿宋_GB2312" w:cs="仿宋_GB2312"/>
          <w:color w:val="auto"/>
          <w:kern w:val="0"/>
          <w:sz w:val="32"/>
          <w:szCs w:val="32"/>
          <w:highlight w:val="none"/>
        </w:rPr>
        <w:t>万元，完成年初预算的</w:t>
      </w:r>
      <w:r>
        <w:rPr>
          <w:rFonts w:hint="eastAsia" w:ascii="仿宋_GB2312" w:hAnsi="黑体" w:eastAsia="仿宋_GB2312" w:cs="仿宋_GB2312"/>
          <w:color w:val="auto"/>
          <w:kern w:val="0"/>
          <w:sz w:val="32"/>
          <w:szCs w:val="32"/>
          <w:highlight w:val="none"/>
          <w:lang w:val="en-US" w:eastAsia="zh-CN"/>
        </w:rPr>
        <w:t>100</w:t>
      </w:r>
      <w:r>
        <w:rPr>
          <w:rFonts w:hint="eastAsia" w:ascii="仿宋_GB2312" w:hAnsi="黑体" w:eastAsia="仿宋_GB2312" w:cs="仿宋_GB2312"/>
          <w:color w:val="auto"/>
          <w:kern w:val="0"/>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4、</w:t>
      </w:r>
      <w:r>
        <w:rPr>
          <w:rFonts w:hint="eastAsia" w:ascii="仿宋_GB2312" w:eastAsia="仿宋_GB2312" w:cs="仿宋_GB2312"/>
          <w:bCs/>
          <w:color w:val="auto"/>
          <w:kern w:val="0"/>
          <w:sz w:val="32"/>
          <w:szCs w:val="32"/>
          <w:highlight w:val="none"/>
          <w:lang w:eastAsia="zh-CN"/>
        </w:rPr>
        <w:t>社会保障和就业支出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208</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05</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机关事业单位基本养老保险缴费支出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05</w:t>
      </w:r>
      <w:r>
        <w:rPr>
          <w:rFonts w:hint="eastAsia" w:ascii="仿宋_GB2312" w:eastAsia="仿宋_GB2312" w:cs="仿宋_GB2312"/>
          <w:bCs/>
          <w:color w:val="auto"/>
          <w:kern w:val="0"/>
          <w:sz w:val="32"/>
          <w:szCs w:val="32"/>
          <w:highlight w:val="none"/>
        </w:rPr>
        <w:t>项）。</w:t>
      </w:r>
      <w:r>
        <w:rPr>
          <w:rFonts w:hint="eastAsia" w:ascii="仿宋_GB2312" w:hAnsi="黑体" w:eastAsia="仿宋_GB2312" w:cs="仿宋_GB2312"/>
          <w:color w:val="auto"/>
          <w:kern w:val="0"/>
          <w:sz w:val="32"/>
          <w:szCs w:val="32"/>
          <w:highlight w:val="none"/>
        </w:rPr>
        <w:t>年初预算为</w:t>
      </w:r>
      <w:r>
        <w:rPr>
          <w:rFonts w:hint="eastAsia" w:ascii="仿宋_GB2312" w:hAnsi="黑体" w:eastAsia="仿宋_GB2312" w:cs="仿宋_GB2312"/>
          <w:color w:val="auto"/>
          <w:kern w:val="0"/>
          <w:sz w:val="32"/>
          <w:szCs w:val="32"/>
          <w:highlight w:val="none"/>
          <w:lang w:val="en-US" w:eastAsia="zh-CN"/>
        </w:rPr>
        <w:t>147.55</w:t>
      </w:r>
      <w:r>
        <w:rPr>
          <w:rFonts w:hint="eastAsia" w:ascii="仿宋_GB2312" w:hAnsi="黑体" w:eastAsia="仿宋_GB2312" w:cs="仿宋_GB2312"/>
          <w:color w:val="auto"/>
          <w:kern w:val="0"/>
          <w:sz w:val="32"/>
          <w:szCs w:val="32"/>
          <w:highlight w:val="none"/>
        </w:rPr>
        <w:t>万元，支出决算为14</w:t>
      </w:r>
      <w:r>
        <w:rPr>
          <w:rFonts w:hint="eastAsia" w:ascii="仿宋_GB2312" w:hAnsi="黑体" w:eastAsia="仿宋_GB2312" w:cs="仿宋_GB2312"/>
          <w:color w:val="auto"/>
          <w:kern w:val="0"/>
          <w:sz w:val="32"/>
          <w:szCs w:val="32"/>
          <w:highlight w:val="none"/>
          <w:lang w:val="en-US" w:eastAsia="zh-CN"/>
        </w:rPr>
        <w:t>7.55</w:t>
      </w:r>
      <w:r>
        <w:rPr>
          <w:rFonts w:hint="eastAsia" w:ascii="仿宋_GB2312" w:hAnsi="黑体" w:eastAsia="仿宋_GB2312" w:cs="仿宋_GB2312"/>
          <w:color w:val="auto"/>
          <w:kern w:val="0"/>
          <w:sz w:val="32"/>
          <w:szCs w:val="32"/>
          <w:highlight w:val="none"/>
        </w:rPr>
        <w:t>万元，完成年初预算的</w:t>
      </w:r>
      <w:r>
        <w:rPr>
          <w:rFonts w:hint="eastAsia" w:ascii="仿宋_GB2312" w:hAnsi="黑体" w:eastAsia="仿宋_GB2312" w:cs="仿宋_GB2312"/>
          <w:color w:val="auto"/>
          <w:kern w:val="0"/>
          <w:sz w:val="32"/>
          <w:szCs w:val="32"/>
          <w:highlight w:val="none"/>
          <w:lang w:val="en-US" w:eastAsia="zh-CN"/>
        </w:rPr>
        <w:t>100</w:t>
      </w:r>
      <w:r>
        <w:rPr>
          <w:rFonts w:hint="eastAsia" w:ascii="仿宋_GB2312" w:hAnsi="黑体"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5、</w:t>
      </w:r>
      <w:r>
        <w:rPr>
          <w:rFonts w:hint="eastAsia" w:ascii="仿宋_GB2312" w:eastAsia="仿宋_GB2312" w:cs="仿宋_GB2312"/>
          <w:bCs/>
          <w:color w:val="auto"/>
          <w:kern w:val="0"/>
          <w:sz w:val="32"/>
          <w:szCs w:val="32"/>
          <w:highlight w:val="none"/>
          <w:lang w:eastAsia="zh-CN"/>
        </w:rPr>
        <w:t>社会保障和就业支出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208</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05</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机关事业单位职业年金缴费支出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06</w:t>
      </w:r>
      <w:r>
        <w:rPr>
          <w:rFonts w:hint="eastAsia" w:ascii="仿宋_GB2312" w:eastAsia="仿宋_GB2312" w:cs="仿宋_GB2312"/>
          <w:bCs/>
          <w:color w:val="auto"/>
          <w:kern w:val="0"/>
          <w:sz w:val="32"/>
          <w:szCs w:val="32"/>
          <w:highlight w:val="none"/>
        </w:rPr>
        <w:t>项）。</w:t>
      </w:r>
      <w:r>
        <w:rPr>
          <w:rFonts w:hint="eastAsia" w:ascii="仿宋_GB2312" w:hAnsi="黑体" w:eastAsia="仿宋_GB2312" w:cs="仿宋_GB2312"/>
          <w:color w:val="auto"/>
          <w:kern w:val="0"/>
          <w:sz w:val="32"/>
          <w:szCs w:val="32"/>
          <w:highlight w:val="none"/>
        </w:rPr>
        <w:t>年初预算为</w:t>
      </w:r>
      <w:r>
        <w:rPr>
          <w:rFonts w:hint="eastAsia" w:ascii="仿宋_GB2312" w:hAnsi="黑体" w:eastAsia="仿宋_GB2312" w:cs="仿宋_GB2312"/>
          <w:color w:val="auto"/>
          <w:kern w:val="0"/>
          <w:sz w:val="32"/>
          <w:szCs w:val="32"/>
          <w:highlight w:val="none"/>
          <w:lang w:val="en-US" w:eastAsia="zh-CN"/>
        </w:rPr>
        <w:t>73.77</w:t>
      </w:r>
      <w:r>
        <w:rPr>
          <w:rFonts w:hint="eastAsia" w:ascii="仿宋_GB2312" w:hAnsi="黑体" w:eastAsia="仿宋_GB2312" w:cs="仿宋_GB2312"/>
          <w:color w:val="auto"/>
          <w:kern w:val="0"/>
          <w:sz w:val="32"/>
          <w:szCs w:val="32"/>
          <w:highlight w:val="none"/>
        </w:rPr>
        <w:t>万元，支出决算为</w:t>
      </w:r>
      <w:r>
        <w:rPr>
          <w:rFonts w:hint="eastAsia" w:ascii="仿宋_GB2312" w:hAnsi="黑体" w:eastAsia="仿宋_GB2312" w:cs="仿宋_GB2312"/>
          <w:color w:val="auto"/>
          <w:kern w:val="0"/>
          <w:sz w:val="32"/>
          <w:szCs w:val="32"/>
          <w:highlight w:val="none"/>
          <w:lang w:val="en-US" w:eastAsia="zh-CN"/>
        </w:rPr>
        <w:t>73.77</w:t>
      </w:r>
      <w:r>
        <w:rPr>
          <w:rFonts w:hint="eastAsia" w:ascii="仿宋_GB2312" w:hAnsi="黑体" w:eastAsia="仿宋_GB2312" w:cs="仿宋_GB2312"/>
          <w:color w:val="auto"/>
          <w:kern w:val="0"/>
          <w:sz w:val="32"/>
          <w:szCs w:val="32"/>
          <w:highlight w:val="none"/>
        </w:rPr>
        <w:t>万元，完成年初预算的</w:t>
      </w:r>
      <w:r>
        <w:rPr>
          <w:rFonts w:hint="eastAsia" w:ascii="仿宋_GB2312" w:hAnsi="黑体" w:eastAsia="仿宋_GB2312" w:cs="仿宋_GB2312"/>
          <w:color w:val="auto"/>
          <w:kern w:val="0"/>
          <w:sz w:val="32"/>
          <w:szCs w:val="32"/>
          <w:highlight w:val="none"/>
          <w:lang w:val="en-US" w:eastAsia="zh-CN"/>
        </w:rPr>
        <w:t>100</w:t>
      </w:r>
      <w:r>
        <w:rPr>
          <w:rFonts w:hint="eastAsia" w:ascii="仿宋_GB2312" w:hAnsi="黑体"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val="en-US" w:eastAsia="zh-CN"/>
        </w:rPr>
        <w:t>6、</w:t>
      </w:r>
      <w:r>
        <w:rPr>
          <w:rFonts w:hint="eastAsia" w:ascii="仿宋_GB2312" w:eastAsia="仿宋_GB2312" w:cs="仿宋_GB2312"/>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210</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11</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事业单位医疗</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02</w:t>
      </w:r>
      <w:r>
        <w:rPr>
          <w:rFonts w:hint="eastAsia" w:ascii="仿宋_GB2312" w:eastAsia="仿宋_GB2312" w:cs="仿宋_GB2312"/>
          <w:bCs/>
          <w:color w:val="auto"/>
          <w:kern w:val="0"/>
          <w:sz w:val="32"/>
          <w:szCs w:val="32"/>
          <w:highlight w:val="none"/>
        </w:rPr>
        <w:t>项）。</w:t>
      </w:r>
      <w:r>
        <w:rPr>
          <w:rFonts w:hint="eastAsia" w:ascii="仿宋_GB2312" w:hAnsi="黑体" w:eastAsia="仿宋_GB2312" w:cs="仿宋_GB2312"/>
          <w:color w:val="auto"/>
          <w:kern w:val="0"/>
          <w:sz w:val="32"/>
          <w:szCs w:val="32"/>
          <w:highlight w:val="none"/>
        </w:rPr>
        <w:t>年初预算为</w:t>
      </w:r>
      <w:r>
        <w:rPr>
          <w:rFonts w:hint="eastAsia" w:ascii="仿宋_GB2312" w:hAnsi="黑体" w:eastAsia="仿宋_GB2312" w:cs="仿宋_GB2312"/>
          <w:color w:val="auto"/>
          <w:kern w:val="0"/>
          <w:sz w:val="32"/>
          <w:szCs w:val="32"/>
          <w:highlight w:val="none"/>
          <w:lang w:val="en-US" w:eastAsia="zh-CN"/>
        </w:rPr>
        <w:t>69.16</w:t>
      </w:r>
      <w:r>
        <w:rPr>
          <w:rFonts w:hint="eastAsia" w:ascii="仿宋_GB2312" w:hAnsi="黑体" w:eastAsia="仿宋_GB2312" w:cs="仿宋_GB2312"/>
          <w:color w:val="auto"/>
          <w:kern w:val="0"/>
          <w:sz w:val="32"/>
          <w:szCs w:val="32"/>
          <w:highlight w:val="none"/>
        </w:rPr>
        <w:t>万元，支出决算为</w:t>
      </w:r>
      <w:r>
        <w:rPr>
          <w:rFonts w:hint="eastAsia" w:ascii="仿宋_GB2312" w:hAnsi="黑体" w:eastAsia="仿宋_GB2312" w:cs="仿宋_GB2312"/>
          <w:color w:val="auto"/>
          <w:kern w:val="0"/>
          <w:sz w:val="32"/>
          <w:szCs w:val="32"/>
          <w:highlight w:val="none"/>
          <w:lang w:val="en-US" w:eastAsia="zh-CN"/>
        </w:rPr>
        <w:t>69.16</w:t>
      </w:r>
      <w:r>
        <w:rPr>
          <w:rFonts w:hint="eastAsia" w:ascii="仿宋_GB2312" w:hAnsi="黑体" w:eastAsia="仿宋_GB2312" w:cs="仿宋_GB2312"/>
          <w:color w:val="auto"/>
          <w:kern w:val="0"/>
          <w:sz w:val="32"/>
          <w:szCs w:val="32"/>
          <w:highlight w:val="none"/>
        </w:rPr>
        <w:t>万元，完成年初预算的</w:t>
      </w:r>
      <w:r>
        <w:rPr>
          <w:rFonts w:hint="eastAsia" w:ascii="仿宋_GB2312" w:hAnsi="黑体" w:eastAsia="仿宋_GB2312" w:cs="仿宋_GB2312"/>
          <w:color w:val="auto"/>
          <w:kern w:val="0"/>
          <w:sz w:val="32"/>
          <w:szCs w:val="32"/>
          <w:highlight w:val="none"/>
          <w:lang w:val="en-US" w:eastAsia="zh-CN"/>
        </w:rPr>
        <w:t>100</w:t>
      </w:r>
      <w:r>
        <w:rPr>
          <w:rFonts w:hint="eastAsia" w:ascii="仿宋_GB2312" w:hAnsi="黑体"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lang w:val="en-US" w:eastAsia="zh-CN"/>
        </w:rPr>
        <w:t>7、</w:t>
      </w:r>
      <w:r>
        <w:rPr>
          <w:rFonts w:hint="eastAsia" w:ascii="仿宋_GB2312" w:eastAsia="仿宋_GB2312" w:cs="仿宋_GB2312"/>
          <w:color w:val="auto"/>
          <w:kern w:val="0"/>
          <w:sz w:val="32"/>
          <w:szCs w:val="32"/>
          <w:highlight w:val="none"/>
          <w:lang w:eastAsia="zh-CN"/>
        </w:rPr>
        <w:t>住房保障支出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221</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住房改革支出</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02</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住房公积金</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01</w:t>
      </w:r>
      <w:r>
        <w:rPr>
          <w:rFonts w:hint="eastAsia" w:ascii="仿宋_GB2312" w:eastAsia="仿宋_GB2312" w:cs="仿宋_GB2312"/>
          <w:bCs/>
          <w:color w:val="auto"/>
          <w:kern w:val="0"/>
          <w:sz w:val="32"/>
          <w:szCs w:val="32"/>
          <w:highlight w:val="none"/>
        </w:rPr>
        <w:t>项）。</w:t>
      </w:r>
      <w:r>
        <w:rPr>
          <w:rFonts w:hint="eastAsia" w:ascii="仿宋_GB2312" w:hAnsi="黑体" w:eastAsia="仿宋_GB2312" w:cs="仿宋_GB2312"/>
          <w:color w:val="auto"/>
          <w:kern w:val="0"/>
          <w:sz w:val="32"/>
          <w:szCs w:val="32"/>
          <w:highlight w:val="none"/>
        </w:rPr>
        <w:t>年初预算为</w:t>
      </w:r>
      <w:r>
        <w:rPr>
          <w:rFonts w:hint="eastAsia" w:ascii="仿宋_GB2312" w:hAnsi="黑体" w:eastAsia="仿宋_GB2312" w:cs="仿宋_GB2312"/>
          <w:color w:val="auto"/>
          <w:kern w:val="0"/>
          <w:sz w:val="32"/>
          <w:szCs w:val="32"/>
          <w:highlight w:val="none"/>
          <w:lang w:val="en-US" w:eastAsia="zh-CN"/>
        </w:rPr>
        <w:t>110.68</w:t>
      </w:r>
      <w:r>
        <w:rPr>
          <w:rFonts w:hint="eastAsia" w:ascii="仿宋_GB2312" w:hAnsi="黑体" w:eastAsia="仿宋_GB2312" w:cs="仿宋_GB2312"/>
          <w:color w:val="auto"/>
          <w:kern w:val="0"/>
          <w:sz w:val="32"/>
          <w:szCs w:val="32"/>
          <w:highlight w:val="none"/>
        </w:rPr>
        <w:t>万元，支出决算为</w:t>
      </w:r>
      <w:r>
        <w:rPr>
          <w:rFonts w:hint="eastAsia" w:ascii="仿宋_GB2312" w:hAnsi="黑体" w:eastAsia="仿宋_GB2312" w:cs="仿宋_GB2312"/>
          <w:color w:val="auto"/>
          <w:kern w:val="0"/>
          <w:sz w:val="32"/>
          <w:szCs w:val="32"/>
          <w:highlight w:val="none"/>
          <w:lang w:val="en-US" w:eastAsia="zh-CN"/>
        </w:rPr>
        <w:t>110.66</w:t>
      </w:r>
      <w:r>
        <w:rPr>
          <w:rFonts w:hint="eastAsia" w:ascii="仿宋_GB2312" w:hAnsi="黑体" w:eastAsia="仿宋_GB2312" w:cs="仿宋_GB2312"/>
          <w:color w:val="auto"/>
          <w:kern w:val="0"/>
          <w:sz w:val="32"/>
          <w:szCs w:val="32"/>
          <w:highlight w:val="none"/>
        </w:rPr>
        <w:t>万元，完成年初预算的</w:t>
      </w:r>
      <w:r>
        <w:rPr>
          <w:rFonts w:hint="eastAsia" w:ascii="仿宋_GB2312" w:hAnsi="黑体" w:eastAsia="仿宋_GB2312" w:cs="仿宋_GB2312"/>
          <w:color w:val="auto"/>
          <w:kern w:val="0"/>
          <w:sz w:val="32"/>
          <w:szCs w:val="32"/>
          <w:highlight w:val="none"/>
          <w:lang w:val="en-US" w:eastAsia="zh-CN"/>
        </w:rPr>
        <w:t>99.98</w:t>
      </w:r>
      <w:r>
        <w:rPr>
          <w:rFonts w:hint="eastAsia" w:ascii="仿宋_GB2312" w:hAnsi="黑体" w:eastAsia="仿宋_GB2312" w:cs="仿宋_GB2312"/>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六、</w:t>
      </w:r>
      <w:r>
        <w:rPr>
          <w:rFonts w:hint="eastAsia" w:ascii="仿宋_GB2312" w:eastAsia="仿宋_GB2312" w:cs="仿宋_GB2312"/>
          <w:b/>
          <w:color w:val="auto"/>
          <w:kern w:val="0"/>
          <w:sz w:val="32"/>
          <w:szCs w:val="32"/>
          <w:highlight w:val="none"/>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2020年度财政拨款基本支出1501.92万元，其中：</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人员经费1460.59万元，主要包括：基本工资、津贴补贴、绩效工资、机关事业单位基本养老保险缴费、职业年金缴费、其他社会保障缴费、其他工资福利支出、退休费、生活补助、住房公积金；</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公用经费41.33万元，主要包括：办公费、印刷费、手续费、水费、电费、物业管理费、差旅费、维修（护）费、租赁费、专用材料费、劳务费、工会经费</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七、</w:t>
      </w:r>
      <w:r>
        <w:rPr>
          <w:rFonts w:hint="eastAsia" w:ascii="仿宋_GB2312" w:eastAsia="仿宋_GB2312" w:cs="仿宋_GB2312"/>
          <w:b/>
          <w:color w:val="auto"/>
          <w:kern w:val="0"/>
          <w:sz w:val="32"/>
          <w:szCs w:val="32"/>
          <w:highlight w:val="none"/>
        </w:rPr>
        <w:t>2020年度一般公共预算财政拨款“三公” 经费支出决算情况</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eastAsia="zh-CN"/>
        </w:rPr>
        <w:t>本单位2020年度一般公共预算财政拨款“三公” 经费无支出。</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val="en-US" w:eastAsia="zh-CN"/>
        </w:rPr>
        <w:t xml:space="preserve"> </w:t>
      </w:r>
      <w:r>
        <w:rPr>
          <w:rFonts w:hint="eastAsia" w:ascii="仿宋_GB2312" w:eastAsia="仿宋_GB2312" w:cs="仿宋_GB2312"/>
          <w:bCs/>
          <w:color w:val="auto"/>
          <w:kern w:val="0"/>
          <w:sz w:val="32"/>
          <w:szCs w:val="32"/>
          <w:highlight w:val="none"/>
        </w:rPr>
        <w:t>八、</w:t>
      </w:r>
      <w:r>
        <w:rPr>
          <w:rFonts w:hint="eastAsia" w:ascii="仿宋_GB2312" w:eastAsia="仿宋_GB2312" w:cs="仿宋_GB2312"/>
          <w:b/>
          <w:color w:val="auto"/>
          <w:kern w:val="0"/>
          <w:sz w:val="32"/>
          <w:szCs w:val="32"/>
          <w:highlight w:val="none"/>
        </w:rPr>
        <w:t xml:space="preserve">2020 年度政府性基金预算财政拨款收入支出决算情况说明 </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val="en-US" w:eastAsia="zh-CN"/>
        </w:rPr>
        <w:t xml:space="preserve"> </w:t>
      </w:r>
      <w:r>
        <w:rPr>
          <w:rFonts w:hint="eastAsia" w:ascii="仿宋_GB2312" w:eastAsia="仿宋_GB2312" w:cs="仿宋_GB2312"/>
          <w:bCs/>
          <w:color w:val="auto"/>
          <w:kern w:val="0"/>
          <w:sz w:val="32"/>
          <w:szCs w:val="32"/>
          <w:highlight w:val="none"/>
          <w:lang w:eastAsia="zh-CN"/>
        </w:rPr>
        <w:t>本单位</w:t>
      </w:r>
      <w:r>
        <w:rPr>
          <w:rFonts w:hint="eastAsia" w:ascii="仿宋_GB2312" w:eastAsia="仿宋_GB2312" w:cs="仿宋_GB2312"/>
          <w:bCs/>
          <w:color w:val="auto"/>
          <w:kern w:val="0"/>
          <w:sz w:val="32"/>
          <w:szCs w:val="32"/>
          <w:highlight w:val="none"/>
        </w:rPr>
        <w:t>2020年度政府</w:t>
      </w:r>
      <w:r>
        <w:rPr>
          <w:rFonts w:hint="eastAsia" w:ascii="仿宋_GB2312" w:eastAsia="仿宋_GB2312" w:cs="仿宋_GB2312"/>
          <w:bCs/>
          <w:color w:val="auto"/>
          <w:kern w:val="0"/>
          <w:sz w:val="32"/>
          <w:szCs w:val="32"/>
          <w:highlight w:val="none"/>
          <w:lang w:val="en-US" w:eastAsia="zh-CN"/>
        </w:rPr>
        <w:t>性</w:t>
      </w:r>
      <w:bookmarkStart w:id="0" w:name="_GoBack"/>
      <w:bookmarkEnd w:id="0"/>
      <w:r>
        <w:rPr>
          <w:rFonts w:hint="eastAsia" w:ascii="仿宋_GB2312" w:eastAsia="仿宋_GB2312" w:cs="仿宋_GB2312"/>
          <w:bCs/>
          <w:color w:val="auto"/>
          <w:kern w:val="0"/>
          <w:sz w:val="32"/>
          <w:szCs w:val="32"/>
          <w:highlight w:val="none"/>
        </w:rPr>
        <w:t>基金预算财政拨款</w:t>
      </w:r>
      <w:r>
        <w:rPr>
          <w:rFonts w:hint="eastAsia" w:ascii="仿宋_GB2312" w:eastAsia="仿宋_GB2312" w:cs="仿宋_GB2312"/>
          <w:bCs/>
          <w:color w:val="auto"/>
          <w:kern w:val="0"/>
          <w:sz w:val="32"/>
          <w:szCs w:val="32"/>
          <w:highlight w:val="none"/>
          <w:lang w:eastAsia="zh-CN"/>
        </w:rPr>
        <w:t>无</w:t>
      </w:r>
      <w:r>
        <w:rPr>
          <w:rFonts w:hint="eastAsia" w:ascii="仿宋_GB2312" w:eastAsia="仿宋_GB2312" w:cs="仿宋_GB2312"/>
          <w:bCs/>
          <w:color w:val="auto"/>
          <w:kern w:val="0"/>
          <w:sz w:val="32"/>
          <w:szCs w:val="32"/>
          <w:highlight w:val="none"/>
        </w:rPr>
        <w:t>收支。</w:t>
      </w:r>
    </w:p>
    <w:p>
      <w:pPr>
        <w:numPr>
          <w:ilvl w:val="0"/>
          <w:numId w:val="3"/>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lang w:eastAsia="zh-CN"/>
        </w:rPr>
      </w:pPr>
      <w:r>
        <w:rPr>
          <w:rFonts w:hint="eastAsia" w:ascii="仿宋_GB2312" w:eastAsia="仿宋_GB2312" w:cs="仿宋_GB2312"/>
          <w:b/>
          <w:color w:val="auto"/>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 xml:space="preserve">    </w:t>
      </w:r>
      <w:r>
        <w:rPr>
          <w:rFonts w:hint="eastAsia" w:ascii="仿宋_GB2312" w:eastAsia="仿宋_GB2312" w:cs="仿宋_GB2312"/>
          <w:b w:val="0"/>
          <w:bCs/>
          <w:color w:val="auto"/>
          <w:kern w:val="0"/>
          <w:sz w:val="32"/>
          <w:szCs w:val="32"/>
          <w:highlight w:val="none"/>
          <w:lang w:val="en-US" w:eastAsia="zh-CN"/>
        </w:rPr>
        <w:t>本单位2020年度国有资本经营预算财政拨款本年无支出。</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十、其他重要事项的情况</w:t>
      </w:r>
    </w:p>
    <w:p>
      <w:pPr>
        <w:autoSpaceDE w:val="0"/>
        <w:autoSpaceDN w:val="0"/>
        <w:adjustRightInd w:val="0"/>
        <w:spacing w:line="580" w:lineRule="exact"/>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s="仿宋_GB2312"/>
          <w:color w:val="auto"/>
          <w:kern w:val="0"/>
          <w:sz w:val="32"/>
          <w:szCs w:val="32"/>
          <w:highlight w:val="none"/>
          <w:lang w:eastAsia="zh-CN"/>
        </w:rPr>
        <w:t>本单位无</w:t>
      </w:r>
      <w:r>
        <w:rPr>
          <w:rFonts w:hint="eastAsia" w:ascii="仿宋_GB2312" w:eastAsia="仿宋_GB2312" w:cs="仿宋_GB2312"/>
          <w:color w:val="auto"/>
          <w:kern w:val="0"/>
          <w:sz w:val="32"/>
          <w:szCs w:val="32"/>
          <w:highlight w:val="none"/>
        </w:rPr>
        <w:t>机关运行经费支出。</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s="仿宋_GB2312"/>
          <w:color w:val="auto"/>
          <w:kern w:val="0"/>
          <w:sz w:val="32"/>
          <w:szCs w:val="32"/>
          <w:highlight w:val="none"/>
          <w:lang w:eastAsia="zh-CN"/>
        </w:rPr>
        <w:t>本单位无</w:t>
      </w:r>
      <w:r>
        <w:rPr>
          <w:rFonts w:hint="eastAsia" w:ascii="仿宋_GB2312" w:eastAsia="仿宋_GB2312" w:cs="仿宋_GB2312"/>
          <w:color w:val="auto"/>
          <w:kern w:val="0"/>
          <w:sz w:val="32"/>
          <w:szCs w:val="32"/>
          <w:highlight w:val="none"/>
        </w:rPr>
        <w:t>政府采购支出。</w:t>
      </w:r>
    </w:p>
    <w:p>
      <w:pPr>
        <w:autoSpaceDE w:val="0"/>
        <w:autoSpaceDN w:val="0"/>
        <w:adjustRightInd w:val="0"/>
        <w:spacing w:line="580" w:lineRule="exact"/>
        <w:ind w:firstLine="627" w:firstLineChars="196"/>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ascii="仿宋_GB2312" w:eastAsia="仿宋_GB2312" w:cs="仿宋_GB2312"/>
          <w:color w:val="auto"/>
          <w:kern w:val="0"/>
          <w:sz w:val="32"/>
          <w:szCs w:val="32"/>
          <w:highlight w:val="none"/>
          <w:lang w:eastAsia="zh-CN"/>
        </w:rPr>
        <w:t>本单位无</w:t>
      </w:r>
      <w:r>
        <w:rPr>
          <w:rFonts w:hint="eastAsia" w:ascii="仿宋_GB2312" w:eastAsia="仿宋_GB2312" w:cs="仿宋_GB2312"/>
          <w:color w:val="auto"/>
          <w:kern w:val="0"/>
          <w:sz w:val="32"/>
          <w:szCs w:val="32"/>
          <w:highlight w:val="none"/>
        </w:rPr>
        <w:t xml:space="preserve">国有资产占用情况。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auto"/>
          <w:kern w:val="0"/>
          <w:sz w:val="32"/>
          <w:szCs w:val="32"/>
          <w:highlight w:val="none"/>
        </w:rPr>
      </w:pPr>
      <w:r>
        <w:rPr>
          <w:rFonts w:hint="eastAsia" w:ascii="楷体_GB2312" w:eastAsia="楷体_GB2312" w:cs="仿宋_GB2312"/>
          <w:color w:val="auto"/>
          <w:kern w:val="0"/>
          <w:sz w:val="32"/>
          <w:szCs w:val="32"/>
          <w:highlight w:val="none"/>
        </w:rPr>
        <w:t>（四）预算绩效管理工作开展情况。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color w:val="auto"/>
          <w:kern w:val="0"/>
          <w:sz w:val="32"/>
          <w:szCs w:val="32"/>
          <w:highlight w:val="none"/>
        </w:rPr>
      </w:pPr>
      <w:r>
        <w:rPr>
          <w:rFonts w:hint="eastAsia" w:ascii="仿宋_GB2312" w:eastAsia="仿宋_GB2312" w:cs="仿宋_GB2312"/>
          <w:b w:val="0"/>
          <w:bCs/>
          <w:color w:val="auto"/>
          <w:kern w:val="0"/>
          <w:sz w:val="32"/>
          <w:szCs w:val="32"/>
          <w:highlight w:val="none"/>
          <w:lang w:eastAsia="zh-CN"/>
        </w:rPr>
        <w:t>本单位无</w:t>
      </w:r>
      <w:r>
        <w:rPr>
          <w:rFonts w:hint="eastAsia" w:ascii="仿宋_GB2312" w:eastAsia="仿宋_GB2312" w:cs="仿宋_GB2312"/>
          <w:b w:val="0"/>
          <w:bCs/>
          <w:color w:val="auto"/>
          <w:kern w:val="0"/>
          <w:sz w:val="32"/>
          <w:szCs w:val="32"/>
          <w:highlight w:val="none"/>
          <w:lang w:val="en-US" w:eastAsia="zh-CN"/>
        </w:rPr>
        <w:t>2020年度一般公共预算项目支出，故</w:t>
      </w:r>
      <w:r>
        <w:rPr>
          <w:rFonts w:hint="eastAsia" w:ascii="仿宋_GB2312" w:eastAsia="仿宋_GB2312" w:cs="仿宋_GB2312"/>
          <w:b w:val="0"/>
          <w:bCs/>
          <w:color w:val="auto"/>
          <w:kern w:val="0"/>
          <w:sz w:val="32"/>
          <w:szCs w:val="32"/>
          <w:highlight w:val="none"/>
        </w:rPr>
        <w:t>本</w:t>
      </w:r>
      <w:r>
        <w:rPr>
          <w:rFonts w:hint="eastAsia" w:ascii="仿宋_GB2312" w:eastAsia="仿宋_GB2312" w:cs="仿宋_GB2312"/>
          <w:b w:val="0"/>
          <w:bCs/>
          <w:color w:val="auto"/>
          <w:kern w:val="0"/>
          <w:sz w:val="32"/>
          <w:szCs w:val="32"/>
          <w:highlight w:val="none"/>
          <w:lang w:eastAsia="zh-CN"/>
        </w:rPr>
        <w:t>单位</w:t>
      </w:r>
      <w:r>
        <w:rPr>
          <w:rFonts w:hint="eastAsia" w:ascii="仿宋_GB2312" w:eastAsia="仿宋_GB2312" w:cs="仿宋_GB2312"/>
          <w:b w:val="0"/>
          <w:bCs/>
          <w:color w:val="auto"/>
          <w:kern w:val="0"/>
          <w:sz w:val="32"/>
          <w:szCs w:val="32"/>
          <w:highlight w:val="none"/>
        </w:rPr>
        <w:t>未开展预算绩效管理工作</w:t>
      </w:r>
      <w:r>
        <w:rPr>
          <w:rFonts w:hint="eastAsia" w:ascii="仿宋_GB2312" w:eastAsia="仿宋_GB2312" w:cs="仿宋_GB2312"/>
          <w:b w:val="0"/>
          <w:bCs/>
          <w:color w:val="auto"/>
          <w:kern w:val="0"/>
          <w:sz w:val="32"/>
          <w:szCs w:val="32"/>
          <w:highlight w:val="none"/>
          <w:lang w:eastAsia="zh-CN"/>
        </w:rPr>
        <w:t>。</w:t>
      </w:r>
    </w:p>
    <w:p>
      <w:pPr>
        <w:autoSpaceDE w:val="0"/>
        <w:autoSpaceDN w:val="0"/>
        <w:adjustRightInd w:val="0"/>
        <w:spacing w:line="580" w:lineRule="exact"/>
        <w:ind w:firstLine="627" w:firstLineChars="196"/>
        <w:jc w:val="left"/>
        <w:rPr>
          <w:rFonts w:hint="eastAsia" w:ascii="仿宋_GB2312" w:eastAsia="仿宋_GB2312" w:cs="仿宋_GB2312"/>
          <w:color w:val="auto"/>
          <w:kern w:val="0"/>
          <w:sz w:val="32"/>
          <w:szCs w:val="32"/>
          <w:highlight w:val="none"/>
        </w:rPr>
      </w:pPr>
    </w:p>
    <w:p>
      <w:pPr>
        <w:spacing w:line="580" w:lineRule="exact"/>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p>
    <w:p>
      <w:pPr>
        <w:rPr>
          <w:color w:val="auto"/>
          <w:highlight w:val="none"/>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CE197"/>
    <w:multiLevelType w:val="singleLevel"/>
    <w:tmpl w:val="841CE197"/>
    <w:lvl w:ilvl="0" w:tentative="0">
      <w:start w:val="2"/>
      <w:numFmt w:val="chineseCounting"/>
      <w:suff w:val="nothing"/>
      <w:lvlText w:val="%1、"/>
      <w:lvlJc w:val="left"/>
      <w:rPr>
        <w:rFonts w:hint="eastAsia"/>
      </w:rPr>
    </w:lvl>
  </w:abstractNum>
  <w:abstractNum w:abstractNumId="1">
    <w:nsid w:val="98E06CE2"/>
    <w:multiLevelType w:val="singleLevel"/>
    <w:tmpl w:val="98E06CE2"/>
    <w:lvl w:ilvl="0" w:tentative="0">
      <w:start w:val="9"/>
      <w:numFmt w:val="chineseCounting"/>
      <w:suff w:val="nothing"/>
      <w:lvlText w:val="%1、"/>
      <w:lvlJc w:val="left"/>
      <w:rPr>
        <w:rFonts w:hint="eastAsia"/>
      </w:rPr>
    </w:lvl>
  </w:abstractNum>
  <w:abstractNum w:abstractNumId="2">
    <w:nsid w:val="C52EA13A"/>
    <w:multiLevelType w:val="singleLevel"/>
    <w:tmpl w:val="C52EA13A"/>
    <w:lvl w:ilvl="0" w:tentative="0">
      <w:start w:val="1"/>
      <w:numFmt w:val="decimal"/>
      <w:suff w:val="nothing"/>
      <w:lvlText w:val="%1、"/>
      <w:lvlJc w:val="left"/>
      <w:pPr>
        <w:ind w:left="-10"/>
      </w:pPr>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F66C5B"/>
    <w:rsid w:val="0A024928"/>
    <w:rsid w:val="0AD84FF8"/>
    <w:rsid w:val="0D5C272B"/>
    <w:rsid w:val="0DA86951"/>
    <w:rsid w:val="0DE62409"/>
    <w:rsid w:val="0E074DDF"/>
    <w:rsid w:val="103A2A25"/>
    <w:rsid w:val="112C4F30"/>
    <w:rsid w:val="11ED4612"/>
    <w:rsid w:val="124204B5"/>
    <w:rsid w:val="1324011C"/>
    <w:rsid w:val="13867286"/>
    <w:rsid w:val="14025551"/>
    <w:rsid w:val="15E1533E"/>
    <w:rsid w:val="17274E1E"/>
    <w:rsid w:val="17FA6F11"/>
    <w:rsid w:val="182962AB"/>
    <w:rsid w:val="19D073EB"/>
    <w:rsid w:val="1C1E20F0"/>
    <w:rsid w:val="1CC31F67"/>
    <w:rsid w:val="1DB556CC"/>
    <w:rsid w:val="1E204EE8"/>
    <w:rsid w:val="22827552"/>
    <w:rsid w:val="232321A7"/>
    <w:rsid w:val="24D337DC"/>
    <w:rsid w:val="25073D59"/>
    <w:rsid w:val="25551DE1"/>
    <w:rsid w:val="26460DBA"/>
    <w:rsid w:val="266B6959"/>
    <w:rsid w:val="27ED0335"/>
    <w:rsid w:val="29BD2882"/>
    <w:rsid w:val="2A43279E"/>
    <w:rsid w:val="2AFD251A"/>
    <w:rsid w:val="2B6F74EB"/>
    <w:rsid w:val="2BCA0CDA"/>
    <w:rsid w:val="2C4219FE"/>
    <w:rsid w:val="2E944326"/>
    <w:rsid w:val="2F9849DB"/>
    <w:rsid w:val="339B0A5D"/>
    <w:rsid w:val="34020F86"/>
    <w:rsid w:val="34A01204"/>
    <w:rsid w:val="38835AA1"/>
    <w:rsid w:val="399D0ED2"/>
    <w:rsid w:val="39A63F06"/>
    <w:rsid w:val="3AD91D9A"/>
    <w:rsid w:val="3BC85DCB"/>
    <w:rsid w:val="3E956359"/>
    <w:rsid w:val="3ED1439F"/>
    <w:rsid w:val="3F7F06AB"/>
    <w:rsid w:val="44500BF5"/>
    <w:rsid w:val="4470087A"/>
    <w:rsid w:val="449C678B"/>
    <w:rsid w:val="47326F3C"/>
    <w:rsid w:val="48374EDC"/>
    <w:rsid w:val="48F034BF"/>
    <w:rsid w:val="4A762B74"/>
    <w:rsid w:val="4AB73062"/>
    <w:rsid w:val="4BCA530F"/>
    <w:rsid w:val="4BCB0C66"/>
    <w:rsid w:val="4BFA2452"/>
    <w:rsid w:val="4C256E3D"/>
    <w:rsid w:val="4CB52F0F"/>
    <w:rsid w:val="4CFB11FE"/>
    <w:rsid w:val="4FDE253F"/>
    <w:rsid w:val="50FA7E96"/>
    <w:rsid w:val="52064BAD"/>
    <w:rsid w:val="532F1F9A"/>
    <w:rsid w:val="53545F2E"/>
    <w:rsid w:val="54646DFE"/>
    <w:rsid w:val="55392DC7"/>
    <w:rsid w:val="56620B4A"/>
    <w:rsid w:val="5898638A"/>
    <w:rsid w:val="58E274CD"/>
    <w:rsid w:val="59BA70EC"/>
    <w:rsid w:val="5ABC598E"/>
    <w:rsid w:val="5CA30712"/>
    <w:rsid w:val="5E995A3E"/>
    <w:rsid w:val="62163194"/>
    <w:rsid w:val="62314E8E"/>
    <w:rsid w:val="624D024D"/>
    <w:rsid w:val="64AE7419"/>
    <w:rsid w:val="64D33B5E"/>
    <w:rsid w:val="650E086A"/>
    <w:rsid w:val="65F0709E"/>
    <w:rsid w:val="68BB24F4"/>
    <w:rsid w:val="68C85B6E"/>
    <w:rsid w:val="6BAA0708"/>
    <w:rsid w:val="6D6D2E31"/>
    <w:rsid w:val="6F575F74"/>
    <w:rsid w:val="70502D8E"/>
    <w:rsid w:val="70C46C50"/>
    <w:rsid w:val="73ED7E97"/>
    <w:rsid w:val="75683D85"/>
    <w:rsid w:val="780F317A"/>
    <w:rsid w:val="78775BD8"/>
    <w:rsid w:val="78D30A04"/>
    <w:rsid w:val="78FA519B"/>
    <w:rsid w:val="79375282"/>
    <w:rsid w:val="7B0640BD"/>
    <w:rsid w:val="7B5E682D"/>
    <w:rsid w:val="7BFF2D57"/>
    <w:rsid w:val="7CE94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5786</Words>
  <Characters>7835</Characters>
  <Lines>60</Lines>
  <Paragraphs>17</Paragraphs>
  <TotalTime>10</TotalTime>
  <ScaleCrop>false</ScaleCrop>
  <LinksUpToDate>false</LinksUpToDate>
  <CharactersWithSpaces>8270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2022-09-10T12:22:58Z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67E560C6120742E0B55433B533557963</vt:lpwstr>
  </property>
</Properties>
</file>