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特殊教育学校</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val="en-US" w:eastAsia="zh-CN"/>
        </w:rPr>
        <w:tab/>
      </w:r>
      <w:r>
        <w:rPr>
          <w:rFonts w:hint="eastAsia" w:ascii="仿宋_GB2312" w:eastAsia="仿宋_GB2312"/>
          <w:b/>
          <w:sz w:val="32"/>
          <w:szCs w:val="32"/>
          <w:lang w:val="en-US" w:eastAsia="zh-CN"/>
        </w:rPr>
        <w:t>柳州市特殊教育学校</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柳州市特殊教育学校</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hd w:val="clea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柳州市特殊教育学校</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柳州市特殊教育学校</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560" w:firstLineChars="200"/>
        <w:rPr>
          <w:rStyle w:val="11"/>
          <w:rFonts w:hint="eastAsia" w:ascii="仿宋" w:hAnsi="仿宋" w:eastAsia="仿宋" w:cs="仿宋"/>
          <w:sz w:val="32"/>
          <w:szCs w:val="32"/>
          <w:lang w:val="en-US" w:eastAsia="zh-CN"/>
        </w:rPr>
      </w:pPr>
      <w:r>
        <w:rPr>
          <w:rStyle w:val="11"/>
          <w:rFonts w:hint="eastAsia" w:ascii="仿宋" w:hAnsi="仿宋" w:eastAsia="仿宋" w:cs="仿宋"/>
          <w:sz w:val="28"/>
          <w:szCs w:val="24"/>
          <w:lang w:eastAsia="zh-CN"/>
        </w:rPr>
        <w:t>（</w:t>
      </w:r>
      <w:r>
        <w:rPr>
          <w:rStyle w:val="11"/>
          <w:rFonts w:hint="eastAsia" w:ascii="仿宋" w:hAnsi="仿宋" w:eastAsia="仿宋" w:cs="仿宋"/>
          <w:sz w:val="32"/>
          <w:szCs w:val="32"/>
          <w:lang w:val="en-US" w:eastAsia="zh-CN"/>
        </w:rPr>
        <w:t>一</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 xml:space="preserve">对残疾儿童少年实施义务教育。 </w:t>
      </w:r>
      <w:r>
        <w:rPr>
          <w:rStyle w:val="11"/>
          <w:rFonts w:hint="eastAsia" w:ascii="仿宋" w:hAnsi="仿宋" w:eastAsia="仿宋" w:cs="仿宋"/>
          <w:sz w:val="32"/>
          <w:szCs w:val="32"/>
          <w:lang w:val="en-US" w:eastAsia="zh-CN"/>
        </w:rPr>
        <w:t>包含</w:t>
      </w:r>
      <w:r>
        <w:rPr>
          <w:rStyle w:val="11"/>
          <w:rFonts w:hint="eastAsia" w:ascii="仿宋" w:hAnsi="仿宋" w:eastAsia="仿宋" w:cs="仿宋"/>
          <w:sz w:val="32"/>
          <w:szCs w:val="32"/>
        </w:rPr>
        <w:t>视力残疾儿童少年义务教育</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听力残疾儿童少年义务教育</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 xml:space="preserve">智力残疾儿童少年义务教育 </w:t>
      </w:r>
      <w:r>
        <w:rPr>
          <w:rStyle w:val="11"/>
          <w:rFonts w:hint="eastAsia" w:ascii="仿宋" w:hAnsi="仿宋" w:eastAsia="仿宋" w:cs="仿宋"/>
          <w:sz w:val="32"/>
          <w:szCs w:val="32"/>
          <w:lang w:val="en-US" w:eastAsia="zh-CN"/>
        </w:rPr>
        <w:t xml:space="preserve">   </w:t>
      </w:r>
    </w:p>
    <w:p>
      <w:pPr>
        <w:ind w:firstLine="640" w:firstLineChars="200"/>
        <w:rPr>
          <w:rStyle w:val="11"/>
          <w:rFonts w:hint="eastAsia" w:ascii="仿宋" w:hAnsi="仿宋" w:eastAsia="仿宋" w:cs="仿宋"/>
          <w:sz w:val="32"/>
          <w:szCs w:val="32"/>
        </w:rPr>
      </w:pP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二</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对残疾儿童少年开展</w:t>
      </w:r>
      <w:r>
        <w:rPr>
          <w:rStyle w:val="11"/>
          <w:rFonts w:hint="eastAsia" w:ascii="仿宋" w:hAnsi="仿宋" w:eastAsia="仿宋" w:cs="仿宋"/>
          <w:sz w:val="32"/>
          <w:szCs w:val="32"/>
        </w:rPr>
        <w:t>康复训练</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包含</w:t>
      </w:r>
      <w:r>
        <w:rPr>
          <w:rStyle w:val="11"/>
          <w:rFonts w:hint="eastAsia" w:ascii="仿宋" w:hAnsi="仿宋" w:eastAsia="仿宋" w:cs="仿宋"/>
          <w:sz w:val="32"/>
          <w:szCs w:val="32"/>
        </w:rPr>
        <w:t>视力残疾儿童少年康复训练</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听力残疾儿童少年康复训练</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智力残疾儿童少年康复训练</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 xml:space="preserve"> </w:t>
      </w:r>
    </w:p>
    <w:p>
      <w:pPr>
        <w:ind w:firstLine="640" w:firstLineChars="200"/>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三</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举办培训班</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配合上级开展特殊教育师资培训班。</w:t>
      </w:r>
    </w:p>
    <w:p>
      <w:pPr>
        <w:ind w:firstLine="640" w:firstLineChars="200"/>
        <w:rPr>
          <w:rStyle w:val="11"/>
          <w:rFonts w:hint="eastAsia" w:ascii="仿宋" w:hAnsi="仿宋" w:eastAsia="仿宋" w:cs="仿宋"/>
          <w:sz w:val="28"/>
          <w:szCs w:val="24"/>
          <w:lang w:eastAsia="zh-CN"/>
        </w:rPr>
      </w:pP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四</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举办校办产业</w:t>
      </w:r>
      <w:r>
        <w:rPr>
          <w:rStyle w:val="11"/>
          <w:rFonts w:hint="eastAsia" w:ascii="仿宋" w:hAnsi="仿宋" w:eastAsia="仿宋" w:cs="仿宋"/>
          <w:sz w:val="32"/>
          <w:szCs w:val="32"/>
          <w:lang w:eastAsia="zh-CN"/>
        </w:rPr>
        <w:t>。</w:t>
      </w:r>
    </w:p>
    <w:p>
      <w:pPr>
        <w:ind w:firstLine="646"/>
        <w:rPr>
          <w:rFonts w:ascii="仿宋_GB2312" w:eastAsia="仿宋_GB2312"/>
          <w:sz w:val="32"/>
          <w:szCs w:val="32"/>
        </w:rPr>
      </w:pPr>
      <w:r>
        <w:rPr>
          <w:rFonts w:hint="eastAsia" w:ascii="仿宋_GB2312" w:eastAsia="仿宋_GB2312"/>
          <w:sz w:val="32"/>
          <w:szCs w:val="32"/>
        </w:rPr>
        <w:t>二、决算单位构成</w:t>
      </w:r>
    </w:p>
    <w:p>
      <w:pPr>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柳州市特殊教育学校是柳州市教育局管理的未定级公益一类全额拨款事业单位。</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柳州市特殊教育学校</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支出决算总表》、《收入决算表》、《支出决算表》、《财政拨款收入支出决算总表》和《一般公共预算财政拨款支出决算表》《一般公共预算财政拨款基本支出决算表》、《一般公共预算财政拨款“三公”经费支出决算表》、《一般公共预算财政拨款支出决算表》和《政府性基金预算财政拨款收入支出决算表》</w:t>
      </w:r>
    </w:p>
    <w:p>
      <w:pPr>
        <w:ind w:firstLine="640" w:firstLineChars="200"/>
        <w:rPr>
          <w:rFonts w:ascii="仿宋_GB2312" w:hAnsi="黑体" w:eastAsia="仿宋_GB2312"/>
          <w:sz w:val="32"/>
          <w:szCs w:val="32"/>
        </w:rPr>
      </w:pPr>
    </w:p>
    <w:p>
      <w:pPr>
        <w:jc w:val="center"/>
      </w:pPr>
    </w:p>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rPr>
          <w:rFonts w:hint="eastAsia" w:eastAsia="宋体"/>
          <w:lang w:eastAsia="zh-CN"/>
        </w:rPr>
      </w:pPr>
      <w:r>
        <w:rPr>
          <w:rFonts w:hint="eastAsia" w:eastAsia="宋体"/>
          <w:lang w:eastAsia="zh-CN"/>
        </w:rPr>
        <w:drawing>
          <wp:inline distT="0" distB="0" distL="114300" distR="114300">
            <wp:extent cx="5509895" cy="5937885"/>
            <wp:effectExtent l="0" t="0" r="14605" b="5715"/>
            <wp:docPr id="1" name="图片 1" descr="收入支出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入支出决算总表"/>
                    <pic:cNvPicPr>
                      <a:picLocks noChangeAspect="1"/>
                    </pic:cNvPicPr>
                  </pic:nvPicPr>
                  <pic:blipFill>
                    <a:blip r:embed="rId12"/>
                    <a:stretch>
                      <a:fillRect/>
                    </a:stretch>
                  </pic:blipFill>
                  <pic:spPr>
                    <a:xfrm>
                      <a:off x="0" y="0"/>
                      <a:ext cx="5509895" cy="593788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8881110" cy="3964940"/>
            <wp:effectExtent l="0" t="0" r="15240" b="16510"/>
            <wp:docPr id="2" name="图片 2" descr="收入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入决算表"/>
                    <pic:cNvPicPr>
                      <a:picLocks noChangeAspect="1"/>
                    </pic:cNvPicPr>
                  </pic:nvPicPr>
                  <pic:blipFill>
                    <a:blip r:embed="rId13"/>
                    <a:stretch>
                      <a:fillRect/>
                    </a:stretch>
                  </pic:blipFill>
                  <pic:spPr>
                    <a:xfrm>
                      <a:off x="0" y="0"/>
                      <a:ext cx="8881110" cy="3964940"/>
                    </a:xfrm>
                    <a:prstGeom prst="rect">
                      <a:avLst/>
                    </a:prstGeom>
                  </pic:spPr>
                </pic:pic>
              </a:graphicData>
            </a:graphic>
          </wp:inline>
        </w:drawing>
      </w:r>
    </w:p>
    <w:p/>
    <w:p/>
    <w:p/>
    <w:p/>
    <w:p>
      <w:pPr>
        <w:rPr>
          <w:rFonts w:hint="eastAsia" w:eastAsia="宋体"/>
          <w:lang w:eastAsia="zh-CN"/>
        </w:rPr>
      </w:pPr>
      <w:r>
        <w:rPr>
          <w:rFonts w:hint="eastAsia" w:eastAsia="宋体"/>
          <w:lang w:eastAsia="zh-CN"/>
        </w:rPr>
        <w:drawing>
          <wp:inline distT="0" distB="0" distL="114300" distR="114300">
            <wp:extent cx="8856345" cy="4457700"/>
            <wp:effectExtent l="0" t="0" r="1905" b="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14"/>
                    <a:stretch>
                      <a:fillRect/>
                    </a:stretch>
                  </pic:blipFill>
                  <pic:spPr>
                    <a:xfrm>
                      <a:off x="0" y="0"/>
                      <a:ext cx="8856345" cy="445770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7499350" cy="5542915"/>
            <wp:effectExtent l="0" t="0" r="6350" b="635"/>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15"/>
                    <a:stretch>
                      <a:fillRect/>
                    </a:stretch>
                  </pic:blipFill>
                  <pic:spPr>
                    <a:xfrm>
                      <a:off x="0" y="0"/>
                      <a:ext cx="7499350" cy="554291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7467600" cy="4972050"/>
            <wp:effectExtent l="0" t="0" r="0" b="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16"/>
                    <a:stretch>
                      <a:fillRect/>
                    </a:stretch>
                  </pic:blipFill>
                  <pic:spPr>
                    <a:xfrm>
                      <a:off x="0" y="0"/>
                      <a:ext cx="7467600" cy="4972050"/>
                    </a:xfrm>
                    <a:prstGeom prst="rect">
                      <a:avLst/>
                    </a:prstGeom>
                  </pic:spPr>
                </pic:pic>
              </a:graphicData>
            </a:graphic>
          </wp:inline>
        </w:drawing>
      </w:r>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lang w:eastAsia="zh-CN"/>
        </w:rPr>
      </w:pPr>
      <w:r>
        <w:rPr>
          <w:rFonts w:hint="eastAsia" w:ascii="方正小标宋简体" w:hAnsi="宋体" w:eastAsia="方正小标宋简体" w:cs="宋体"/>
          <w:kern w:val="0"/>
          <w:sz w:val="36"/>
          <w:szCs w:val="36"/>
          <w:lang w:eastAsia="zh-CN"/>
        </w:rPr>
        <w:drawing>
          <wp:inline distT="0" distB="0" distL="114300" distR="114300">
            <wp:extent cx="8859520" cy="5220970"/>
            <wp:effectExtent l="0" t="0" r="17780" b="1778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17"/>
                    <a:stretch>
                      <a:fillRect/>
                    </a:stretch>
                  </pic:blipFill>
                  <pic:spPr>
                    <a:xfrm>
                      <a:off x="0" y="0"/>
                      <a:ext cx="8859520" cy="522097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8860155" cy="1877060"/>
            <wp:effectExtent l="0" t="0" r="17145" b="8890"/>
            <wp:docPr id="7" name="图片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
                    <pic:cNvPicPr>
                      <a:picLocks noChangeAspect="1"/>
                    </pic:cNvPicPr>
                  </pic:nvPicPr>
                  <pic:blipFill>
                    <a:blip r:embed="rId18"/>
                    <a:stretch>
                      <a:fillRect/>
                    </a:stretch>
                  </pic:blipFill>
                  <pic:spPr>
                    <a:xfrm>
                      <a:off x="0" y="0"/>
                      <a:ext cx="8860155" cy="1877060"/>
                    </a:xfrm>
                    <a:prstGeom prst="rect">
                      <a:avLst/>
                    </a:prstGeom>
                  </pic:spPr>
                </pic:pic>
              </a:graphicData>
            </a:graphic>
          </wp:inline>
        </w:drawing>
      </w:r>
    </w:p>
    <w:p/>
    <w:p/>
    <w:p/>
    <w:p/>
    <w:p/>
    <w:p/>
    <w:p/>
    <w:p/>
    <w:p/>
    <w:p/>
    <w:p/>
    <w:p/>
    <w:p/>
    <w:p/>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eastAsia="宋体"/>
          <w:lang w:eastAsia="zh-CN"/>
        </w:rPr>
      </w:pPr>
      <w:r>
        <w:rPr>
          <w:rFonts w:hint="eastAsia"/>
        </w:rPr>
        <w:t>注：本表反映</w:t>
      </w:r>
      <w:r>
        <w:rPr>
          <w:rFonts w:hint="eastAsia"/>
          <w:lang w:eastAsia="zh-CN"/>
        </w:rPr>
        <w:t>单位</w:t>
      </w:r>
      <w:r>
        <w:rPr>
          <w:rFonts w:hint="eastAsia"/>
        </w:rPr>
        <w:t>本年度政府性基金预算财政拨款收入支出及结转和结余情况。</w:t>
      </w:r>
      <w:r>
        <w:rPr>
          <w:rFonts w:hint="eastAsia"/>
          <w:lang w:eastAsia="zh-CN"/>
        </w:rPr>
        <w:t>本表无数字</w:t>
      </w:r>
    </w:p>
    <w:p>
      <w:pPr>
        <w:spacing w:line="560" w:lineRule="exact"/>
        <w:rPr>
          <w:rFonts w:hint="eastAsia"/>
        </w:rPr>
      </w:pPr>
    </w:p>
    <w:p>
      <w:pPr>
        <w:spacing w:line="560" w:lineRule="exact"/>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ascii="宋体" w:hAnsi="宋体" w:cs="宋体"/>
                <w:i w:val="0"/>
                <w:color w:val="000000"/>
                <w:kern w:val="0"/>
                <w:sz w:val="24"/>
                <w:szCs w:val="24"/>
                <w:highlight w:val="none"/>
                <w:u w:val="none"/>
                <w:lang w:val="en-US" w:eastAsia="zh-CN" w:bidi="ar"/>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r>
              <w:rPr>
                <w:rFonts w:hint="eastAsia" w:ascii="宋体" w:hAnsi="宋体" w:cs="宋体"/>
                <w:i w:val="0"/>
                <w:color w:val="000000"/>
                <w:kern w:val="0"/>
                <w:sz w:val="24"/>
                <w:szCs w:val="24"/>
                <w:highlight w:val="none"/>
                <w:u w:val="none"/>
                <w:lang w:val="en-US" w:eastAsia="zh-CN" w:bidi="ar"/>
              </w:rPr>
              <w:t>本表无数字。</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柳州市特殊教育学校</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2020年度收入总计2407.53万元，支出总计2409.54万元，与2019年相比，收、支分别增加</w:t>
      </w:r>
      <w:r>
        <w:rPr>
          <w:rFonts w:hint="eastAsia" w:ascii="仿宋_GB2312" w:eastAsia="仿宋_GB2312" w:cs="仿宋_GB2312"/>
          <w:bCs/>
          <w:kern w:val="0"/>
          <w:sz w:val="32"/>
          <w:szCs w:val="32"/>
          <w:lang w:val="en-US" w:eastAsia="zh-CN"/>
        </w:rPr>
        <w:t>481.39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429.68</w:t>
      </w:r>
      <w:r>
        <w:rPr>
          <w:rFonts w:hint="eastAsia" w:ascii="仿宋_GB2312" w:eastAsia="仿宋_GB2312" w:cs="仿宋_GB2312"/>
          <w:bCs/>
          <w:kern w:val="0"/>
          <w:sz w:val="32"/>
          <w:szCs w:val="32"/>
        </w:rPr>
        <w:t>万元；分别增长</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 w:hAnsi="仿宋" w:eastAsia="仿宋"/>
          <w:sz w:val="32"/>
          <w:szCs w:val="32"/>
          <w:lang w:val="en-US" w:eastAsia="zh-CN"/>
        </w:rPr>
        <w:t>2407.53</w:t>
      </w:r>
      <w:r>
        <w:rPr>
          <w:rFonts w:hint="eastAsia" w:ascii="仿宋_GB2312" w:eastAsia="仿宋_GB2312" w:cs="仿宋_GB2312"/>
          <w:bCs/>
          <w:kern w:val="0"/>
          <w:sz w:val="32"/>
          <w:szCs w:val="32"/>
        </w:rPr>
        <w:t>万元 ，其中：一般公共预算财政拨款收入2385.8</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99.1%</w:t>
      </w:r>
      <w:r>
        <w:rPr>
          <w:rFonts w:hint="eastAsia" w:ascii="仿宋_GB2312" w:eastAsia="仿宋_GB2312" w:cs="仿宋_GB2312"/>
          <w:bCs/>
          <w:kern w:val="0"/>
          <w:sz w:val="32"/>
          <w:szCs w:val="32"/>
        </w:rPr>
        <w:t> ；事业收入13.9</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0.58%</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7.83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0.32%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 xml:space="preserve">本年支出合计 2409.54 万元（逐项说明），其中：基本支出 2385.54万元，占 </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24.00</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2020年度财政拨款收、支总决算2385.8万元、</w:t>
      </w:r>
      <w:r>
        <w:rPr>
          <w:rFonts w:hint="eastAsia" w:ascii="仿宋_GB2312" w:eastAsia="仿宋_GB2312" w:cs="仿宋_GB2312"/>
          <w:bCs/>
          <w:kern w:val="0"/>
          <w:sz w:val="32"/>
          <w:szCs w:val="32"/>
          <w:lang w:val="en-US" w:eastAsia="zh-CN"/>
        </w:rPr>
        <w:t>2378.95</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495.04</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val="en-US" w:eastAsia="zh-CN"/>
        </w:rPr>
        <w:t>433.15万元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20.7%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18.2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 </w:t>
      </w:r>
      <w:r>
        <w:rPr>
          <w:rFonts w:hint="eastAsia" w:ascii="仿宋_GB2312" w:eastAsia="仿宋_GB2312" w:cs="仿宋_GB2312"/>
          <w:bCs/>
          <w:kern w:val="0"/>
          <w:sz w:val="32"/>
          <w:szCs w:val="32"/>
          <w:lang w:val="en-US" w:eastAsia="zh-CN"/>
        </w:rPr>
        <w:t>2378.95</w:t>
      </w:r>
      <w:r>
        <w:rPr>
          <w:rFonts w:hint="eastAsia" w:ascii="仿宋_GB2312" w:eastAsia="仿宋_GB2312" w:cs="仿宋_GB2312"/>
          <w:bCs/>
          <w:kern w:val="0"/>
          <w:sz w:val="32"/>
          <w:szCs w:val="32"/>
        </w:rPr>
        <w:t xml:space="preserve"> 万元，占本年支出合计的</w:t>
      </w:r>
      <w:r>
        <w:rPr>
          <w:rFonts w:hint="eastAsia" w:ascii="仿宋_GB2312" w:eastAsia="仿宋_GB2312" w:cs="仿宋_GB2312"/>
          <w:bCs/>
          <w:kern w:val="0"/>
          <w:sz w:val="32"/>
          <w:szCs w:val="32"/>
          <w:lang w:val="en-US" w:eastAsia="zh-CN"/>
        </w:rPr>
        <w:t>98.7</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val="en-US" w:eastAsia="zh-CN"/>
        </w:rPr>
        <w:t>433.15</w:t>
      </w:r>
      <w:r>
        <w:rPr>
          <w:rFonts w:hint="eastAsia" w:ascii="仿宋_GB2312" w:eastAsia="仿宋_GB2312" w:cs="仿宋_GB2312"/>
          <w:bCs/>
          <w:kern w:val="0"/>
          <w:sz w:val="32"/>
          <w:szCs w:val="32"/>
        </w:rPr>
        <w:t xml:space="preserve"> 万元，增加</w:t>
      </w:r>
      <w:r>
        <w:rPr>
          <w:rFonts w:hint="eastAsia" w:ascii="仿宋_GB2312" w:eastAsia="仿宋_GB2312" w:cs="仿宋_GB2312"/>
          <w:bCs/>
          <w:kern w:val="0"/>
          <w:sz w:val="32"/>
          <w:szCs w:val="32"/>
          <w:lang w:val="en-US" w:eastAsia="zh-CN"/>
        </w:rPr>
        <w:t>18.2</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财政拨款支出决算结构情况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2378.95</w:t>
      </w:r>
      <w:r>
        <w:rPr>
          <w:rFonts w:hint="eastAsia" w:ascii="仿宋_GB2312" w:eastAsia="仿宋_GB2312" w:cs="仿宋_GB2312"/>
          <w:bCs/>
          <w:kern w:val="0"/>
          <w:sz w:val="32"/>
          <w:szCs w:val="32"/>
        </w:rPr>
        <w:t>万元，主要用于以下方面： 教育（类）支出19</w:t>
      </w:r>
      <w:r>
        <w:rPr>
          <w:rFonts w:hint="eastAsia" w:ascii="仿宋_GB2312" w:eastAsia="仿宋_GB2312" w:cs="仿宋_GB2312"/>
          <w:bCs/>
          <w:kern w:val="0"/>
          <w:sz w:val="32"/>
          <w:szCs w:val="32"/>
          <w:lang w:val="en-US" w:eastAsia="zh-CN"/>
        </w:rPr>
        <w:t>22.14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80.8</w:t>
      </w:r>
      <w:r>
        <w:rPr>
          <w:rFonts w:hint="eastAsia" w:ascii="仿宋_GB2312" w:eastAsia="仿宋_GB2312" w:cs="仿宋_GB2312"/>
          <w:bCs/>
          <w:kern w:val="0"/>
          <w:sz w:val="32"/>
          <w:szCs w:val="32"/>
        </w:rPr>
        <w:t xml:space="preserve">%；社会保障和就业（类）支出245.66万元，占 </w:t>
      </w:r>
      <w:r>
        <w:rPr>
          <w:rFonts w:hint="eastAsia" w:ascii="仿宋_GB2312" w:eastAsia="仿宋_GB2312" w:cs="仿宋_GB2312"/>
          <w:bCs/>
          <w:kern w:val="0"/>
          <w:sz w:val="32"/>
          <w:szCs w:val="32"/>
          <w:lang w:val="en-US" w:eastAsia="zh-CN"/>
        </w:rPr>
        <w:t>10.3</w:t>
      </w:r>
      <w:r>
        <w:rPr>
          <w:rFonts w:hint="eastAsia" w:ascii="仿宋_GB2312" w:eastAsia="仿宋_GB2312" w:cs="仿宋_GB2312"/>
          <w:bCs/>
          <w:kern w:val="0"/>
          <w:sz w:val="32"/>
          <w:szCs w:val="32"/>
        </w:rPr>
        <w:t xml:space="preserve">%； 住房保障（类）支出129.22万元，占 </w:t>
      </w:r>
      <w:r>
        <w:rPr>
          <w:rFonts w:hint="eastAsia" w:ascii="仿宋_GB2312" w:eastAsia="仿宋_GB2312" w:cs="仿宋_GB2312"/>
          <w:bCs/>
          <w:kern w:val="0"/>
          <w:sz w:val="32"/>
          <w:szCs w:val="32"/>
          <w:lang w:val="en-US" w:eastAsia="zh-CN"/>
        </w:rPr>
        <w:t>5.4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卫生健康支出81.93</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3.5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1280" w:firstLineChars="4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1,672.05 万元，支出决算为2,378.95  万元，完成年初预算的</w:t>
      </w:r>
      <w:r>
        <w:rPr>
          <w:rFonts w:hint="eastAsia" w:ascii="仿宋_GB2312" w:eastAsia="仿宋_GB2312" w:cs="仿宋_GB2312"/>
          <w:bCs/>
          <w:kern w:val="0"/>
          <w:sz w:val="32"/>
          <w:szCs w:val="32"/>
          <w:lang w:val="en-US" w:eastAsia="zh-CN"/>
        </w:rPr>
        <w:t>142</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城乡义务教育补助中央和自治区资金、公务员医疗补助缴费、大型维修基金、事业单位离退休费、机关事业单位基本养老保险缴费支出、事业单位医疗、住房公积金及购房补贴</w:t>
      </w:r>
      <w:r>
        <w:rPr>
          <w:rFonts w:hint="eastAsia" w:ascii="仿宋_GB2312" w:eastAsia="仿宋_GB2312" w:cs="仿宋_GB2312"/>
          <w:bCs/>
          <w:kern w:val="0"/>
          <w:sz w:val="32"/>
          <w:szCs w:val="32"/>
        </w:rPr>
        <w:t xml:space="preserve">；二是部分支出按规定，通过使用以前年度财政拨款结转资金解决。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.教育（类）特殊教育（款）特殊学校教育（项）。年初预算为</w:t>
      </w:r>
      <w:r>
        <w:rPr>
          <w:rFonts w:hint="eastAsia" w:ascii="仿宋_GB2312" w:eastAsia="仿宋_GB2312"/>
          <w:sz w:val="28"/>
          <w:szCs w:val="28"/>
        </w:rPr>
        <w:t xml:space="preserve">1,340.51 </w:t>
      </w:r>
      <w:r>
        <w:rPr>
          <w:rFonts w:hint="eastAsia" w:ascii="仿宋_GB2312" w:eastAsia="仿宋_GB2312" w:cs="仿宋_GB2312"/>
          <w:bCs/>
          <w:kern w:val="0"/>
          <w:sz w:val="32"/>
          <w:szCs w:val="32"/>
        </w:rPr>
        <w:t xml:space="preserve">万元，支出决算为 </w:t>
      </w:r>
      <w:r>
        <w:rPr>
          <w:rFonts w:hint="eastAsia" w:ascii="仿宋_GB2312" w:eastAsia="仿宋_GB2312"/>
          <w:sz w:val="28"/>
          <w:szCs w:val="28"/>
          <w:lang w:val="en-US" w:eastAsia="zh-CN"/>
        </w:rPr>
        <w:t>1848.34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138</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城乡义务教育补助中央和自治区资金追加</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.教育（类）特殊教育（款）</w:t>
      </w:r>
      <w:r>
        <w:rPr>
          <w:rFonts w:hint="eastAsia" w:ascii="仿宋_GB2312" w:eastAsia="仿宋_GB2312" w:cs="仿宋_GB2312"/>
          <w:bCs/>
          <w:kern w:val="0"/>
          <w:sz w:val="32"/>
          <w:szCs w:val="32"/>
          <w:lang w:eastAsia="zh-CN"/>
        </w:rPr>
        <w:t>其他</w:t>
      </w:r>
      <w:r>
        <w:rPr>
          <w:rFonts w:hint="eastAsia" w:ascii="仿宋_GB2312" w:eastAsia="仿宋_GB2312" w:cs="仿宋_GB2312"/>
          <w:bCs/>
          <w:kern w:val="0"/>
          <w:sz w:val="32"/>
          <w:szCs w:val="32"/>
        </w:rPr>
        <w:t>特殊教育</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（项）。年初预算为</w:t>
      </w:r>
      <w:r>
        <w:rPr>
          <w:rFonts w:hint="eastAsia" w:ascii="仿宋_GB2312" w:eastAsia="仿宋_GB2312"/>
          <w:sz w:val="28"/>
          <w:szCs w:val="28"/>
          <w:lang w:val="en-US" w:eastAsia="zh-CN"/>
        </w:rPr>
        <w:t>0.0</w:t>
      </w:r>
      <w:r>
        <w:rPr>
          <w:rFonts w:hint="eastAsia" w:ascii="仿宋_GB2312" w:eastAsia="仿宋_GB2312" w:cs="仿宋_GB2312"/>
          <w:bCs/>
          <w:kern w:val="0"/>
          <w:sz w:val="32"/>
          <w:szCs w:val="32"/>
        </w:rPr>
        <w:t>万元，支出决算为</w:t>
      </w:r>
      <w:r>
        <w:rPr>
          <w:rFonts w:hint="eastAsia" w:ascii="仿宋_GB2312" w:eastAsia="仿宋_GB2312"/>
          <w:sz w:val="28"/>
          <w:szCs w:val="28"/>
        </w:rPr>
        <w:t xml:space="preserve">73.80 </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公务员医疗补助缴费、大型维修基金追加</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（项）。年初预算为</w:t>
      </w:r>
      <w:r>
        <w:rPr>
          <w:rFonts w:hint="eastAsia" w:ascii="仿宋_GB2312" w:eastAsia="仿宋_GB2312"/>
          <w:sz w:val="28"/>
          <w:szCs w:val="28"/>
          <w:lang w:val="en-US" w:eastAsia="zh-CN"/>
        </w:rPr>
        <w:t>8.30</w:t>
      </w:r>
      <w:r>
        <w:rPr>
          <w:rFonts w:hint="eastAsia" w:ascii="仿宋_GB2312" w:eastAsia="仿宋_GB2312"/>
          <w:sz w:val="28"/>
          <w:szCs w:val="28"/>
        </w:rPr>
        <w:t xml:space="preserve"> </w:t>
      </w:r>
      <w:r>
        <w:rPr>
          <w:rFonts w:hint="eastAsia" w:ascii="仿宋_GB2312" w:eastAsia="仿宋_GB2312" w:cs="仿宋_GB2312"/>
          <w:bCs/>
          <w:kern w:val="0"/>
          <w:sz w:val="32"/>
          <w:szCs w:val="32"/>
        </w:rPr>
        <w:t xml:space="preserve">万元，支出决算为 </w:t>
      </w:r>
      <w:r>
        <w:rPr>
          <w:rFonts w:hint="eastAsia" w:ascii="仿宋_GB2312" w:eastAsia="仿宋_GB2312"/>
          <w:sz w:val="28"/>
          <w:szCs w:val="28"/>
        </w:rPr>
        <w:t>8.89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107</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当年增加退休人员，退休人员补助</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sz w:val="28"/>
          <w:szCs w:val="28"/>
        </w:rPr>
        <w:t xml:space="preserve">118.89 </w:t>
      </w:r>
      <w:r>
        <w:rPr>
          <w:rFonts w:hint="eastAsia" w:ascii="仿宋_GB2312" w:eastAsia="仿宋_GB2312" w:cs="仿宋_GB2312"/>
          <w:bCs/>
          <w:kern w:val="0"/>
          <w:sz w:val="32"/>
          <w:szCs w:val="32"/>
        </w:rPr>
        <w:t xml:space="preserve">万元，支出决算为 </w:t>
      </w:r>
      <w:r>
        <w:rPr>
          <w:rFonts w:hint="eastAsia" w:ascii="仿宋_GB2312" w:eastAsia="仿宋_GB2312"/>
          <w:sz w:val="28"/>
          <w:szCs w:val="28"/>
        </w:rPr>
        <w:t xml:space="preserve">177.32 </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149</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人员增加</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sz w:val="28"/>
          <w:szCs w:val="28"/>
        </w:rPr>
        <w:t xml:space="preserve">59.45 </w:t>
      </w:r>
      <w:r>
        <w:rPr>
          <w:rFonts w:hint="eastAsia" w:ascii="仿宋_GB2312" w:eastAsia="仿宋_GB2312" w:cs="仿宋_GB2312"/>
          <w:bCs/>
          <w:kern w:val="0"/>
          <w:sz w:val="32"/>
          <w:szCs w:val="32"/>
        </w:rPr>
        <w:t>万元，支出决算为</w:t>
      </w:r>
      <w:r>
        <w:rPr>
          <w:rFonts w:hint="eastAsia" w:ascii="仿宋_GB2312" w:eastAsia="仿宋_GB2312"/>
          <w:sz w:val="28"/>
          <w:szCs w:val="28"/>
        </w:rPr>
        <w:t>59.45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.卫生健康支出（类）行政事业单位医疗（款）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（项）。年初预算为</w:t>
      </w:r>
      <w:r>
        <w:rPr>
          <w:rFonts w:hint="eastAsia" w:ascii="仿宋_GB2312" w:eastAsia="仿宋_GB2312"/>
          <w:sz w:val="28"/>
          <w:szCs w:val="28"/>
        </w:rPr>
        <w:t>55.73</w:t>
      </w:r>
      <w:r>
        <w:rPr>
          <w:rFonts w:hint="eastAsia" w:ascii="仿宋_GB2312" w:eastAsia="仿宋_GB2312" w:cs="仿宋_GB2312"/>
          <w:bCs/>
          <w:kern w:val="0"/>
          <w:sz w:val="32"/>
          <w:szCs w:val="32"/>
        </w:rPr>
        <w:t xml:space="preserve">万元，支出决算为 </w:t>
      </w:r>
      <w:r>
        <w:rPr>
          <w:rFonts w:hint="eastAsia" w:ascii="仿宋_GB2312" w:eastAsia="仿宋_GB2312"/>
          <w:sz w:val="28"/>
          <w:szCs w:val="28"/>
        </w:rPr>
        <w:t xml:space="preserve">81.93 </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147</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人员增加</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.住房保障支出（类）住房改革支出（款）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sz w:val="28"/>
          <w:szCs w:val="28"/>
          <w:lang w:val="en-US" w:eastAsia="zh-CN"/>
        </w:rPr>
        <w:t>89.17</w:t>
      </w:r>
      <w:r>
        <w:rPr>
          <w:rFonts w:hint="eastAsia" w:ascii="仿宋_GB2312" w:eastAsia="仿宋_GB2312" w:cs="仿宋_GB2312"/>
          <w:bCs/>
          <w:kern w:val="0"/>
          <w:sz w:val="32"/>
          <w:szCs w:val="32"/>
        </w:rPr>
        <w:t>万元，支出决算为</w:t>
      </w:r>
      <w:r>
        <w:rPr>
          <w:rFonts w:hint="eastAsia" w:ascii="仿宋_GB2312" w:eastAsia="仿宋_GB2312"/>
          <w:sz w:val="28"/>
          <w:szCs w:val="28"/>
        </w:rPr>
        <w:t xml:space="preserve">126.40 </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人员增加</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住房保障支出（类）住房改革支出（款）</w:t>
      </w:r>
      <w:r>
        <w:rPr>
          <w:rFonts w:hint="eastAsia" w:ascii="仿宋_GB2312" w:eastAsia="仿宋_GB2312" w:cs="仿宋_GB2312"/>
          <w:bCs/>
          <w:kern w:val="0"/>
          <w:sz w:val="32"/>
          <w:szCs w:val="32"/>
          <w:lang w:eastAsia="zh-CN"/>
        </w:rPr>
        <w:t xml:space="preserve">  购房补贴</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 xml:space="preserve">万元，支出决算为 </w:t>
      </w:r>
      <w:r>
        <w:rPr>
          <w:rFonts w:hint="eastAsia" w:ascii="仿宋_GB2312" w:eastAsia="仿宋_GB2312"/>
          <w:sz w:val="28"/>
          <w:szCs w:val="28"/>
        </w:rPr>
        <w:t xml:space="preserve">2.82 </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人员增加。</w:t>
      </w:r>
      <w:r>
        <w:rPr>
          <w:rFonts w:hint="eastAsia" w:ascii="仿宋_GB2312" w:eastAsia="仿宋_GB2312" w:cs="仿宋_GB2312"/>
          <w:bCs/>
          <w:kern w:val="0"/>
          <w:sz w:val="32"/>
          <w:szCs w:val="32"/>
        </w:rPr>
        <w:t xml:space="preserve"> </w:t>
      </w:r>
    </w:p>
    <w:p>
      <w:pPr>
        <w:autoSpaceDE w:val="0"/>
        <w:autoSpaceDN w:val="0"/>
        <w:adjustRightInd w:val="0"/>
        <w:spacing w:line="580" w:lineRule="exact"/>
        <w:ind w:left="638" w:leftChars="304" w:firstLine="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2354.95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人员经费2122.14万元，主要包括：基本工资316.04</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、津贴补贴143.33</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 奖金1.95</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、伙食补助费34.1</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、绩效工资557.14</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、机关事业单位基本养老保险缴费177.32</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、职业年金缴费59.45</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 职工基本医疗保险缴费81.93</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公务员医疗补助缴费49.8</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其他社会保障缴费41.27</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、住房公积金139.65</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、其他工资福利支出474.01</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生活补助32.16</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 xml:space="preserve"> 医疗费补助13.99</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公用经费232.81万元，主要 包括：办公费19.66</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、水费5.05</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、电费13.91</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、邮电费1.33</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、物业管理费6.57</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、差旅费3.93</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、维修（护）费80.94</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、专用材料费8.03</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、劳务费0.69</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、工会经费17.85</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、其他商品和服务支出18.9</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、办公设备购置55.9</w:t>
      </w:r>
      <w:r>
        <w:rPr>
          <w:rFonts w:hint="eastAsia" w:ascii="仿宋_GB2312" w:eastAsia="仿宋_GB2312" w:cs="仿宋_GB2312"/>
          <w:bCs/>
          <w:kern w:val="0"/>
          <w:sz w:val="32"/>
          <w:szCs w:val="32"/>
          <w:lang w:eastAsia="zh-CN"/>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本单位202</w:t>
      </w:r>
      <w:r>
        <w:rPr>
          <w:rFonts w:hint="eastAsia" w:ascii="仿宋_GB2312" w:hAnsi="仿宋_GB2312" w:eastAsia="仿宋_GB2312" w:cs="仿宋_GB2312"/>
          <w:b w:val="0"/>
          <w:bCs w:val="0"/>
          <w:kern w:val="0"/>
          <w:sz w:val="32"/>
          <w:szCs w:val="32"/>
          <w:lang w:val="en-US" w:eastAsia="zh-CN"/>
        </w:rPr>
        <w:t>0</w:t>
      </w:r>
      <w:bookmarkStart w:id="0" w:name="_GoBack"/>
      <w:bookmarkEnd w:id="0"/>
      <w:r>
        <w:rPr>
          <w:rFonts w:hint="eastAsia" w:ascii="仿宋_GB2312" w:hAnsi="仿宋_GB2312" w:eastAsia="仿宋_GB2312" w:cs="仿宋_GB2312"/>
          <w:b w:val="0"/>
          <w:bCs w:val="0"/>
          <w:kern w:val="0"/>
          <w:sz w:val="32"/>
          <w:szCs w:val="32"/>
        </w:rPr>
        <w:t>年度一般公共预算财政拨款“三公”经费支出0万元，完成年初预算的0%，比上年增减0万元，主要原因是本单位没有一般公共预算财政拨款“三公”经费收入，也没有一般公共预算财政拨款“三公”经费安排的支出。其中：因公出国（境）费支出决算0万元，公务用车购置及运行费支出决算0万元，公务接待费支出决算0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（一）因公出国（境）费支出0万元，完成年初预算的0%，比上年增减0万元，原因是本单位没有因公出国（境）费收入，也没有因公出国（境）经费安排的支出。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（二）公务用车购置及运行费支出0万元。其中：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公务用车购置支出0万元，完成年初预算的0%，比上年增加0万元，原因是本单位没有公务用车购置及运行费收入，也没有公务用车购置及运行费安排的支出。</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公务接待费支出0万元，完成年初预算的0%，比上年增加0万元，原因是本单位没有公务接待费收入，也没有公务接待费安排的支出。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w:t>
      </w:r>
      <w:r>
        <w:rPr>
          <w:rFonts w:hint="eastAsia" w:ascii="仿宋_GB2312" w:eastAsia="仿宋_GB2312" w:cs="仿宋_GB2312"/>
          <w:b/>
          <w:kern w:val="0"/>
          <w:sz w:val="32"/>
          <w:szCs w:val="32"/>
          <w:lang w:eastAsia="zh-CN"/>
        </w:rPr>
        <w:t>无</w:t>
      </w:r>
      <w:r>
        <w:rPr>
          <w:rFonts w:hint="eastAsia" w:ascii="仿宋_GB2312" w:eastAsia="仿宋_GB2312" w:cs="仿宋_GB2312"/>
          <w:b/>
          <w:kern w:val="0"/>
          <w:sz w:val="32"/>
          <w:szCs w:val="32"/>
        </w:rPr>
        <w:t>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国有资本经营预算财政拨款支出情况说明（无）</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0"/>
        </w:numPr>
        <w:autoSpaceDE w:val="0"/>
        <w:autoSpaceDN w:val="0"/>
        <w:adjustRightInd w:val="0"/>
        <w:spacing w:line="580" w:lineRule="exact"/>
        <w:ind w:firstLine="1280" w:firstLineChars="4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w:t>
      </w:r>
      <w:r>
        <w:rPr>
          <w:rFonts w:hint="eastAsia" w:ascii="仿宋_GB2312" w:eastAsia="仿宋_GB2312" w:cs="仿宋_GB2312"/>
          <w:b w:val="0"/>
          <w:bCs/>
          <w:kern w:val="0"/>
          <w:sz w:val="32"/>
          <w:szCs w:val="32"/>
        </w:rPr>
        <w:t>度预算绩效</w:t>
      </w:r>
      <w:r>
        <w:rPr>
          <w:rFonts w:hint="eastAsia" w:ascii="仿宋_GB2312" w:eastAsia="仿宋_GB2312" w:cs="仿宋_GB2312"/>
          <w:bCs/>
          <w:kern w:val="0"/>
          <w:sz w:val="32"/>
          <w:szCs w:val="32"/>
        </w:rPr>
        <w:t>一般公共预算项目支出</w:t>
      </w:r>
      <w:r>
        <w:rPr>
          <w:rFonts w:hint="eastAsia" w:ascii="仿宋_GB2312" w:eastAsia="仿宋_GB2312" w:cs="仿宋_GB2312"/>
          <w:bCs/>
          <w:kern w:val="0"/>
          <w:sz w:val="32"/>
          <w:szCs w:val="32"/>
          <w:lang w:val="en-US" w:eastAsia="zh-CN"/>
        </w:rPr>
        <w:t>(无)</w:t>
      </w:r>
    </w:p>
    <w:p>
      <w:pPr>
        <w:numPr>
          <w:ilvl w:val="0"/>
          <w:numId w:val="0"/>
        </w:numPr>
        <w:autoSpaceDE w:val="0"/>
        <w:autoSpaceDN w:val="0"/>
        <w:adjustRightInd w:val="0"/>
        <w:spacing w:line="580" w:lineRule="exact"/>
        <w:ind w:leftChars="200" w:firstLine="321" w:firstLineChars="1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十一、</w:t>
      </w:r>
      <w:r>
        <w:rPr>
          <w:rFonts w:hint="eastAsia" w:ascii="仿宋_GB2312" w:eastAsia="仿宋_GB2312" w:cs="仿宋_GB2312"/>
          <w:b/>
          <w:kern w:val="0"/>
          <w:sz w:val="32"/>
          <w:szCs w:val="32"/>
        </w:rPr>
        <w:t>其他重要事项的情况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ind w:firstLine="640" w:firstLineChars="200"/>
        <w:rPr>
          <w:rFonts w:hint="eastAsia" w:ascii="仿宋_GB2312" w:eastAsia="仿宋_GB2312" w:cs="仿宋_GB2312"/>
          <w:b/>
          <w:kern w:val="0"/>
          <w:sz w:val="32"/>
          <w:szCs w:val="32"/>
        </w:rPr>
      </w:pPr>
      <w:r>
        <w:rPr>
          <w:rFonts w:hint="eastAsia" w:ascii="仿宋_GB2312" w:eastAsia="仿宋_GB2312"/>
          <w:sz w:val="32"/>
          <w:szCs w:val="32"/>
        </w:rPr>
        <w:t>本单位202</w:t>
      </w:r>
      <w:r>
        <w:rPr>
          <w:rFonts w:hint="eastAsia" w:ascii="仿宋_GB2312" w:eastAsia="仿宋_GB2312"/>
          <w:sz w:val="32"/>
          <w:szCs w:val="32"/>
          <w:lang w:val="en-US" w:eastAsia="zh-CN"/>
        </w:rPr>
        <w:t>0</w:t>
      </w:r>
      <w:r>
        <w:rPr>
          <w:rFonts w:hint="eastAsia" w:ascii="仿宋_GB2312" w:eastAsia="仿宋_GB2312"/>
          <w:sz w:val="32"/>
          <w:szCs w:val="32"/>
        </w:rPr>
        <w:t>年度没有机关运行经费拨款收入，也没有机关运行经费拨款安排的支出。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）政府采购支出情况。2020年度部门政府采购支出总额</w:t>
      </w:r>
      <w:r>
        <w:rPr>
          <w:rFonts w:hint="eastAsia" w:ascii="仿宋_GB2312" w:eastAsia="仿宋_GB2312" w:cs="仿宋_GB2312"/>
          <w:kern w:val="0"/>
          <w:sz w:val="32"/>
          <w:szCs w:val="32"/>
          <w:lang w:val="en-US" w:eastAsia="zh-CN"/>
        </w:rPr>
        <w:t>55.18</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55.18</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F686"/>
    <w:multiLevelType w:val="singleLevel"/>
    <w:tmpl w:val="85F5F686"/>
    <w:lvl w:ilvl="0" w:tentative="0">
      <w:start w:val="3"/>
      <w:numFmt w:val="chineseCounting"/>
      <w:suff w:val="nothing"/>
      <w:lvlText w:val="（%1）"/>
      <w:lvlJc w:val="left"/>
      <w:rPr>
        <w:rFonts w:hint="eastAsia"/>
      </w:rPr>
    </w:lvl>
  </w:abstractNum>
  <w:abstractNum w:abstractNumId="1">
    <w:nsid w:val="98E06CE2"/>
    <w:multiLevelType w:val="singleLevel"/>
    <w:tmpl w:val="98E06CE2"/>
    <w:lvl w:ilvl="0" w:tentative="0">
      <w:start w:val="9"/>
      <w:numFmt w:val="chineseCounting"/>
      <w:suff w:val="nothing"/>
      <w:lvlText w:val="%1、"/>
      <w:lvlJc w:val="left"/>
      <w:rPr>
        <w:rFonts w:hint="eastAsia"/>
      </w:rPr>
    </w:lvl>
  </w:abstractNum>
  <w:abstractNum w:abstractNumId="2">
    <w:nsid w:val="296CC9FA"/>
    <w:multiLevelType w:val="singleLevel"/>
    <w:tmpl w:val="296CC9FA"/>
    <w:lvl w:ilvl="0" w:tentative="0">
      <w:start w:val="2"/>
      <w:numFmt w:val="chineseCounting"/>
      <w:suff w:val="nothing"/>
      <w:lvlText w:val="（%1）"/>
      <w:lvlJc w:val="left"/>
      <w:rPr>
        <w:rFonts w:hint="eastAsia"/>
      </w:rPr>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NDFjNTRiY2Q1YzhkNWRlM2NmYTQzZGY2ZWRiNjcifQ=="/>
  </w:docVars>
  <w:rsids>
    <w:rsidRoot w:val="4C256E3D"/>
    <w:rsid w:val="00066CA3"/>
    <w:rsid w:val="006C1367"/>
    <w:rsid w:val="00715385"/>
    <w:rsid w:val="00F66C5B"/>
    <w:rsid w:val="01436BCC"/>
    <w:rsid w:val="0813768D"/>
    <w:rsid w:val="08D560D7"/>
    <w:rsid w:val="0A7A52D0"/>
    <w:rsid w:val="0AED49D0"/>
    <w:rsid w:val="0B5B2B71"/>
    <w:rsid w:val="0E074DDF"/>
    <w:rsid w:val="10B902CE"/>
    <w:rsid w:val="124204B5"/>
    <w:rsid w:val="13174210"/>
    <w:rsid w:val="17C21B79"/>
    <w:rsid w:val="182962AB"/>
    <w:rsid w:val="1909794B"/>
    <w:rsid w:val="193518CE"/>
    <w:rsid w:val="19D0610D"/>
    <w:rsid w:val="19D073EB"/>
    <w:rsid w:val="1CC31F67"/>
    <w:rsid w:val="1D6E1470"/>
    <w:rsid w:val="21C7168F"/>
    <w:rsid w:val="22491EB3"/>
    <w:rsid w:val="23E418CE"/>
    <w:rsid w:val="24541577"/>
    <w:rsid w:val="24D337DC"/>
    <w:rsid w:val="26460DBA"/>
    <w:rsid w:val="29135BC5"/>
    <w:rsid w:val="2B6F74EB"/>
    <w:rsid w:val="2C4219FE"/>
    <w:rsid w:val="2FD51F44"/>
    <w:rsid w:val="30B64AE1"/>
    <w:rsid w:val="30F84ABC"/>
    <w:rsid w:val="34020F86"/>
    <w:rsid w:val="34285B63"/>
    <w:rsid w:val="349779DC"/>
    <w:rsid w:val="36122BD1"/>
    <w:rsid w:val="36920576"/>
    <w:rsid w:val="37013585"/>
    <w:rsid w:val="39A63F06"/>
    <w:rsid w:val="3AE57203"/>
    <w:rsid w:val="3D112F8D"/>
    <w:rsid w:val="3ED1439F"/>
    <w:rsid w:val="413E5DD6"/>
    <w:rsid w:val="44105C2D"/>
    <w:rsid w:val="48374EDC"/>
    <w:rsid w:val="48DF539C"/>
    <w:rsid w:val="4B8F3F2D"/>
    <w:rsid w:val="4C256E3D"/>
    <w:rsid w:val="4CB52F0F"/>
    <w:rsid w:val="52EB2D58"/>
    <w:rsid w:val="532F1F9A"/>
    <w:rsid w:val="534A2673"/>
    <w:rsid w:val="54865C09"/>
    <w:rsid w:val="56690DC7"/>
    <w:rsid w:val="5CF111F9"/>
    <w:rsid w:val="5D3E52C6"/>
    <w:rsid w:val="5E995A3E"/>
    <w:rsid w:val="5F4034F6"/>
    <w:rsid w:val="62071E79"/>
    <w:rsid w:val="62163194"/>
    <w:rsid w:val="624D024D"/>
    <w:rsid w:val="650E086A"/>
    <w:rsid w:val="662F77CA"/>
    <w:rsid w:val="665A1417"/>
    <w:rsid w:val="67B2209A"/>
    <w:rsid w:val="6A412744"/>
    <w:rsid w:val="6B1E16E2"/>
    <w:rsid w:val="6BAA0708"/>
    <w:rsid w:val="6EE31CCB"/>
    <w:rsid w:val="6F7512A9"/>
    <w:rsid w:val="709F26A2"/>
    <w:rsid w:val="78012736"/>
    <w:rsid w:val="780E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71"/>
    <w:basedOn w:val="6"/>
    <w:qFormat/>
    <w:uiPriority w:val="0"/>
    <w:rPr>
      <w:rFonts w:hint="default" w:ascii="Times New Roman" w:hAnsi="Times New Roman" w:eastAsia="楷体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4213</Words>
  <Characters>4738</Characters>
  <Lines>60</Lines>
  <Paragraphs>17</Paragraphs>
  <TotalTime>15</TotalTime>
  <ScaleCrop>false</ScaleCrop>
  <LinksUpToDate>false</LinksUpToDate>
  <CharactersWithSpaces>4973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2021-07-22T02:34:00Z</cp:lastPrinted>
  <dcterms:modified xsi:type="dcterms:W3CDTF">2022-09-06T09:38:22Z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57D51992A3C842DEBE3E0E0D1A734AD6</vt:lpwstr>
  </property>
</Properties>
</file>