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柳江中学</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第一部分：柳州市柳江中学概况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柳州市柳江中学</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柳州市柳江中学</w:t>
      </w:r>
      <w:r>
        <w:rPr>
          <w:rFonts w:hint="eastAsia" w:ascii="仿宋_GB2312" w:eastAsia="仿宋_GB2312"/>
          <w:b/>
          <w:sz w:val="32"/>
          <w:szCs w:val="32"/>
        </w:rPr>
        <w:t>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第一部分：柳州市柳江中学概况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完成高中阶段教育</w:t>
      </w:r>
    </w:p>
    <w:p>
      <w:pPr>
        <w:ind w:firstLine="646"/>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sz w:val="32"/>
          <w:szCs w:val="32"/>
        </w:rPr>
      </w:pPr>
      <w:r>
        <w:rPr>
          <w:rFonts w:hint="eastAsia" w:ascii="仿宋_GB2312" w:eastAsia="仿宋_GB2312"/>
          <w:sz w:val="32"/>
          <w:szCs w:val="32"/>
        </w:rPr>
        <w:t>柳州市柳江中学</w:t>
      </w:r>
    </w:p>
    <w:p/>
    <w:p>
      <w:pPr>
        <w:rPr>
          <w:rFonts w:ascii="仿宋_GB2312" w:eastAsia="仿宋_GB2312"/>
          <w:b/>
          <w:sz w:val="32"/>
          <w:szCs w:val="32"/>
        </w:rPr>
      </w:pPr>
      <w:r>
        <w:rPr>
          <w:rFonts w:hint="eastAsia" w:ascii="仿宋_GB2312" w:eastAsia="仿宋_GB2312"/>
          <w:b/>
          <w:sz w:val="32"/>
          <w:szCs w:val="32"/>
        </w:rPr>
        <w:t>第二部分：柳州市柳江中学2020年单位决算报表</w:t>
      </w:r>
    </w:p>
    <w:p>
      <w:pPr>
        <w:jc w:val="center"/>
      </w:pPr>
    </w:p>
    <w:p/>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注：本表反映单位本年度的总收支和年末结转结余情况。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960"/>
        <w:gridCol w:w="240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4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类</w:t>
            </w:r>
          </w:p>
        </w:tc>
        <w:tc>
          <w:tcPr>
            <w:tcW w:w="240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款</w:t>
            </w:r>
          </w:p>
        </w:tc>
        <w:tc>
          <w:tcPr>
            <w:tcW w:w="240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项  </w:t>
            </w:r>
          </w:p>
        </w:tc>
        <w:tc>
          <w:tcPr>
            <w:tcW w:w="240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0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0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0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0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0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
      <w:r>
        <w:rPr>
          <w:rFonts w:hint="eastAsia"/>
        </w:rPr>
        <w:t>注：本表反映单位本年度取得的各项收入情况。</w:t>
      </w:r>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类</w:t>
            </w:r>
          </w:p>
        </w:tc>
        <w:tc>
          <w:tcPr>
            <w:tcW w:w="181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款</w:t>
            </w:r>
          </w:p>
        </w:tc>
        <w:tc>
          <w:tcPr>
            <w:tcW w:w="181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项  </w:t>
            </w:r>
          </w:p>
        </w:tc>
        <w:tc>
          <w:tcPr>
            <w:tcW w:w="181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
      <w:r>
        <w:rPr>
          <w:rFonts w:hint="eastAsia"/>
        </w:rPr>
        <w:t>注：本表反映单位本年度各项支出情况。</w:t>
      </w:r>
    </w:p>
    <w:p/>
    <w:p/>
    <w:p/>
    <w:p/>
    <w:p/>
    <w:p/>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858"/>
        <w:gridCol w:w="551"/>
        <w:gridCol w:w="571"/>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85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5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57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5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7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57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57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57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57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57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57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57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Pr>
        <w:jc w:val="right"/>
        <w:rPr>
          <w:sz w:val="22"/>
          <w:szCs w:val="22"/>
        </w:rPr>
      </w:pPr>
      <w:r>
        <w:rPr>
          <w:rFonts w:hint="eastAsia"/>
          <w:sz w:val="22"/>
          <w:szCs w:val="22"/>
        </w:rPr>
        <w:t>单位：万元</w:t>
      </w:r>
    </w:p>
    <w:p>
      <w:r>
        <w:rPr>
          <w:rFonts w:hint="eastAsia"/>
        </w:rPr>
        <w:t>注：本表反映单位本年度一般公共预算财政拨款和政府性基金预算财政拨款的总收支和年末结转结余情况。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tcPr>
          <w:p>
            <w:pPr>
              <w:widowControl/>
              <w:ind w:firstLine="1600" w:firstLineChars="8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000" w:firstLineChars="10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类</w:t>
            </w:r>
          </w:p>
        </w:tc>
        <w:tc>
          <w:tcPr>
            <w:tcW w:w="3000"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200" w:firstLineChars="11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款</w:t>
            </w:r>
          </w:p>
        </w:tc>
        <w:tc>
          <w:tcPr>
            <w:tcW w:w="300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200" w:firstLineChars="11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项  </w:t>
            </w:r>
          </w:p>
        </w:tc>
        <w:tc>
          <w:tcPr>
            <w:tcW w:w="3000"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200" w:firstLineChars="11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000"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200" w:firstLineChars="11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1000" w:firstLineChars="5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300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2200" w:firstLineChars="1100"/>
              <w:jc w:val="left"/>
              <w:rPr>
                <w:rFonts w:ascii="Arial" w:hAnsi="Arial" w:cs="Arial"/>
                <w:color w:val="000000"/>
                <w:kern w:val="0"/>
                <w:sz w:val="20"/>
                <w:szCs w:val="20"/>
              </w:rPr>
            </w:pP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ind w:firstLine="1000" w:firstLineChars="5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ascii="Arial" w:hAnsi="Arial" w:cs="Arial"/>
                <w:color w:val="000000"/>
                <w:kern w:val="0"/>
                <w:sz w:val="20"/>
                <w:szCs w:val="20"/>
              </w:rPr>
              <w:t>　</w:t>
            </w:r>
          </w:p>
        </w:tc>
      </w:tr>
    </w:tbl>
    <w:p/>
    <w:p>
      <w:r>
        <w:rPr>
          <w:rFonts w:hint="eastAsia"/>
        </w:rPr>
        <w:t>注：本表反映单位本年度一般公共预算财政拨款实际支出情况。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151" w:type="dxa"/>
        <w:tblInd w:w="93" w:type="dxa"/>
        <w:tblLayout w:type="fixed"/>
        <w:tblCellMar>
          <w:top w:w="0" w:type="dxa"/>
          <w:left w:w="108" w:type="dxa"/>
          <w:bottom w:w="0" w:type="dxa"/>
          <w:right w:w="108" w:type="dxa"/>
        </w:tblCellMar>
      </w:tblPr>
      <w:tblGrid>
        <w:gridCol w:w="916"/>
        <w:gridCol w:w="3240"/>
        <w:gridCol w:w="831"/>
        <w:gridCol w:w="849"/>
        <w:gridCol w:w="1710"/>
        <w:gridCol w:w="1605"/>
      </w:tblGrid>
      <w:tr>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2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83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83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83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伙食补助费</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绩效工资</w:t>
            </w:r>
          </w:p>
        </w:tc>
        <w:tc>
          <w:tcPr>
            <w:tcW w:w="83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机关事业单位基本养老保险缴费</w:t>
            </w:r>
          </w:p>
        </w:tc>
        <w:tc>
          <w:tcPr>
            <w:tcW w:w="83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职业年金缴费</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职工基本医疗保险缴费</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公务员医疗补助缴费</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其他社会保障缴费</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住房公积金</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医疗费</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6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其他工资福利支出</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70C0"/>
                <w:kern w:val="0"/>
                <w:sz w:val="22"/>
                <w:szCs w:val="22"/>
                <w:highlight w:val="yellow"/>
              </w:rPr>
            </w:pPr>
            <w:r>
              <w:rPr>
                <w:rFonts w:hint="eastAsia" w:ascii="宋体" w:hAnsi="宋体" w:cs="Arial"/>
                <w:color w:val="0070C0"/>
                <w:kern w:val="0"/>
                <w:sz w:val="22"/>
                <w:szCs w:val="22"/>
                <w:highlight w:val="yellow"/>
              </w:rPr>
              <w:t>303</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70C0"/>
                <w:kern w:val="0"/>
                <w:sz w:val="22"/>
                <w:szCs w:val="22"/>
                <w:highlight w:val="yellow"/>
              </w:rPr>
            </w:pPr>
            <w:r>
              <w:rPr>
                <w:rFonts w:ascii="宋体" w:hAnsi="宋体" w:cs="Arial"/>
                <w:color w:val="0070C0"/>
                <w:kern w:val="0"/>
                <w:sz w:val="22"/>
                <w:szCs w:val="22"/>
                <w:highlight w:val="yellow"/>
              </w:rPr>
              <w:t>　</w:t>
            </w:r>
            <w:r>
              <w:rPr>
                <w:rFonts w:hint="eastAsia" w:ascii="宋体" w:hAnsi="宋体" w:cs="Arial"/>
                <w:color w:val="0070C0"/>
                <w:kern w:val="0"/>
                <w:sz w:val="22"/>
                <w:szCs w:val="22"/>
                <w:highlight w:val="yellow"/>
              </w:rPr>
              <w:t xml:space="preserve"> 对个人和家庭的补助</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FF0000"/>
                <w:kern w:val="0"/>
                <w:sz w:val="22"/>
                <w:szCs w:val="22"/>
              </w:rPr>
            </w:pP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FF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64" w:hRule="atLeast"/>
        </w:trPr>
        <w:tc>
          <w:tcPr>
            <w:tcW w:w="415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55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注：本表反映单位本年度一般公共预算财政拨款基本支出明细情况。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注：本表反映单位本年度“三公”经费支出预决算情况。其中，2020年度预算数为“三公”经费年初预算数，决算数是包括当年一般公共预算财政拨款和以前年度结转资金安排的实际支出。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注：本表反映单位本年度政府性基金预算财政拨款收入支出及结转和结余情况。</w:t>
      </w:r>
    </w:p>
    <w:p>
      <w:pPr>
        <w:spacing w:line="560" w:lineRule="exact"/>
        <w:ind w:firstLine="420"/>
      </w:pP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注：本表反映单位本年度国有资本经营预算财政拨款支出情况。</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第三部分：柳州市柳江中学2020年度单位决算情况说明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w:t>
      </w:r>
      <w:r>
        <w:rPr>
          <w:rFonts w:ascii="仿宋_GB2312" w:eastAsia="仿宋_GB2312" w:cs="仿宋_GB2312"/>
          <w:bCs/>
          <w:kern w:val="0"/>
          <w:sz w:val="32"/>
          <w:szCs w:val="32"/>
        </w:rPr>
        <w:t>5769.22</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5769.22</w:t>
      </w:r>
      <w:r>
        <w:rPr>
          <w:rFonts w:hint="eastAsia" w:ascii="仿宋_GB2312" w:eastAsia="仿宋_GB2312" w:cs="仿宋_GB2312"/>
          <w:bCs/>
          <w:kern w:val="0"/>
          <w:sz w:val="32"/>
          <w:szCs w:val="32"/>
        </w:rPr>
        <w:t>万元，与2019年相比，收、支分别增加435.47万元；分别增长8.16%。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5769.22</w:t>
      </w:r>
      <w:r>
        <w:rPr>
          <w:rFonts w:hint="eastAsia" w:ascii="仿宋_GB2312" w:eastAsia="仿宋_GB2312" w:cs="仿宋_GB2312"/>
          <w:bCs/>
          <w:kern w:val="0"/>
          <w:sz w:val="32"/>
          <w:szCs w:val="32"/>
        </w:rPr>
        <w:t>万元，其中：一般公共预算财政拨款收入</w:t>
      </w:r>
      <w:r>
        <w:rPr>
          <w:rFonts w:ascii="仿宋_GB2312" w:eastAsia="仿宋_GB2312" w:cs="仿宋_GB2312"/>
          <w:bCs/>
          <w:kern w:val="0"/>
          <w:sz w:val="32"/>
          <w:szCs w:val="32"/>
        </w:rPr>
        <w:t>4720.22</w:t>
      </w:r>
      <w:r>
        <w:rPr>
          <w:rFonts w:hint="eastAsia" w:ascii="仿宋_GB2312" w:eastAsia="仿宋_GB2312" w:cs="仿宋_GB2312"/>
          <w:bCs/>
          <w:kern w:val="0"/>
          <w:sz w:val="32"/>
          <w:szCs w:val="32"/>
        </w:rPr>
        <w:t>万元；占比81.82 %；政府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基金预算财政拨款收入400万元；占比6.93 %；事业收入</w:t>
      </w:r>
      <w:r>
        <w:rPr>
          <w:rFonts w:ascii="仿宋_GB2312" w:eastAsia="仿宋_GB2312" w:cs="仿宋_GB2312"/>
          <w:bCs/>
          <w:kern w:val="0"/>
          <w:sz w:val="32"/>
          <w:szCs w:val="32"/>
        </w:rPr>
        <w:t>268.47</w:t>
      </w:r>
      <w:r>
        <w:rPr>
          <w:rFonts w:hint="eastAsia" w:ascii="仿宋_GB2312" w:eastAsia="仿宋_GB2312" w:cs="仿宋_GB2312"/>
          <w:bCs/>
          <w:kern w:val="0"/>
          <w:sz w:val="32"/>
          <w:szCs w:val="32"/>
        </w:rPr>
        <w:t>万元，占比4.65%；其他收入0.44万元，占比0.01%；年初结转和结余</w:t>
      </w:r>
      <w:r>
        <w:rPr>
          <w:rFonts w:ascii="仿宋_GB2312" w:eastAsia="仿宋_GB2312" w:cs="仿宋_GB2312"/>
          <w:bCs/>
          <w:kern w:val="0"/>
          <w:sz w:val="32"/>
          <w:szCs w:val="32"/>
        </w:rPr>
        <w:t>380.09</w:t>
      </w:r>
      <w:r>
        <w:rPr>
          <w:rFonts w:hint="eastAsia" w:ascii="仿宋_GB2312" w:eastAsia="仿宋_GB2312" w:cs="仿宋_GB2312"/>
          <w:bCs/>
          <w:kern w:val="0"/>
          <w:sz w:val="32"/>
          <w:szCs w:val="32"/>
        </w:rPr>
        <w:t>万元，占比6.59%。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5071.98</w:t>
      </w:r>
      <w:r>
        <w:rPr>
          <w:rFonts w:hint="eastAsia" w:ascii="仿宋_GB2312" w:eastAsia="仿宋_GB2312" w:cs="仿宋_GB2312"/>
          <w:bCs/>
          <w:kern w:val="0"/>
          <w:sz w:val="32"/>
          <w:szCs w:val="32"/>
        </w:rPr>
        <w:t xml:space="preserve"> 万元，其中：基本支出</w:t>
      </w:r>
      <w:r>
        <w:rPr>
          <w:rFonts w:ascii="仿宋_GB2312" w:eastAsia="仿宋_GB2312" w:cs="仿宋_GB2312"/>
          <w:bCs/>
          <w:kern w:val="0"/>
          <w:sz w:val="32"/>
          <w:szCs w:val="32"/>
        </w:rPr>
        <w:t>4647.82</w:t>
      </w:r>
      <w:r>
        <w:rPr>
          <w:rFonts w:hint="eastAsia" w:ascii="仿宋_GB2312" w:eastAsia="仿宋_GB2312" w:cs="仿宋_GB2312"/>
          <w:bCs/>
          <w:kern w:val="0"/>
          <w:sz w:val="32"/>
          <w:szCs w:val="32"/>
        </w:rPr>
        <w:t>万元，占91.64%；项目支出</w:t>
      </w:r>
      <w:r>
        <w:rPr>
          <w:rFonts w:ascii="仿宋_GB2312" w:eastAsia="仿宋_GB2312" w:cs="仿宋_GB2312"/>
          <w:bCs/>
          <w:kern w:val="0"/>
          <w:sz w:val="32"/>
          <w:szCs w:val="32"/>
        </w:rPr>
        <w:t>424.16</w:t>
      </w:r>
      <w:r>
        <w:rPr>
          <w:rFonts w:hint="eastAsia" w:ascii="仿宋_GB2312" w:eastAsia="仿宋_GB2312" w:cs="仿宋_GB2312"/>
          <w:bCs/>
          <w:kern w:val="0"/>
          <w:sz w:val="32"/>
          <w:szCs w:val="32"/>
        </w:rPr>
        <w:t>万元， 占8.36%。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w:t>
      </w:r>
      <w:r>
        <w:rPr>
          <w:rFonts w:ascii="仿宋_GB2312" w:eastAsia="仿宋_GB2312" w:cs="仿宋_GB2312"/>
          <w:bCs/>
          <w:kern w:val="0"/>
          <w:sz w:val="32"/>
          <w:szCs w:val="32"/>
        </w:rPr>
        <w:t>5499.62</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5499.62</w:t>
      </w:r>
      <w:r>
        <w:rPr>
          <w:rFonts w:hint="eastAsia" w:ascii="仿宋_GB2312" w:eastAsia="仿宋_GB2312" w:cs="仿宋_GB2312"/>
          <w:bCs/>
          <w:kern w:val="0"/>
          <w:sz w:val="32"/>
          <w:szCs w:val="32"/>
        </w:rPr>
        <w:t>万元。与 2019 年相比，财政拨款收、支总计各增加576.3万元，增长11.71%。</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单位2020年度财政拨款支出</w:t>
      </w:r>
      <w:r>
        <w:rPr>
          <w:rFonts w:ascii="仿宋_GB2312" w:eastAsia="仿宋_GB2312" w:cs="仿宋_GB2312"/>
          <w:bCs/>
          <w:kern w:val="0"/>
          <w:sz w:val="32"/>
          <w:szCs w:val="32"/>
        </w:rPr>
        <w:t>5499.62</w:t>
      </w:r>
      <w:r>
        <w:rPr>
          <w:rFonts w:hint="eastAsia" w:ascii="仿宋_GB2312" w:eastAsia="仿宋_GB2312" w:cs="仿宋_GB2312"/>
          <w:bCs/>
          <w:kern w:val="0"/>
          <w:sz w:val="32"/>
          <w:szCs w:val="32"/>
        </w:rPr>
        <w:t>万元，占本年支出合计的 100%。与 2019 年相比，财政拨款支出增576.3万元，增加11.71%。</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w:t>
      </w:r>
      <w:r>
        <w:rPr>
          <w:rFonts w:ascii="仿宋_GB2312" w:eastAsia="仿宋_GB2312" w:cs="仿宋_GB2312"/>
          <w:bCs/>
          <w:kern w:val="0"/>
          <w:sz w:val="32"/>
          <w:szCs w:val="32"/>
        </w:rPr>
        <w:t>5499.62</w:t>
      </w:r>
      <w:r>
        <w:rPr>
          <w:rFonts w:hint="eastAsia" w:ascii="仿宋_GB2312" w:eastAsia="仿宋_GB2312" w:cs="仿宋_GB2312"/>
          <w:bCs/>
          <w:kern w:val="0"/>
          <w:sz w:val="32"/>
          <w:szCs w:val="32"/>
        </w:rPr>
        <w:t>万元，主要用于以下方面： 教育（类）支出</w:t>
      </w:r>
      <w:r>
        <w:rPr>
          <w:rFonts w:ascii="仿宋_GB2312" w:eastAsia="仿宋_GB2312" w:cs="仿宋_GB2312"/>
          <w:bCs/>
          <w:kern w:val="0"/>
          <w:sz w:val="32"/>
          <w:szCs w:val="32"/>
        </w:rPr>
        <w:t>3906.87</w:t>
      </w:r>
      <w:r>
        <w:rPr>
          <w:rFonts w:hint="eastAsia" w:ascii="仿宋_GB2312" w:eastAsia="仿宋_GB2312" w:cs="仿宋_GB2312"/>
          <w:bCs/>
          <w:kern w:val="0"/>
          <w:sz w:val="32"/>
          <w:szCs w:val="32"/>
        </w:rPr>
        <w:t>万元，占 71.04%；卫生健康支出（类） 支出</w:t>
      </w:r>
      <w:r>
        <w:rPr>
          <w:rFonts w:ascii="仿宋_GB2312" w:eastAsia="仿宋_GB2312" w:cs="仿宋_GB2312"/>
          <w:bCs/>
          <w:kern w:val="0"/>
          <w:sz w:val="32"/>
          <w:szCs w:val="32"/>
        </w:rPr>
        <w:t>190.58</w:t>
      </w:r>
      <w:r>
        <w:rPr>
          <w:rFonts w:hint="eastAsia" w:ascii="仿宋_GB2312" w:eastAsia="仿宋_GB2312" w:cs="仿宋_GB2312"/>
          <w:bCs/>
          <w:kern w:val="0"/>
          <w:sz w:val="32"/>
          <w:szCs w:val="32"/>
        </w:rPr>
        <w:t>万元，占3.46%；城乡社区支出（类）支出400万元，占7.28%；住房保障（类）支出住房保障支出</w:t>
      </w:r>
      <w:r>
        <w:rPr>
          <w:rFonts w:ascii="仿宋_GB2312" w:eastAsia="仿宋_GB2312" w:cs="仿宋_GB2312"/>
          <w:bCs/>
          <w:kern w:val="0"/>
          <w:sz w:val="32"/>
          <w:szCs w:val="32"/>
        </w:rPr>
        <w:t>304.94</w:t>
      </w:r>
      <w:r>
        <w:rPr>
          <w:rFonts w:hint="eastAsia" w:ascii="仿宋_GB2312" w:eastAsia="仿宋_GB2312" w:cs="仿宋_GB2312"/>
          <w:bCs/>
          <w:kern w:val="0"/>
          <w:sz w:val="32"/>
          <w:szCs w:val="32"/>
        </w:rPr>
        <w:t>万元，占5.51%；年末结转和结余</w:t>
      </w:r>
      <w:r>
        <w:rPr>
          <w:rFonts w:ascii="仿宋_GB2312" w:eastAsia="仿宋_GB2312" w:cs="仿宋_GB2312"/>
          <w:bCs/>
          <w:kern w:val="0"/>
          <w:sz w:val="32"/>
          <w:szCs w:val="32"/>
        </w:rPr>
        <w:t>697.24</w:t>
      </w:r>
      <w:r>
        <w:rPr>
          <w:rFonts w:hint="eastAsia" w:ascii="仿宋_GB2312" w:eastAsia="仿宋_GB2312" w:cs="仿宋_GB2312"/>
          <w:bCs/>
          <w:kern w:val="0"/>
          <w:sz w:val="32"/>
          <w:szCs w:val="32"/>
        </w:rPr>
        <w:t>万元，占 12.67%。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4079.08万元，支出决算为5499.62 万元，完成年初预算的134.83%。决算数大于预算数的主要原因：一是年中追加安排财政拨款支出预算，涉及项目有教育支出和城乡社区支出；二是部分支出按规定，通过使用以前年度财政拨款结转资金解决。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w:t>
      </w:r>
      <w:r>
        <w:rPr>
          <w:rFonts w:hint="eastAsia"/>
        </w:rPr>
        <w:t xml:space="preserve"> </w:t>
      </w:r>
      <w:r>
        <w:rPr>
          <w:rFonts w:hint="eastAsia" w:ascii="仿宋_GB2312" w:eastAsia="仿宋_GB2312" w:cs="仿宋_GB2312"/>
          <w:bCs/>
          <w:kern w:val="0"/>
          <w:sz w:val="32"/>
          <w:szCs w:val="32"/>
        </w:rPr>
        <w:t>教育支出（类）普通教育（款）高中教育（项）。年初预算为3583.56万元，支出决算为3906.87万元，完成年初预算的109.02%。决算数大于预算数的主要原因是职工人数增加。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卫生健康支出（类） 支出。年初预算为190.58万元，支出决算为190.58万元，完成年初预算的100%。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rPr>
        <w:t xml:space="preserve"> </w:t>
      </w:r>
      <w:r>
        <w:rPr>
          <w:rFonts w:hint="eastAsia" w:ascii="仿宋_GB2312" w:eastAsia="仿宋_GB2312" w:cs="仿宋_GB2312"/>
          <w:bCs/>
          <w:kern w:val="0"/>
          <w:sz w:val="32"/>
          <w:szCs w:val="32"/>
        </w:rPr>
        <w:t xml:space="preserve">城乡社区支出（类）国有土地使用权出让收入安排的支出（款）  其他国有土地使用权出让收入安排的支出（项）。年初预算为0万元，支出决算为400万元，完成年初预算的0%。决算数大于预算数的主要原因是偿还银行贷款。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w:t>
      </w:r>
      <w:r>
        <w:rPr>
          <w:rFonts w:hint="eastAsia"/>
        </w:rPr>
        <w:t xml:space="preserve"> </w:t>
      </w:r>
      <w:r>
        <w:rPr>
          <w:rFonts w:hint="eastAsia" w:ascii="仿宋_GB2312" w:eastAsia="仿宋_GB2312" w:cs="仿宋_GB2312"/>
          <w:bCs/>
          <w:kern w:val="0"/>
          <w:sz w:val="32"/>
          <w:szCs w:val="32"/>
        </w:rPr>
        <w:t>住房保障（类）支出住房保障支出。年初预算为304.94万元，支出决算为304.94万元，完成年初预算的100%。</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ascii="仿宋_GB2312" w:eastAsia="仿宋_GB2312" w:cs="仿宋_GB2312"/>
          <w:bCs/>
          <w:kern w:val="0"/>
          <w:sz w:val="32"/>
          <w:szCs w:val="32"/>
        </w:rPr>
        <w:t>4378.23</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ascii="仿宋_GB2312" w:eastAsia="仿宋_GB2312" w:cs="仿宋_GB2312"/>
          <w:bCs/>
          <w:kern w:val="0"/>
          <w:sz w:val="32"/>
          <w:szCs w:val="32"/>
        </w:rPr>
        <w:t>4195.9</w:t>
      </w:r>
      <w:r>
        <w:rPr>
          <w:rFonts w:hint="eastAsia" w:ascii="仿宋_GB2312" w:eastAsia="仿宋_GB2312" w:cs="仿宋_GB2312"/>
          <w:bCs/>
          <w:kern w:val="0"/>
          <w:sz w:val="32"/>
          <w:szCs w:val="32"/>
        </w:rPr>
        <w:t>9万元，主要包括：基本工资、津贴补贴、绩效工资、机关事业单位基本养老保险缴费、其他社会保障缴费、其他工资福利支出、退休费、生活补助、其他对个人和家庭的补助、住房公积金；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w:t>
      </w:r>
      <w:r>
        <w:rPr>
          <w:rFonts w:ascii="仿宋_GB2312" w:eastAsia="仿宋_GB2312" w:cs="仿宋_GB2312"/>
          <w:bCs/>
          <w:kern w:val="0"/>
          <w:sz w:val="32"/>
          <w:szCs w:val="32"/>
        </w:rPr>
        <w:t>182.24</w:t>
      </w:r>
      <w:r>
        <w:rPr>
          <w:rFonts w:hint="eastAsia" w:ascii="仿宋_GB2312" w:eastAsia="仿宋_GB2312" w:cs="仿宋_GB2312"/>
          <w:bCs/>
          <w:kern w:val="0"/>
          <w:sz w:val="32"/>
          <w:szCs w:val="32"/>
        </w:rPr>
        <w:t>万元，主要 包括：办公费、印刷费、水费、电费、邮电费、物业管理费、差旅费、维 修（护）费、租赁费、培训费、劳务费、公务用车运行维护费、其他交通费用、税金及附加费用、办公设备购置。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1.37万元，支出决算为0.26万元，完成预算的18.98%，其中：因公出国（境）费支出决算为0万元，完成预算的100%；公务用车购置及运行费支出决算为0.26万元，完成预算的29.88%；公务接待费支出决算为0万元，完成预算的0%。2020年度“三公”经费支出决算数小于预算数的主要原因是认真贯彻落实中央</w:t>
      </w:r>
      <w:bookmarkStart w:id="0" w:name="_GoBack"/>
      <w:bookmarkEnd w:id="0"/>
      <w:r>
        <w:rPr>
          <w:rFonts w:hint="eastAsia" w:ascii="仿宋_GB2312" w:eastAsia="仿宋_GB2312" w:cs="仿宋_GB2312"/>
          <w:bCs/>
          <w:kern w:val="0"/>
          <w:sz w:val="32"/>
          <w:szCs w:val="32"/>
        </w:rPr>
        <w:t>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2020年度“三公”经费财政拨款支出决算数比2019年减少0.05万元，下降23.8%，其中：因公出国（境）费支出决 算减少0万元，下降0%；公务用车购置及运行费支出 决算减少0.05万元，下降23.8%；公务接待费支出决算减少0万元，下降0%。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公务用车购置及运行费支出的主要原因是公务用车减少。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 支出决算0.26万元，占100%；公务接待费支出决算0万元，占0%。具体情况如下：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2.公务用车购置及运行费支出0.26万元。其中： 公务用车购置支出为0万元。公务用车运行支出0.26万元。主要用于维修、保险及加油。2020年，机关所属单位开支财政拨款的公务用车保有量为1辆。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 （根据实际情况作表述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 400万元、400万元。与 2019 年相比，收、支总计各减少859.56 万元，减少68.24%。其中，支出情况为：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2020年基金拨款年初预算为0元，支出决算400万元，完成年初预算0%，决算大于预算数主要原因：一是年中追加安排财政拨款支出预算，涉及项目有偿还银行贷款。其中： </w:t>
      </w:r>
    </w:p>
    <w:p>
      <w:pPr>
        <w:pStyle w:val="11"/>
        <w:numPr>
          <w:ilvl w:val="0"/>
          <w:numId w:val="1"/>
        </w:numPr>
        <w:autoSpaceDE w:val="0"/>
        <w:autoSpaceDN w:val="0"/>
        <w:adjustRightInd w:val="0"/>
        <w:spacing w:line="580" w:lineRule="exact"/>
        <w:ind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城乡社区支出（类）国有土地使用权出让收入安排的支出（款）  其他国有土地使用权出让收入安排的支出（项）。 年初预算0*万元，支出决算为400万元，完成年初预算的 0%。决算数大于预算数的主要原因是年中追加安排财政拨款支出预算偿还银行贷款。</w:t>
      </w:r>
    </w:p>
    <w:p>
      <w:pPr>
        <w:ind w:left="464" w:leftChars="221" w:firstLine="161" w:firstLineChars="50"/>
        <w:rPr>
          <w:rFonts w:ascii="仿宋_GB2312" w:eastAsia="仿宋_GB2312"/>
          <w:b/>
          <w:sz w:val="32"/>
          <w:szCs w:val="32"/>
        </w:rPr>
      </w:pPr>
      <w:r>
        <w:rPr>
          <w:rFonts w:hint="eastAsia" w:ascii="仿宋_GB2312" w:eastAsia="仿宋_GB2312" w:cs="仿宋_GB2312"/>
          <w:b/>
          <w:bCs/>
          <w:kern w:val="0"/>
          <w:sz w:val="32"/>
          <w:szCs w:val="32"/>
        </w:rPr>
        <w:t>九、</w:t>
      </w:r>
      <w:r>
        <w:rPr>
          <w:rFonts w:hint="eastAsia" w:ascii="仿宋_GB2312" w:eastAsia="仿宋_GB2312"/>
          <w:b/>
          <w:sz w:val="32"/>
          <w:szCs w:val="32"/>
        </w:rPr>
        <w:t>国有资本经营预算财政拨款支出决算情况</w:t>
      </w:r>
    </w:p>
    <w:p>
      <w:pPr>
        <w:ind w:left="464" w:leftChars="221" w:firstLine="160" w:firstLineChars="50"/>
        <w:rPr>
          <w:rFonts w:ascii="仿宋_GB2312" w:eastAsia="仿宋_GB2312" w:cs="仿宋_GB2312"/>
          <w:bCs/>
          <w:kern w:val="0"/>
          <w:sz w:val="32"/>
          <w:szCs w:val="32"/>
        </w:rPr>
      </w:pPr>
      <w:r>
        <w:rPr>
          <w:rFonts w:hint="eastAsia" w:ascii="仿宋_GB2312" w:eastAsia="仿宋_GB2312" w:cs="仿宋_GB2312"/>
          <w:bCs/>
          <w:kern w:val="0"/>
          <w:sz w:val="32"/>
          <w:szCs w:val="32"/>
        </w:rPr>
        <w:t>无</w:t>
      </w:r>
      <w:r>
        <w:rPr>
          <w:rFonts w:hint="eastAsia" w:ascii="仿宋_GB2312" w:eastAsia="仿宋_GB2312"/>
          <w:sz w:val="32"/>
          <w:szCs w:val="32"/>
        </w:rPr>
        <w:t>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 预算项目支出全面开展绩效自评。其中，一级项目三个，二 级项目九个，共涉及预算资金</w:t>
      </w:r>
      <w:r>
        <w:rPr>
          <w:rFonts w:ascii="仿宋_GB2312" w:eastAsia="仿宋_GB2312" w:cs="仿宋_GB2312"/>
          <w:bCs/>
          <w:kern w:val="0"/>
          <w:sz w:val="32"/>
          <w:szCs w:val="32"/>
        </w:rPr>
        <w:t>4862.06</w:t>
      </w:r>
      <w:r>
        <w:rPr>
          <w:rFonts w:hint="eastAsia" w:ascii="仿宋_GB2312" w:eastAsia="仿宋_GB2312" w:cs="仿宋_GB2312"/>
          <w:bCs/>
          <w:kern w:val="0"/>
          <w:sz w:val="32"/>
          <w:szCs w:val="32"/>
        </w:rPr>
        <w:t>万元，自评覆盖率达到100%。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（一）机关运行经费支出情况。2020年度单位机关运行经费支出0万元。</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（二）政府采购支出情况。2020年度单位政府采购支出总额24.35万元，其中：货物支出24.35万元。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（三）国有资产占用情况。截至年末单位共有车辆1辆，其中：公务用车1辆；单价50万元 以上通用设备0台（套），单价100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事业收入：指事业单位开展专业活动用辅助活动所取得的收入。如：学费、住宿费</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其他收入：指除上述“财政拨款收入”、“事业收入”、“经营收入”等以外的收入。主要是：利息收入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- 21 -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86C9B"/>
    <w:multiLevelType w:val="multilevel"/>
    <w:tmpl w:val="43E86C9B"/>
    <w:lvl w:ilvl="0" w:tentative="0">
      <w:start w:val="1"/>
      <w:numFmt w:val="decimal"/>
      <w:lvlText w:val="%1."/>
      <w:lvlJc w:val="left"/>
      <w:pPr>
        <w:ind w:left="885" w:hanging="4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Y2Y5Y2UxZjkwY2NiYzg1MTM4ZmQzOTFhYWJhY2IifQ=="/>
  </w:docVars>
  <w:rsids>
    <w:rsidRoot w:val="4C256E3D"/>
    <w:rsid w:val="00066CA3"/>
    <w:rsid w:val="00306AB9"/>
    <w:rsid w:val="003A260A"/>
    <w:rsid w:val="003D46A3"/>
    <w:rsid w:val="00440997"/>
    <w:rsid w:val="00460568"/>
    <w:rsid w:val="004A5C6E"/>
    <w:rsid w:val="004F1DDE"/>
    <w:rsid w:val="006C1367"/>
    <w:rsid w:val="006D4F39"/>
    <w:rsid w:val="006F6BCB"/>
    <w:rsid w:val="00715385"/>
    <w:rsid w:val="0078055A"/>
    <w:rsid w:val="007B66B8"/>
    <w:rsid w:val="007C1106"/>
    <w:rsid w:val="00903A83"/>
    <w:rsid w:val="00925AD0"/>
    <w:rsid w:val="0097681C"/>
    <w:rsid w:val="009906C4"/>
    <w:rsid w:val="00A10AB0"/>
    <w:rsid w:val="00B41DB8"/>
    <w:rsid w:val="00BD53DF"/>
    <w:rsid w:val="00CA0993"/>
    <w:rsid w:val="00E05775"/>
    <w:rsid w:val="00EB55E3"/>
    <w:rsid w:val="00EE5381"/>
    <w:rsid w:val="00F42A8E"/>
    <w:rsid w:val="00F66C5B"/>
    <w:rsid w:val="00F86143"/>
    <w:rsid w:val="00FE343C"/>
    <w:rsid w:val="00FF02D7"/>
    <w:rsid w:val="0DA86951"/>
    <w:rsid w:val="0E074DDF"/>
    <w:rsid w:val="124204B5"/>
    <w:rsid w:val="182962AB"/>
    <w:rsid w:val="19D073EB"/>
    <w:rsid w:val="1CC31F67"/>
    <w:rsid w:val="24D337DC"/>
    <w:rsid w:val="26460DBA"/>
    <w:rsid w:val="2B6F74EB"/>
    <w:rsid w:val="2C4219FE"/>
    <w:rsid w:val="34020F86"/>
    <w:rsid w:val="37D30FD8"/>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1138</Words>
  <Characters>6487</Characters>
  <Lines>54</Lines>
  <Paragraphs>15</Paragraphs>
  <TotalTime>185</TotalTime>
  <ScaleCrop>false</ScaleCrop>
  <LinksUpToDate>false</LinksUpToDate>
  <CharactersWithSpaces>7610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2022-09-10T12:02:53Z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5F0D8338C63341808B9353F8FE33D4EB</vt:lpwstr>
  </property>
</Properties>
</file>