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柳州市军事博物园</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（1）贯彻落实中央、自治区关于国防教育、文物保护和博物馆事业的方针、政策，严格执行《国防教育法》、《国家文物保护法》、《博物馆管理条例》等法律法规，开展博物园各项工作。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（2）负责柳州旧机场及城防工事群旧址、桂南会战检讨会旧址、胡志明旧居等抗战遗址和文物的管理保护工作；指导廖磊公馆、沙塘农事试验场旧址、泗角碉楼等抗战遗址和文物的管理保护工作。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（3）负责具有历史、教育和科学价值的抗战文物、军事展品的征集、研究、收藏、保管、陈列、展示，充实博物园展品内容，提高展品的内涵。</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（4）负责馆藏文物、展品的鉴定、整理、修复、建档、养护和保管工作。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（5）负责“国防教育基地”、“爱国主义教育基地”建设，开展国防教育、爱国主义教育和抗战历史教育活动。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（6）承担柳州抗战史、军事史、抗战文化的学术研究并开展对外交流。</w:t>
      </w:r>
    </w:p>
    <w:p>
      <w:pPr>
        <w:ind w:firstLine="646"/>
        <w:rPr>
          <w:rFonts w:ascii="仿宋_GB2312" w:eastAsia="仿宋_GB2312"/>
          <w:b/>
          <w:bCs/>
          <w:sz w:val="32"/>
          <w:szCs w:val="32"/>
        </w:rPr>
      </w:pPr>
      <w:r>
        <w:rPr>
          <w:rFonts w:hint="eastAsia" w:ascii="仿宋_GB2312" w:eastAsia="仿宋_GB2312"/>
          <w:b/>
          <w:bCs/>
          <w:sz w:val="32"/>
          <w:szCs w:val="32"/>
        </w:rPr>
        <w:t>二、单位决算单位构成</w:t>
      </w:r>
    </w:p>
    <w:p>
      <w:pPr>
        <w:ind w:firstLine="640" w:firstLineChars="200"/>
        <w:rPr>
          <w:rFonts w:ascii="仿宋_GB2312" w:hAnsi="黑体" w:eastAsia="仿宋_GB2312"/>
          <w:sz w:val="32"/>
          <w:szCs w:val="32"/>
        </w:rPr>
      </w:pPr>
      <w:r>
        <w:rPr>
          <w:rFonts w:hint="eastAsia" w:ascii="仿宋_GB2312" w:hAnsi="黑体" w:eastAsia="仿宋_GB2312"/>
          <w:sz w:val="32"/>
          <w:szCs w:val="32"/>
        </w:rPr>
        <w:t>柳州市军事博物园为柳州市文化广电和旅游局管理的全额拨款事业单位。</w:t>
      </w:r>
    </w:p>
    <w:p>
      <w:pPr>
        <w:ind w:firstLine="645"/>
        <w:rPr>
          <w:rFonts w:ascii="仿宋_GB2312" w:eastAsia="仿宋_GB2312"/>
          <w:sz w:val="32"/>
          <w:szCs w:val="32"/>
        </w:rPr>
      </w:pPr>
    </w:p>
    <w:p>
      <w:pPr>
        <w:jc w:val="center"/>
      </w:pPr>
    </w:p>
    <w:p>
      <w:pPr>
        <w:jc w:val="center"/>
      </w:pPr>
    </w:p>
    <w:p>
      <w:pPr>
        <w:jc w:val="center"/>
      </w:pPr>
    </w:p>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2020年单位决算报表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表一：收入支出决算总表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表二：收入决算表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表三：支出决算表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表四：财政拨款收入支出决算总表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表五：一般公共预算财政拨款支出决算表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表六：一般公共预算财政拨款基本支出决算表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表七：一般公共预算财政拨款安排的“三公”经费支出决算表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表九：国有资本经营预算财政拨款支出决算表</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p/>
    <w:p/>
    <w:p/>
    <w:p/>
    <w:p/>
    <w:p/>
    <w:p/>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柳州市军事博物园</w:t>
      </w:r>
      <w:r>
        <w:rPr>
          <w:rFonts w:hint="eastAsia" w:ascii="仿宋_GB2312" w:eastAsia="仿宋_GB2312"/>
          <w:b/>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2020年度收入总计3757.75万元，支出总计3757.75万元，与2019年相比，收、支分别增加500.51万元；分别增长15.36%。主要原因：上级下达国家文物保护专项资金。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本年收入总计2438.94万元，其中：一般公共预算财政拨款收入1694.69万元；占比69.49%；上级补助收入730万元，占比29.93%；其他收入14.26万元，占比0.58%。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本年支出合计3713.54万元，其中：基本支出386.17万元，占10.4%；项目支出3327.37万元，占89.6%。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2878.58万元、2878.58万元。与2019年相比，财政拨款收、支总计各减少213.19万元，降低6.89%。主要原因：部分项目支出需按工程进度支付，因2020年未达到相关进度，故无法按计划完成款项支付，因此2020年度财政拨款支出减少。</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单位2020年度财政拨款支出2864.12万元，占本年支出合计的99.49%。与2019年相比，财政拨款支出增加963.07万元，增长50.65%。主要原因：上级下达国家文物保护专项资金。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财政拨款支出2864.12万元，主要用于以下方面：文化旅游体育与传媒支出2725.15万元，占95.15%；社会保障和就业支出43.84万元，占1.53%；卫生健康支出12.65万元，占0.44%；住房保障支出33.16万元，占1.16%；其他支出49.33万元，占1.72%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784.92万元，支出决算为2864.12万元，完成年初预算的264.89%。决算数大于预算数的主要原因：一是年中追加安排财政拨款支出预算，涉及项目有免费开放补助资金、国家文物保护专项资金、中央支持地方公共文化服务体系建设补助资金等；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1.文化旅游体育与传媒支出（类）文物（款）文物保护（项）年初预算为</w:t>
      </w:r>
      <w:r>
        <w:rPr>
          <w:rFonts w:hint="eastAsia" w:ascii="仿宋_GB2312" w:eastAsia="仿宋_GB2312"/>
          <w:sz w:val="28"/>
          <w:szCs w:val="28"/>
        </w:rPr>
        <w:t>0</w:t>
      </w:r>
      <w:r>
        <w:rPr>
          <w:rFonts w:hint="eastAsia" w:ascii="仿宋_GB2312" w:eastAsia="仿宋_GB2312" w:cs="仿宋_GB2312"/>
          <w:bCs/>
          <w:kern w:val="0"/>
          <w:sz w:val="32"/>
          <w:szCs w:val="32"/>
        </w:rPr>
        <w:t>万元，支出决算为736.73万元。决算数大于预算数的主要原因是上级下达了文物保护经费。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2.文化旅游体育与传媒支出（类）文物（款）博物馆（项）年初预算为</w:t>
      </w:r>
      <w:r>
        <w:rPr>
          <w:rFonts w:hint="eastAsia" w:ascii="仿宋_GB2312" w:eastAsia="仿宋_GB2312"/>
          <w:sz w:val="28"/>
          <w:szCs w:val="28"/>
        </w:rPr>
        <w:t>709.92</w:t>
      </w:r>
      <w:r>
        <w:rPr>
          <w:rFonts w:hint="eastAsia" w:ascii="仿宋_GB2312" w:eastAsia="仿宋_GB2312" w:cs="仿宋_GB2312"/>
          <w:bCs/>
          <w:kern w:val="0"/>
          <w:sz w:val="32"/>
          <w:szCs w:val="32"/>
        </w:rPr>
        <w:t>万元，支出决算为2837.82万元，完成年初预算的399.73%。决算数大于预算数的主要原因是增人增资、上级下拨免费开放经费及动用上年结转（结余）。</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3.社会保障和就业支出（类）行政事业单位养老支出（款）机关事业单位基本养老保险缴费支出（项）年初预算为</w:t>
      </w:r>
      <w:r>
        <w:rPr>
          <w:rFonts w:hint="eastAsia" w:ascii="仿宋_GB2312" w:eastAsia="仿宋_GB2312"/>
          <w:sz w:val="28"/>
          <w:szCs w:val="28"/>
        </w:rPr>
        <w:t>27.53</w:t>
      </w:r>
      <w:r>
        <w:rPr>
          <w:rFonts w:hint="eastAsia" w:ascii="仿宋_GB2312" w:eastAsia="仿宋_GB2312" w:cs="仿宋_GB2312"/>
          <w:bCs/>
          <w:kern w:val="0"/>
          <w:sz w:val="32"/>
          <w:szCs w:val="32"/>
        </w:rPr>
        <w:t>万元，支出决算为30.07万元，完成年初预算的109.22%。决算数大于预算数的主要原因是增人增资。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4.社会保障和就业支出（类）行政事业单位养老支出（款）机关事业单位职业年金缴费支出（项）年初预算为</w:t>
      </w:r>
      <w:r>
        <w:rPr>
          <w:rFonts w:hint="eastAsia" w:ascii="仿宋_GB2312" w:eastAsia="仿宋_GB2312"/>
          <w:sz w:val="28"/>
          <w:szCs w:val="28"/>
        </w:rPr>
        <w:t>13.77</w:t>
      </w:r>
      <w:r>
        <w:rPr>
          <w:rFonts w:hint="eastAsia" w:ascii="仿宋_GB2312" w:eastAsia="仿宋_GB2312" w:cs="仿宋_GB2312"/>
          <w:bCs/>
          <w:kern w:val="0"/>
          <w:sz w:val="32"/>
          <w:szCs w:val="32"/>
        </w:rPr>
        <w:t>万元，支出决算为13.76万元，完成年初预算的99.93%。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5.卫生健康支出（类）行政事业单位医疗（款）事业单位医疗（项）年初预算为</w:t>
      </w:r>
      <w:r>
        <w:rPr>
          <w:rFonts w:hint="eastAsia" w:ascii="仿宋_GB2312" w:eastAsia="仿宋_GB2312"/>
          <w:sz w:val="28"/>
          <w:szCs w:val="28"/>
        </w:rPr>
        <w:t>13.05</w:t>
      </w:r>
      <w:r>
        <w:rPr>
          <w:rFonts w:hint="eastAsia" w:ascii="仿宋_GB2312" w:eastAsia="仿宋_GB2312" w:cs="仿宋_GB2312"/>
          <w:bCs/>
          <w:kern w:val="0"/>
          <w:sz w:val="32"/>
          <w:szCs w:val="32"/>
        </w:rPr>
        <w:t>万元，支出决算为12.65万元，完成年初预算的96.93%。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6.住房保障支出（类）住房改革支出（款）住房公积金（项）年初预算为</w:t>
      </w:r>
      <w:r>
        <w:rPr>
          <w:rFonts w:hint="eastAsia" w:ascii="仿宋_GB2312" w:eastAsia="仿宋_GB2312"/>
          <w:sz w:val="28"/>
          <w:szCs w:val="28"/>
        </w:rPr>
        <w:t>20.65</w:t>
      </w:r>
      <w:r>
        <w:rPr>
          <w:rFonts w:hint="eastAsia" w:ascii="仿宋_GB2312" w:eastAsia="仿宋_GB2312" w:cs="仿宋_GB2312"/>
          <w:bCs/>
          <w:kern w:val="0"/>
          <w:sz w:val="32"/>
          <w:szCs w:val="32"/>
        </w:rPr>
        <w:t>万元，支出决算为33.15万元，完成年初预算的160.53%。决算数大于预算数的主要原因是增人增资。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7.其他支出（类）其他支出（款）其他支出（项）年初预算为</w:t>
      </w:r>
      <w:r>
        <w:rPr>
          <w:rFonts w:hint="eastAsia" w:ascii="仿宋_GB2312" w:eastAsia="仿宋_GB2312"/>
          <w:sz w:val="28"/>
          <w:szCs w:val="28"/>
        </w:rPr>
        <w:t>0</w:t>
      </w:r>
      <w:r>
        <w:rPr>
          <w:rFonts w:hint="eastAsia" w:ascii="仿宋_GB2312" w:eastAsia="仿宋_GB2312" w:cs="仿宋_GB2312"/>
          <w:bCs/>
          <w:kern w:val="0"/>
          <w:sz w:val="32"/>
          <w:szCs w:val="32"/>
        </w:rPr>
        <w:t>万元，支出决算为49.32万元。决算数大于预算数的主要原因是动用上年结转（结余）。</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2020年度财政拨款基本支出386.17万元，其中：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人员经费365.54万元，主要包括：基本工资、津贴补贴、伙食补助费、绩效工资、机关事业单位基本养老保险缴费、职业年金缴费、职工基本医疗保险缴费、其他社会保障缴费、住房公积金；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公用经费20.63万元，主要包括：办公费、印刷费、手续费、水费、电费、邮电费、物业管理费、差旅费、维修（护）费、培训费、工会经费、其他商品和服务支出。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2.7万元，支出决算为0万元，其中：因公出国（境）费支出决算为0万元；公务用车购置及运行费支出决算为0万元；公务接待费支出决算为0万元。2020年度“三公”经费支出决算数小于预算数的主要原因是认真贯彻落实中央</w:t>
      </w:r>
      <w:bookmarkStart w:id="0" w:name="_GoBack"/>
      <w:bookmarkEnd w:id="0"/>
      <w:r>
        <w:rPr>
          <w:rFonts w:hint="eastAsia" w:ascii="仿宋_GB2312" w:eastAsia="仿宋_GB2312" w:cs="仿宋_GB2312"/>
          <w:bCs/>
          <w:kern w:val="0"/>
          <w:sz w:val="32"/>
          <w:szCs w:val="32"/>
        </w:rPr>
        <w:t>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2020年度“三公”经费财政拨款支出，与2019年相比无增减。</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因公出国（境）费支出，与2019年相比无增减；公务用车购置及运行费支出，与2019年相比无增减；公务接待费支出，与2019年相比无增减。</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2020年度“三公”经费财政拨款支出决算中，因公出国（境）费支出决算0万元；公务用车购置及运行费支出决算0万元；公务接待费支出决算0万元。具体情况如下：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八、2020年度政府性基金预算财政拨款收入支出决算情况说明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本单位2020年度无政府性基金预算财政拨款收入支出。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根据财政预算管理要求，我单位组织对2020年度一般公共预算项目支出全面开展绩效自评，涉及柳州市军事博物园预算整体支出绩效目标1个，共涉及预算资金784.92万元，自评覆盖率达到100%。</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pStyle w:val="2"/>
        <w:spacing w:after="0" w:line="560" w:lineRule="exact"/>
        <w:ind w:firstLine="640" w:firstLineChars="200"/>
        <w:rPr>
          <w:rFonts w:eastAsia="仿宋_GB2312"/>
          <w:sz w:val="32"/>
          <w:szCs w:val="32"/>
        </w:rPr>
      </w:pPr>
      <w:r>
        <w:rPr>
          <w:rFonts w:hint="eastAsia" w:eastAsia="仿宋_GB2312"/>
          <w:sz w:val="32"/>
          <w:szCs w:val="32"/>
        </w:rPr>
        <w:t>柳州市军事博物园按照上级的总体工作部署和单位工作计划，紧围绕基层党建、免费开放、新馆建设、文物征集与保护、对外宣传及安全工作等重点内容，扎实推进各项工作顺利开展。2020年军博园获评为自治区关心下一代党史国史教育基地、柳州市民族团结进步教育基地、柳南区优秀志愿服务先进集体，讲解组获柳州市“青年文明号”称号。受疫情影响，自3月28日园区恢复开放以来，共接待游客28万人次，团队114个。</w:t>
      </w:r>
      <w:r>
        <w:rPr>
          <w:rFonts w:hint="eastAsia" w:ascii="仿宋_GB2312" w:hAnsi="仿宋_GB2312" w:eastAsia="仿宋_GB2312" w:cs="仿宋_GB2312"/>
          <w:sz w:val="32"/>
          <w:szCs w:val="32"/>
        </w:rPr>
        <w:t>军博园社教活动以线上为主，线下为辅，以“博物馆宣传月”“国防教育日”为重点，开展了线上VR全景导览服务、“开学第一课”--纪念抗战胜利爱国主义教育活动、拍摄《答案--小小讲解员》宣传片等活动9场次。其中，“开学第一课”和《答案--小小讲解员》得到了“云课程”、“学习强国”、“画卷柳州”等平台采用，进一步扩大宣传的覆盖面和社会影响力。</w:t>
      </w:r>
    </w:p>
    <w:p>
      <w:pPr>
        <w:autoSpaceDE w:val="0"/>
        <w:autoSpaceDN w:val="0"/>
        <w:adjustRightInd w:val="0"/>
        <w:ind w:firstLine="640" w:firstLineChars="200"/>
        <w:rPr>
          <w:rFonts w:ascii="仿宋_GB2312" w:hAnsi="宋体" w:eastAsia="仿宋_GB2312" w:cs="仿宋_GB2312"/>
          <w:color w:val="333333"/>
          <w:sz w:val="32"/>
          <w:szCs w:val="32"/>
          <w:shd w:val="clear" w:color="auto" w:fill="FFFFFF"/>
        </w:rPr>
      </w:pPr>
      <w:r>
        <w:rPr>
          <w:rFonts w:hint="eastAsia" w:ascii="仿宋_GB2312" w:eastAsia="仿宋_GB2312" w:cs="仿宋_GB2312"/>
          <w:bCs/>
          <w:kern w:val="0"/>
          <w:sz w:val="32"/>
          <w:szCs w:val="32"/>
        </w:rPr>
        <w:t>经评定，本单位的预算绩效自评为优秀。</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（一）机关运行经费支出情况。2020年度单位机关运行经费支出0万元，比2019年增加0万元，与上年持平。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（二）政府采购支出情况。2020年度单位政府采购支出总额201.81万元，其中：货物支出0万元、工程支出0万元、服务支出201.81万元。</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（三）国有资产占用情况。截至年末单位无车辆；单价50万元以上通用设备</w:t>
      </w:r>
      <w:r>
        <w:rPr>
          <w:rFonts w:hint="eastAsia" w:hAnsi="宋体" w:eastAsia="仿宋_GB2312"/>
          <w:sz w:val="28"/>
          <w:szCs w:val="28"/>
        </w:rPr>
        <w:t>0</w:t>
      </w:r>
      <w:r>
        <w:rPr>
          <w:rFonts w:hint="eastAsia" w:ascii="仿宋_GB2312" w:eastAsia="仿宋_GB2312" w:cs="仿宋_GB2312"/>
          <w:kern w:val="0"/>
          <w:sz w:val="32"/>
          <w:szCs w:val="32"/>
        </w:rPr>
        <w:t>台（套），单价100万元以上专用设备</w:t>
      </w:r>
      <w:r>
        <w:rPr>
          <w:rFonts w:hint="eastAsia" w:hAnsi="宋体" w:eastAsia="仿宋_GB2312"/>
          <w:sz w:val="28"/>
          <w:szCs w:val="28"/>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- 6 -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027E8"/>
    <w:rsid w:val="00066CA3"/>
    <w:rsid w:val="000C589B"/>
    <w:rsid w:val="000E4D39"/>
    <w:rsid w:val="00131277"/>
    <w:rsid w:val="00143F80"/>
    <w:rsid w:val="00157782"/>
    <w:rsid w:val="0019501C"/>
    <w:rsid w:val="001F02FC"/>
    <w:rsid w:val="0020613D"/>
    <w:rsid w:val="0024011A"/>
    <w:rsid w:val="00275069"/>
    <w:rsid w:val="002C6031"/>
    <w:rsid w:val="002D074F"/>
    <w:rsid w:val="002D426A"/>
    <w:rsid w:val="003F5176"/>
    <w:rsid w:val="004813B8"/>
    <w:rsid w:val="0049279A"/>
    <w:rsid w:val="005149D3"/>
    <w:rsid w:val="00543D16"/>
    <w:rsid w:val="006232FD"/>
    <w:rsid w:val="006503B9"/>
    <w:rsid w:val="0066162F"/>
    <w:rsid w:val="00673A84"/>
    <w:rsid w:val="00680D41"/>
    <w:rsid w:val="006A7316"/>
    <w:rsid w:val="006C1367"/>
    <w:rsid w:val="006C7B72"/>
    <w:rsid w:val="006E75C1"/>
    <w:rsid w:val="006F0660"/>
    <w:rsid w:val="00715385"/>
    <w:rsid w:val="007347FA"/>
    <w:rsid w:val="00751743"/>
    <w:rsid w:val="0075627C"/>
    <w:rsid w:val="007D4351"/>
    <w:rsid w:val="007E1F53"/>
    <w:rsid w:val="00821531"/>
    <w:rsid w:val="008349A7"/>
    <w:rsid w:val="008400F7"/>
    <w:rsid w:val="008C0703"/>
    <w:rsid w:val="008C1937"/>
    <w:rsid w:val="008C435E"/>
    <w:rsid w:val="0098763A"/>
    <w:rsid w:val="009924EC"/>
    <w:rsid w:val="009C6CC9"/>
    <w:rsid w:val="009D2907"/>
    <w:rsid w:val="00AB1785"/>
    <w:rsid w:val="00AD2C29"/>
    <w:rsid w:val="00AD4B96"/>
    <w:rsid w:val="00B07E7D"/>
    <w:rsid w:val="00B84C05"/>
    <w:rsid w:val="00BC55DF"/>
    <w:rsid w:val="00BD5E2A"/>
    <w:rsid w:val="00C21C17"/>
    <w:rsid w:val="00C669F6"/>
    <w:rsid w:val="00C937DC"/>
    <w:rsid w:val="00CB543D"/>
    <w:rsid w:val="00D423ED"/>
    <w:rsid w:val="00D54636"/>
    <w:rsid w:val="00DA153C"/>
    <w:rsid w:val="00DD3B91"/>
    <w:rsid w:val="00E10829"/>
    <w:rsid w:val="00E2066E"/>
    <w:rsid w:val="00E44ECA"/>
    <w:rsid w:val="00EA2A23"/>
    <w:rsid w:val="00ED0A3E"/>
    <w:rsid w:val="00ED38E7"/>
    <w:rsid w:val="00F66C5B"/>
    <w:rsid w:val="00FB3970"/>
    <w:rsid w:val="03C32283"/>
    <w:rsid w:val="063F5DAF"/>
    <w:rsid w:val="07A80860"/>
    <w:rsid w:val="07DA7D84"/>
    <w:rsid w:val="097C3BD5"/>
    <w:rsid w:val="0A715276"/>
    <w:rsid w:val="0E074DDF"/>
    <w:rsid w:val="10570F4A"/>
    <w:rsid w:val="11691A08"/>
    <w:rsid w:val="11F47C38"/>
    <w:rsid w:val="121F3234"/>
    <w:rsid w:val="124204B5"/>
    <w:rsid w:val="12AC5B06"/>
    <w:rsid w:val="1425512B"/>
    <w:rsid w:val="15C176F6"/>
    <w:rsid w:val="167A581F"/>
    <w:rsid w:val="182962AB"/>
    <w:rsid w:val="19D073EB"/>
    <w:rsid w:val="1B4A33B8"/>
    <w:rsid w:val="1C5E6C23"/>
    <w:rsid w:val="1CC31F67"/>
    <w:rsid w:val="1F147BAC"/>
    <w:rsid w:val="234E406F"/>
    <w:rsid w:val="23941A60"/>
    <w:rsid w:val="24D337DC"/>
    <w:rsid w:val="25E63A70"/>
    <w:rsid w:val="26460DBA"/>
    <w:rsid w:val="26955D05"/>
    <w:rsid w:val="26A15BCC"/>
    <w:rsid w:val="2888542A"/>
    <w:rsid w:val="2B6F74EB"/>
    <w:rsid w:val="2C4219FE"/>
    <w:rsid w:val="2E3D4A90"/>
    <w:rsid w:val="2F921688"/>
    <w:rsid w:val="32F072B6"/>
    <w:rsid w:val="33715FA5"/>
    <w:rsid w:val="34020F86"/>
    <w:rsid w:val="398D170F"/>
    <w:rsid w:val="39A63F06"/>
    <w:rsid w:val="3B8C01B2"/>
    <w:rsid w:val="3ED1439F"/>
    <w:rsid w:val="476C5CE9"/>
    <w:rsid w:val="47B4088E"/>
    <w:rsid w:val="48374EDC"/>
    <w:rsid w:val="4B5516EF"/>
    <w:rsid w:val="4C1071A1"/>
    <w:rsid w:val="4C256E3D"/>
    <w:rsid w:val="4CAB43FA"/>
    <w:rsid w:val="4CB52F0F"/>
    <w:rsid w:val="4FC75F1D"/>
    <w:rsid w:val="4FE473C9"/>
    <w:rsid w:val="502D37C3"/>
    <w:rsid w:val="502E30BA"/>
    <w:rsid w:val="532F1F9A"/>
    <w:rsid w:val="551B704B"/>
    <w:rsid w:val="576107DF"/>
    <w:rsid w:val="58C91360"/>
    <w:rsid w:val="5C9B289B"/>
    <w:rsid w:val="5D4717A8"/>
    <w:rsid w:val="5E995A3E"/>
    <w:rsid w:val="5F78202D"/>
    <w:rsid w:val="61C0384D"/>
    <w:rsid w:val="62163194"/>
    <w:rsid w:val="624D024D"/>
    <w:rsid w:val="63EA4C0C"/>
    <w:rsid w:val="64B349EB"/>
    <w:rsid w:val="650E086A"/>
    <w:rsid w:val="67107A0A"/>
    <w:rsid w:val="6820743A"/>
    <w:rsid w:val="68DF1045"/>
    <w:rsid w:val="6BAA0708"/>
    <w:rsid w:val="6C1B671A"/>
    <w:rsid w:val="6F7C5DFA"/>
    <w:rsid w:val="71911114"/>
    <w:rsid w:val="736447D8"/>
    <w:rsid w:val="796C1952"/>
    <w:rsid w:val="7BD512EC"/>
    <w:rsid w:val="7F593E25"/>
    <w:rsid w:val="7FD25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widowControl/>
      <w:spacing w:after="120" w:line="276" w:lineRule="auto"/>
      <w:jc w:val="left"/>
    </w:pPr>
    <w:rPr>
      <w:kern w:val="0"/>
      <w:sz w:val="22"/>
      <w:szCs w:val="2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 w:type="paragraph" w:customStyle="1" w:styleId="12">
    <w:name w:val="正文1"/>
    <w:basedOn w:val="13"/>
    <w:qFormat/>
    <w:uiPriority w:val="3"/>
    <w:pPr>
      <w:jc w:val="both"/>
    </w:pPr>
    <w:rPr>
      <w:rFonts w:ascii="Times New Roman" w:hAnsi="Times New Roman" w:eastAsia="Times New Roman"/>
      <w:sz w:val="21"/>
    </w:rPr>
  </w:style>
  <w:style w:type="paragraph" w:customStyle="1" w:styleId="13">
    <w:name w:val="[Normal]"/>
    <w:qFormat/>
    <w:uiPriority w:val="6"/>
    <w:rPr>
      <w:rFonts w:ascii="宋体" w:hAnsi="宋体" w:eastAsia="宋体" w:cs="Times New Roman"/>
      <w:sz w:val="24"/>
      <w:lang w:val="zh-CN" w:eastAsia="zh-CN" w:bidi="ar-SA"/>
    </w:rPr>
  </w:style>
  <w:style w:type="character" w:customStyle="1" w:styleId="14">
    <w:name w:val="正文文本 Char"/>
    <w:basedOn w:val="7"/>
    <w:link w:val="2"/>
    <w:qFormat/>
    <w:uiPriority w:val="0"/>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781</Words>
  <Characters>4458</Characters>
  <Lines>37</Lines>
  <Paragraphs>10</Paragraphs>
  <TotalTime>112</TotalTime>
  <ScaleCrop>false</ScaleCrop>
  <LinksUpToDate>false</LinksUpToDate>
  <CharactersWithSpaces>5229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2022-09-10T11:44:32Z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D07A2859EFCF4BC0ADA7DBD7BDF7FD16</vt:lpwstr>
  </property>
</Properties>
</file>