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165BE">
      <w:pPr>
        <w:rPr>
          <w:rFonts w:ascii="仿宋_GB2312" w:eastAsia="仿宋_GB2312" w:cs="ArialUnicodeMS"/>
          <w:kern w:val="0"/>
          <w:sz w:val="32"/>
          <w:szCs w:val="32"/>
        </w:rPr>
      </w:pPr>
    </w:p>
    <w:p w14:paraId="1D720646">
      <w:pPr>
        <w:rPr>
          <w:rFonts w:ascii="黑体" w:eastAsia="黑体" w:cs="ArialUnicodeMS"/>
          <w:kern w:val="0"/>
          <w:sz w:val="72"/>
          <w:szCs w:val="72"/>
        </w:rPr>
      </w:pPr>
    </w:p>
    <w:p w14:paraId="098A3131">
      <w:pPr>
        <w:rPr>
          <w:rFonts w:ascii="黑体" w:eastAsia="黑体" w:cs="ArialUnicodeMS"/>
          <w:kern w:val="0"/>
          <w:sz w:val="72"/>
          <w:szCs w:val="72"/>
        </w:rPr>
      </w:pPr>
      <w:bookmarkStart w:id="0" w:name="_GoBack"/>
      <w:bookmarkEnd w:id="0"/>
    </w:p>
    <w:p w14:paraId="67212812">
      <w:pPr>
        <w:spacing w:line="560" w:lineRule="exact"/>
        <w:jc w:val="center"/>
        <w:rPr>
          <w:rFonts w:ascii="方正小标宋简体" w:hAnsi="华文仿宋" w:eastAsia="方正小标宋简体"/>
          <w:sz w:val="44"/>
          <w:szCs w:val="44"/>
        </w:rPr>
      </w:pPr>
      <w:r>
        <w:rPr>
          <w:rFonts w:hint="eastAsia" w:ascii="黑体" w:eastAsia="黑体" w:cs="ArialUnicodeMS"/>
          <w:kern w:val="0"/>
          <w:sz w:val="52"/>
          <w:szCs w:val="52"/>
        </w:rPr>
        <w:t>柳州市</w:t>
      </w:r>
      <w:r>
        <w:rPr>
          <w:rFonts w:hint="eastAsia" w:ascii="方正小标宋简体" w:hAnsi="华文仿宋" w:eastAsia="方正小标宋简体"/>
          <w:sz w:val="44"/>
          <w:szCs w:val="44"/>
        </w:rPr>
        <w:t>外商投资服务中心</w:t>
      </w:r>
    </w:p>
    <w:p w14:paraId="2D283369">
      <w:pPr>
        <w:spacing w:line="560" w:lineRule="exact"/>
        <w:jc w:val="center"/>
        <w:rPr>
          <w:rFonts w:ascii="方正小标宋简体" w:hAnsi="华文仿宋" w:eastAsia="方正小标宋简体"/>
          <w:sz w:val="44"/>
          <w:szCs w:val="44"/>
        </w:rPr>
      </w:pPr>
      <w:r>
        <w:rPr>
          <w:rFonts w:hint="eastAsia" w:ascii="黑体" w:eastAsia="黑体"/>
          <w:kern w:val="0"/>
          <w:sz w:val="52"/>
          <w:szCs w:val="52"/>
        </w:rPr>
        <w:t>2020</w:t>
      </w:r>
      <w:r>
        <w:rPr>
          <w:rFonts w:hint="eastAsia" w:ascii="黑体" w:eastAsia="黑体" w:cs="ArialUnicodeMS"/>
          <w:kern w:val="0"/>
          <w:sz w:val="52"/>
          <w:szCs w:val="52"/>
        </w:rPr>
        <w:t>年度决算</w:t>
      </w:r>
    </w:p>
    <w:p w14:paraId="1462E80D">
      <w:pPr>
        <w:rPr>
          <w:rFonts w:ascii="ArialUnicodeMS" w:eastAsia="ArialUnicodeMS" w:cs="ArialUnicodeMS"/>
          <w:kern w:val="0"/>
          <w:sz w:val="84"/>
          <w:szCs w:val="84"/>
        </w:rPr>
      </w:pPr>
    </w:p>
    <w:p w14:paraId="1022FA2F">
      <w:pPr>
        <w:rPr>
          <w:rFonts w:ascii="ArialUnicodeMS" w:eastAsia="ArialUnicodeMS" w:cs="ArialUnicodeMS"/>
          <w:kern w:val="0"/>
          <w:sz w:val="84"/>
          <w:szCs w:val="84"/>
        </w:rPr>
      </w:pPr>
    </w:p>
    <w:p w14:paraId="6B1CA959">
      <w:pPr>
        <w:rPr>
          <w:rFonts w:ascii="ArialUnicodeMS" w:eastAsia="ArialUnicodeMS" w:cs="ArialUnicodeMS"/>
          <w:kern w:val="0"/>
          <w:sz w:val="84"/>
          <w:szCs w:val="84"/>
        </w:rPr>
      </w:pPr>
    </w:p>
    <w:p w14:paraId="64594205">
      <w:pPr>
        <w:rPr>
          <w:rFonts w:ascii="ArialUnicodeMS" w:eastAsia="ArialUnicodeMS" w:cs="ArialUnicodeMS"/>
          <w:kern w:val="0"/>
          <w:sz w:val="84"/>
          <w:szCs w:val="84"/>
        </w:rPr>
      </w:pPr>
    </w:p>
    <w:p w14:paraId="0A7F8132">
      <w:pPr>
        <w:rPr>
          <w:rFonts w:ascii="ArialUnicodeMS" w:eastAsia="ArialUnicodeMS" w:cs="ArialUnicodeMS"/>
          <w:kern w:val="0"/>
          <w:sz w:val="84"/>
          <w:szCs w:val="84"/>
        </w:rPr>
      </w:pPr>
    </w:p>
    <w:p w14:paraId="0D2E79CE">
      <w:pPr>
        <w:rPr>
          <w:rFonts w:ascii="ArialUnicodeMS" w:eastAsia="ArialUnicodeMS" w:cs="ArialUnicodeMS"/>
          <w:kern w:val="0"/>
          <w:sz w:val="84"/>
          <w:szCs w:val="84"/>
        </w:rPr>
      </w:pPr>
    </w:p>
    <w:p w14:paraId="13868A75">
      <w:pPr>
        <w:rPr>
          <w:rFonts w:ascii="ArialUnicodeMS" w:eastAsia="ArialUnicodeMS" w:cs="ArialUnicodeMS"/>
          <w:kern w:val="0"/>
          <w:sz w:val="84"/>
          <w:szCs w:val="84"/>
        </w:rPr>
      </w:pPr>
    </w:p>
    <w:p w14:paraId="4D4EBC0C">
      <w:pPr>
        <w:jc w:val="center"/>
        <w:rPr>
          <w:rFonts w:ascii="黑体" w:eastAsia="黑体" w:cs="黑体"/>
          <w:kern w:val="0"/>
          <w:sz w:val="44"/>
          <w:szCs w:val="44"/>
        </w:rPr>
      </w:pPr>
    </w:p>
    <w:p w14:paraId="41093CF4">
      <w:pPr>
        <w:ind w:firstLine="645"/>
        <w:rPr>
          <w:rFonts w:ascii="仿宋_GB2312" w:eastAsia="仿宋_GB2312"/>
          <w:b/>
          <w:sz w:val="32"/>
          <w:szCs w:val="32"/>
        </w:rPr>
      </w:pPr>
    </w:p>
    <w:p w14:paraId="0F1CA270">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5F06BB52">
      <w:pPr>
        <w:ind w:firstLine="645"/>
        <w:rPr>
          <w:rFonts w:ascii="仿宋_GB2312" w:eastAsia="仿宋_GB2312"/>
          <w:b/>
          <w:sz w:val="32"/>
          <w:szCs w:val="32"/>
        </w:rPr>
      </w:pPr>
    </w:p>
    <w:p w14:paraId="6B904825">
      <w:pPr>
        <w:ind w:firstLine="645"/>
        <w:rPr>
          <w:rFonts w:ascii="仿宋_GB2312" w:hAnsi="黑体" w:eastAsia="仿宋_GB2312"/>
          <w:b/>
          <w:bCs/>
          <w:color w:val="000000"/>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柳州市外商投资服务中心</w:t>
      </w:r>
      <w:r>
        <w:rPr>
          <w:rFonts w:hint="eastAsia" w:ascii="仿宋_GB2312" w:eastAsia="仿宋_GB2312"/>
          <w:b/>
          <w:sz w:val="32"/>
          <w:szCs w:val="32"/>
        </w:rPr>
        <w:t>概况</w:t>
      </w:r>
    </w:p>
    <w:p w14:paraId="6AEB5A62">
      <w:pPr>
        <w:ind w:firstLine="645"/>
        <w:rPr>
          <w:rFonts w:ascii="仿宋_GB2312" w:eastAsia="仿宋_GB2312"/>
          <w:sz w:val="32"/>
          <w:szCs w:val="32"/>
        </w:rPr>
      </w:pPr>
      <w:r>
        <w:rPr>
          <w:rFonts w:hint="eastAsia" w:ascii="仿宋_GB2312" w:eastAsia="仿宋_GB2312"/>
          <w:sz w:val="32"/>
          <w:szCs w:val="32"/>
        </w:rPr>
        <w:t>一、主要职能</w:t>
      </w:r>
    </w:p>
    <w:p w14:paraId="16A36DA7">
      <w:pPr>
        <w:ind w:firstLine="645"/>
        <w:rPr>
          <w:rFonts w:ascii="仿宋_GB2312" w:eastAsia="仿宋_GB2312"/>
          <w:sz w:val="32"/>
          <w:szCs w:val="32"/>
        </w:rPr>
      </w:pPr>
      <w:r>
        <w:rPr>
          <w:rFonts w:hint="eastAsia" w:ascii="仿宋_GB2312" w:eastAsia="仿宋_GB2312"/>
          <w:sz w:val="32"/>
          <w:szCs w:val="32"/>
        </w:rPr>
        <w:t>二、决算单位构成</w:t>
      </w:r>
    </w:p>
    <w:p w14:paraId="41198597">
      <w:pPr>
        <w:ind w:firstLine="645"/>
        <w:rPr>
          <w:rFonts w:ascii="仿宋_GB2312" w:hAnsi="黑体" w:eastAsia="仿宋_GB2312"/>
          <w:b/>
          <w:bCs/>
          <w:color w:val="000000"/>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柳州市外商投资服务中心</w:t>
      </w:r>
      <w:r>
        <w:rPr>
          <w:rFonts w:hint="eastAsia" w:ascii="仿宋_GB2312" w:eastAsia="仿宋_GB2312"/>
          <w:b/>
          <w:sz w:val="32"/>
          <w:szCs w:val="32"/>
        </w:rPr>
        <w:t>2020年决算报表</w:t>
      </w:r>
    </w:p>
    <w:p w14:paraId="50B40DCC">
      <w:pPr>
        <w:ind w:left="645"/>
        <w:rPr>
          <w:rFonts w:ascii="仿宋_GB2312" w:eastAsia="仿宋_GB2312"/>
          <w:sz w:val="32"/>
          <w:szCs w:val="32"/>
        </w:rPr>
      </w:pPr>
      <w:r>
        <w:rPr>
          <w:rFonts w:hint="eastAsia" w:ascii="仿宋_GB2312" w:eastAsia="仿宋_GB2312"/>
          <w:sz w:val="32"/>
          <w:szCs w:val="32"/>
        </w:rPr>
        <w:t>表一：收入支出决算总表</w:t>
      </w:r>
    </w:p>
    <w:p w14:paraId="0C10A608">
      <w:pPr>
        <w:ind w:left="645"/>
        <w:rPr>
          <w:rFonts w:ascii="仿宋_GB2312" w:eastAsia="仿宋_GB2312"/>
          <w:sz w:val="32"/>
          <w:szCs w:val="32"/>
        </w:rPr>
      </w:pPr>
      <w:r>
        <w:rPr>
          <w:rFonts w:hint="eastAsia" w:ascii="仿宋_GB2312" w:eastAsia="仿宋_GB2312"/>
          <w:sz w:val="32"/>
          <w:szCs w:val="32"/>
        </w:rPr>
        <w:t>表二：收入决算表</w:t>
      </w:r>
    </w:p>
    <w:p w14:paraId="3C0B8E9F">
      <w:pPr>
        <w:ind w:left="645"/>
        <w:rPr>
          <w:rFonts w:ascii="仿宋_GB2312" w:eastAsia="仿宋_GB2312"/>
          <w:sz w:val="32"/>
          <w:szCs w:val="32"/>
        </w:rPr>
      </w:pPr>
      <w:r>
        <w:rPr>
          <w:rFonts w:hint="eastAsia" w:ascii="仿宋_GB2312" w:eastAsia="仿宋_GB2312"/>
          <w:sz w:val="32"/>
          <w:szCs w:val="32"/>
        </w:rPr>
        <w:t>表三：支出决算表</w:t>
      </w:r>
    </w:p>
    <w:p w14:paraId="3FF10210">
      <w:pPr>
        <w:ind w:left="645"/>
        <w:rPr>
          <w:rFonts w:ascii="仿宋_GB2312" w:eastAsia="仿宋_GB2312"/>
          <w:sz w:val="32"/>
          <w:szCs w:val="32"/>
        </w:rPr>
      </w:pPr>
      <w:r>
        <w:rPr>
          <w:rFonts w:hint="eastAsia" w:ascii="仿宋_GB2312" w:eastAsia="仿宋_GB2312"/>
          <w:sz w:val="32"/>
          <w:szCs w:val="32"/>
        </w:rPr>
        <w:t>表四：财政拨款收入支出决算总表</w:t>
      </w:r>
    </w:p>
    <w:p w14:paraId="2449C7DB">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72651301">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4B568E19">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7B51DECE">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1823474A">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14:paraId="042806A1">
      <w:pPr>
        <w:ind w:firstLine="482" w:firstLineChars="15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柳州市外商投资服务中心</w:t>
      </w:r>
      <w:r>
        <w:rPr>
          <w:rFonts w:hint="eastAsia" w:ascii="仿宋_GB2312" w:eastAsia="仿宋_GB2312"/>
          <w:b/>
          <w:sz w:val="32"/>
          <w:szCs w:val="32"/>
        </w:rPr>
        <w:t>2020年度决算情况说明</w:t>
      </w:r>
    </w:p>
    <w:p w14:paraId="2DE91EBB">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14:paraId="4554DFC7">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14:paraId="2E2B8A34">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14:paraId="33C2F5A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7806C72D">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14:paraId="43CD0A11">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14:paraId="664AC6AF">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14:paraId="430F18C2">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14:paraId="62CA7AC8">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14:paraId="239C084A">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14:paraId="16C919F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14:paraId="134C0441">
      <w:pPr>
        <w:ind w:firstLine="645"/>
        <w:rPr>
          <w:rFonts w:ascii="仿宋_GB2312" w:eastAsia="仿宋_GB2312"/>
          <w:b/>
          <w:sz w:val="32"/>
          <w:szCs w:val="32"/>
        </w:rPr>
      </w:pPr>
      <w:r>
        <w:rPr>
          <w:rFonts w:hint="eastAsia" w:ascii="仿宋_GB2312" w:eastAsia="仿宋_GB2312"/>
          <w:b/>
          <w:sz w:val="32"/>
          <w:szCs w:val="32"/>
        </w:rPr>
        <w:t>第四部分：名词解释</w:t>
      </w:r>
    </w:p>
    <w:p w14:paraId="3C49A7F7">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柳州市外商投资服务中心</w:t>
      </w:r>
      <w:r>
        <w:rPr>
          <w:rFonts w:hint="eastAsia" w:ascii="仿宋_GB2312" w:eastAsia="仿宋_GB2312"/>
          <w:b/>
          <w:sz w:val="32"/>
          <w:szCs w:val="32"/>
        </w:rPr>
        <w:t>概况</w:t>
      </w:r>
    </w:p>
    <w:p w14:paraId="4D92A0CE">
      <w:pPr>
        <w:ind w:firstLine="646"/>
        <w:rPr>
          <w:rFonts w:ascii="仿宋_GB2312" w:eastAsia="仿宋_GB2312"/>
          <w:sz w:val="32"/>
          <w:szCs w:val="32"/>
        </w:rPr>
      </w:pPr>
      <w:r>
        <w:rPr>
          <w:rFonts w:hint="eastAsia" w:ascii="仿宋_GB2312" w:eastAsia="仿宋_GB2312"/>
          <w:sz w:val="32"/>
          <w:szCs w:val="32"/>
        </w:rPr>
        <w:t>一、主要职能</w:t>
      </w:r>
    </w:p>
    <w:p w14:paraId="4F90AD36">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柳州市外商投资服务中心的主要职责是：</w:t>
      </w:r>
    </w:p>
    <w:p w14:paraId="0B92B251">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（一）有效利用外资，为外商投资提供咨询和服务，宣传外商投资政策，协助推进外资领域“放管服”改革，提升投资便利化水平。</w:t>
      </w:r>
    </w:p>
    <w:p w14:paraId="455DF3EA">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（二）宣传并落实经济技术开发区相关投资政策。</w:t>
      </w:r>
    </w:p>
    <w:p w14:paraId="75413C33">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（三）协助受理和协调外商投诉等问题。</w:t>
      </w:r>
    </w:p>
    <w:p w14:paraId="506062B3">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（四）开展利用外资统计分析工作，配合做好外商投资企业开展信息报告、“多报合一”等工作。</w:t>
      </w:r>
    </w:p>
    <w:p w14:paraId="2757887C">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（五）协助外商投资项目策划、包装和管理，配合开展外资领域投资促进相关活动。</w:t>
      </w:r>
    </w:p>
    <w:p w14:paraId="30764BF1">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（六）协助组织实施全市口岸发展规划，配合做好口岸优化营商环境相关工作。</w:t>
      </w:r>
    </w:p>
    <w:p w14:paraId="308B35D4">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（七）协助做好全市口岸系统协调和服务工作，参与处理口岸重大突发事件。</w:t>
      </w:r>
    </w:p>
    <w:p w14:paraId="0AC298FD">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（八）完成主管部门交办的其他任务。</w:t>
      </w:r>
    </w:p>
    <w:p w14:paraId="2189BA51">
      <w:pPr>
        <w:ind w:firstLine="960" w:firstLineChars="300"/>
        <w:rPr>
          <w:rFonts w:ascii="仿宋_GB2312" w:eastAsia="仿宋_GB2312"/>
          <w:sz w:val="32"/>
          <w:szCs w:val="32"/>
        </w:rPr>
      </w:pPr>
      <w:r>
        <w:rPr>
          <w:rFonts w:hint="eastAsia" w:ascii="仿宋_GB2312" w:eastAsia="仿宋_GB2312"/>
          <w:sz w:val="32"/>
          <w:szCs w:val="32"/>
        </w:rPr>
        <w:t>二、部门决算单位构成</w:t>
      </w:r>
    </w:p>
    <w:p w14:paraId="0572A894">
      <w:pPr>
        <w:ind w:firstLine="645"/>
        <w:rPr>
          <w:rFonts w:ascii="仿宋_GB2312" w:eastAsia="仿宋_GB2312"/>
          <w:sz w:val="32"/>
          <w:szCs w:val="32"/>
        </w:rPr>
      </w:pPr>
      <w:r>
        <w:rPr>
          <w:rFonts w:hint="eastAsia" w:ascii="仿宋_GB2312" w:eastAsia="仿宋_GB2312"/>
          <w:sz w:val="32"/>
          <w:szCs w:val="32"/>
        </w:rPr>
        <w:t>根据中共柳州市委机构编制委员会办公室印发的《柳州市外商投资服务中心职能配置和人员编制规定》（柳编办通〔2020〕163号），柳州市外商投资服务中心为市商务局管理的正科级公益一类全额拨款事业单位，加挂柳州口岸服务中心牌子。编制数13人（事业编制13人），实有在职人数12人。</w:t>
      </w:r>
    </w:p>
    <w:p w14:paraId="4F6C7117">
      <w:pPr>
        <w:ind w:firstLine="645"/>
        <w:rPr>
          <w:rFonts w:ascii="仿宋_GB2312" w:eastAsia="仿宋_GB2312"/>
          <w:sz w:val="32"/>
          <w:szCs w:val="32"/>
        </w:rPr>
      </w:pPr>
    </w:p>
    <w:p w14:paraId="20F4579C">
      <w:pPr>
        <w:jc w:val="center"/>
      </w:pPr>
    </w:p>
    <w:p w14:paraId="4D270DD6">
      <w:pPr>
        <w:jc w:val="center"/>
      </w:pPr>
    </w:p>
    <w:p w14:paraId="19A880FF">
      <w:pPr>
        <w:jc w:val="center"/>
      </w:pPr>
    </w:p>
    <w:p w14:paraId="7EE0DC3C">
      <w:pPr>
        <w:jc w:val="center"/>
      </w:pPr>
    </w:p>
    <w:p w14:paraId="5D358FFA">
      <w:pPr>
        <w:jc w:val="center"/>
      </w:pPr>
    </w:p>
    <w:p w14:paraId="387A7A88">
      <w:pPr>
        <w:jc w:val="center"/>
      </w:pPr>
    </w:p>
    <w:p w14:paraId="4B2600AE">
      <w:pPr>
        <w:jc w:val="center"/>
      </w:pPr>
    </w:p>
    <w:p w14:paraId="2155BAAD">
      <w:pPr>
        <w:jc w:val="center"/>
      </w:pPr>
    </w:p>
    <w:p w14:paraId="6EABA183">
      <w:pPr>
        <w:jc w:val="center"/>
      </w:pPr>
    </w:p>
    <w:p w14:paraId="630A4812">
      <w:pPr>
        <w:jc w:val="center"/>
      </w:pPr>
    </w:p>
    <w:p w14:paraId="5030925E">
      <w:pPr>
        <w:jc w:val="center"/>
      </w:pPr>
    </w:p>
    <w:p w14:paraId="27D94E88">
      <w:pPr>
        <w:jc w:val="center"/>
      </w:pPr>
    </w:p>
    <w:p w14:paraId="66B5255D">
      <w:pPr>
        <w:jc w:val="center"/>
      </w:pPr>
    </w:p>
    <w:p w14:paraId="2A5F5A99">
      <w:pPr>
        <w:jc w:val="center"/>
      </w:pPr>
    </w:p>
    <w:p w14:paraId="1F05706E">
      <w:pPr>
        <w:jc w:val="center"/>
      </w:pPr>
    </w:p>
    <w:p w14:paraId="46EE2500">
      <w:pPr>
        <w:jc w:val="center"/>
      </w:pPr>
    </w:p>
    <w:p w14:paraId="7AF3A94C">
      <w:pPr>
        <w:jc w:val="center"/>
      </w:pPr>
    </w:p>
    <w:p w14:paraId="6B8B6E18">
      <w:pPr>
        <w:jc w:val="center"/>
      </w:pPr>
    </w:p>
    <w:p w14:paraId="4DAA9B49">
      <w:pPr>
        <w:jc w:val="center"/>
      </w:pPr>
    </w:p>
    <w:p w14:paraId="290DE5EC">
      <w:pPr>
        <w:jc w:val="center"/>
      </w:pPr>
    </w:p>
    <w:p w14:paraId="51179B0E">
      <w:pPr>
        <w:jc w:val="center"/>
      </w:pPr>
    </w:p>
    <w:p w14:paraId="1ECED5E2">
      <w:pPr>
        <w:jc w:val="center"/>
      </w:pPr>
    </w:p>
    <w:p w14:paraId="2D0CAD37">
      <w:pPr>
        <w:jc w:val="center"/>
      </w:pPr>
    </w:p>
    <w:p w14:paraId="3137F33D">
      <w:pPr>
        <w:jc w:val="center"/>
      </w:pPr>
    </w:p>
    <w:p w14:paraId="5D8445FD">
      <w:pPr>
        <w:jc w:val="center"/>
      </w:pPr>
    </w:p>
    <w:p w14:paraId="7850258A">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柳州市外商投资服务中心</w:t>
      </w:r>
      <w:r>
        <w:rPr>
          <w:rFonts w:hint="eastAsia" w:ascii="仿宋_GB2312" w:eastAsia="仿宋_GB2312"/>
          <w:b/>
          <w:sz w:val="32"/>
          <w:szCs w:val="32"/>
        </w:rPr>
        <w:t>2020年决算报表</w:t>
      </w:r>
    </w:p>
    <w:p w14:paraId="0DD6E592">
      <w:pPr>
        <w:spacing w:line="560" w:lineRule="exact"/>
        <w:ind w:firstLine="420"/>
        <w:rPr>
          <w:rFonts w:ascii="仿宋_GB2312" w:hAnsi="黑体" w:eastAsia="仿宋_GB2312"/>
          <w:b/>
          <w:sz w:val="32"/>
          <w:szCs w:val="32"/>
        </w:rPr>
      </w:pPr>
      <w:r>
        <w:rPr>
          <w:rFonts w:ascii="仿宋_GB2312" w:hAnsi="黑体" w:eastAsia="仿宋_GB2312"/>
          <w:b/>
          <w:sz w:val="32"/>
          <w:szCs w:val="32"/>
        </w:rPr>
        <w:t>(相关决算报表详见附件)</w:t>
      </w:r>
    </w:p>
    <w:p w14:paraId="207A8785">
      <w:pPr>
        <w:spacing w:line="560" w:lineRule="exact"/>
        <w:ind w:firstLine="420"/>
        <w:rPr>
          <w:rFonts w:ascii="仿宋_GB2312" w:hAnsi="黑体" w:eastAsia="仿宋_GB2312"/>
          <w:b/>
          <w:sz w:val="32"/>
          <w:szCs w:val="32"/>
        </w:rPr>
      </w:pPr>
    </w:p>
    <w:p w14:paraId="470B84D1">
      <w:pPr>
        <w:spacing w:line="560" w:lineRule="exact"/>
        <w:ind w:firstLine="420"/>
        <w:rPr>
          <w:rFonts w:ascii="仿宋_GB2312" w:hAnsi="黑体" w:eastAsia="仿宋_GB2312"/>
          <w:b/>
          <w:sz w:val="32"/>
          <w:szCs w:val="32"/>
        </w:rPr>
      </w:pPr>
    </w:p>
    <w:p w14:paraId="160738B7">
      <w:pPr>
        <w:spacing w:line="560" w:lineRule="exact"/>
        <w:ind w:firstLine="420"/>
        <w:rPr>
          <w:rFonts w:ascii="仿宋_GB2312" w:hAnsi="黑体" w:eastAsia="仿宋_GB2312"/>
          <w:b/>
          <w:sz w:val="32"/>
          <w:szCs w:val="32"/>
        </w:rPr>
      </w:pPr>
    </w:p>
    <w:p w14:paraId="511BF7F8">
      <w:pPr>
        <w:spacing w:line="560" w:lineRule="exact"/>
        <w:ind w:firstLine="420"/>
        <w:rPr>
          <w:rFonts w:ascii="仿宋_GB2312" w:hAnsi="黑体" w:eastAsia="仿宋_GB2312"/>
          <w:b/>
          <w:sz w:val="32"/>
          <w:szCs w:val="32"/>
        </w:rPr>
      </w:pPr>
    </w:p>
    <w:p w14:paraId="3CF44E11">
      <w:pPr>
        <w:spacing w:line="560" w:lineRule="exact"/>
        <w:ind w:firstLine="420"/>
      </w:pPr>
    </w:p>
    <w:p w14:paraId="133C6DFE">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柳州市外商投资服务中心</w:t>
      </w:r>
      <w:r>
        <w:rPr>
          <w:rFonts w:hint="eastAsia" w:ascii="仿宋_GB2312" w:eastAsia="仿宋_GB2312"/>
          <w:b/>
          <w:sz w:val="28"/>
          <w:szCs w:val="28"/>
        </w:rPr>
        <w:t>2020</w:t>
      </w:r>
      <w:r>
        <w:rPr>
          <w:rFonts w:hint="eastAsia" w:ascii="仿宋_GB2312" w:eastAsia="仿宋_GB2312"/>
          <w:b/>
          <w:sz w:val="32"/>
          <w:szCs w:val="32"/>
        </w:rPr>
        <w:t>年度决算情况说明</w:t>
      </w:r>
    </w:p>
    <w:p w14:paraId="2B604464">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78B5CA70">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2020年度收入总计132.57万元，支出总计138.99万元，与2019年相比，收、支分别减少22.02万元和增加3.91万元；分别下降14.24%和增长2.89%。</w:t>
      </w:r>
    </w:p>
    <w:p w14:paraId="206EAE8E">
      <w:pPr>
        <w:tabs>
          <w:tab w:val="left" w:pos="7527"/>
        </w:tabs>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r>
        <w:rPr>
          <w:rFonts w:ascii="仿宋_GB2312" w:eastAsia="仿宋_GB2312" w:cs="仿宋_GB2312"/>
          <w:b/>
          <w:kern w:val="0"/>
          <w:sz w:val="32"/>
          <w:szCs w:val="32"/>
        </w:rPr>
        <w:tab/>
      </w:r>
    </w:p>
    <w:p w14:paraId="27FB1FA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收入总计132.57万元，其中：一般公共预算财政拨款收入132.57万元；占比100%；政府基金预算财政拨款收入0万元；占比0%；上级补助收入0万元，占比0%；事业收入0万元，占比0%；事业单位经营收入0万元，占比0%；其他收入0万元，占比0%。</w:t>
      </w:r>
    </w:p>
    <w:p w14:paraId="49EFFDC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1.201类13款50项商贸事务事业运行75.56万元，为财政拨款收入。</w:t>
      </w:r>
    </w:p>
    <w:p w14:paraId="08F847F5">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2.201类13款99项商贸事务其他商贸事务12.24万元，为财政拨款收入。</w:t>
      </w:r>
    </w:p>
    <w:p w14:paraId="168E8C79">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3.208类05款02项事业单位离退休3.57万元，为财政拨款收入。</w:t>
      </w:r>
    </w:p>
    <w:p w14:paraId="7559F7CC">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4.208类05款05项机关事业单位基本养老保险缴费19.71万元，为财政拨款收入。</w:t>
      </w:r>
    </w:p>
    <w:p w14:paraId="605017AB">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5.208类05款06项机关事业单位职业年金缴费6.68万元，为财政拨款收入。</w:t>
      </w:r>
    </w:p>
    <w:p w14:paraId="7847F331">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6.210类11款02项事业单位医疗3.68万元，为财政拨款收入。</w:t>
      </w:r>
    </w:p>
    <w:p w14:paraId="6C509124">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7.221类02款01项住房公积金11.04万元，为财政拨款收入。</w:t>
      </w:r>
    </w:p>
    <w:p w14:paraId="14A693BE">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8.221类02款03项购房补贴0.09万元，为财政拨款收入。</w:t>
      </w:r>
    </w:p>
    <w:p w14:paraId="01689966">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288145D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本年支出合计138.99万元，其中：基本支出 129.06万元，占92.86%；项目支出9.93万元， 占7.14%。</w:t>
      </w:r>
    </w:p>
    <w:p w14:paraId="05C76ABD">
      <w:pPr>
        <w:spacing w:line="560" w:lineRule="exact"/>
        <w:ind w:firstLine="640" w:firstLineChars="200"/>
        <w:rPr>
          <w:rFonts w:ascii="仿宋_GB2312" w:eastAsia="仿宋_GB2312"/>
          <w:sz w:val="32"/>
          <w:szCs w:val="32"/>
        </w:rPr>
      </w:pPr>
      <w:r>
        <w:rPr>
          <w:rFonts w:hint="eastAsia" w:ascii="仿宋_GB2312" w:eastAsia="仿宋_GB2312"/>
          <w:sz w:val="32"/>
          <w:szCs w:val="32"/>
        </w:rPr>
        <w:t>1.201类13款50项科目名称事业运行86.37万元，为基本支出。</w:t>
      </w:r>
    </w:p>
    <w:p w14:paraId="530D9FD9">
      <w:pPr>
        <w:autoSpaceDE w:val="0"/>
        <w:autoSpaceDN w:val="0"/>
        <w:adjustRightInd w:val="0"/>
        <w:spacing w:line="580" w:lineRule="exact"/>
        <w:ind w:firstLine="640" w:firstLineChars="200"/>
        <w:jc w:val="left"/>
        <w:rPr>
          <w:rFonts w:ascii="仿宋_GB2312" w:eastAsia="仿宋_GB2312"/>
          <w:sz w:val="32"/>
          <w:szCs w:val="32"/>
        </w:rPr>
      </w:pPr>
      <w:r>
        <w:rPr>
          <w:rFonts w:hint="eastAsia" w:ascii="仿宋_GB2312" w:eastAsia="仿宋_GB2312"/>
          <w:sz w:val="32"/>
          <w:szCs w:val="32"/>
        </w:rPr>
        <w:t>2.201类13款99项科目名称其他商贸事务支出9.93万元，为项目支出。</w:t>
      </w:r>
    </w:p>
    <w:p w14:paraId="6C9D1979">
      <w:pPr>
        <w:spacing w:line="560" w:lineRule="exact"/>
        <w:ind w:firstLine="640" w:firstLineChars="200"/>
        <w:rPr>
          <w:rFonts w:ascii="仿宋_GB2312" w:eastAsia="仿宋_GB2312"/>
          <w:sz w:val="32"/>
          <w:szCs w:val="32"/>
        </w:rPr>
      </w:pPr>
      <w:r>
        <w:rPr>
          <w:rFonts w:hint="eastAsia" w:ascii="仿宋_GB2312" w:eastAsia="仿宋_GB2312"/>
          <w:sz w:val="32"/>
          <w:szCs w:val="32"/>
        </w:rPr>
        <w:t>3.208类05款02项科目名称事业单位离退休3.57万元，为基本支出。</w:t>
      </w:r>
    </w:p>
    <w:p w14:paraId="43F0BC9A">
      <w:pPr>
        <w:autoSpaceDE w:val="0"/>
        <w:autoSpaceDN w:val="0"/>
        <w:adjustRightInd w:val="0"/>
        <w:spacing w:line="560" w:lineRule="exact"/>
        <w:ind w:left="105" w:leftChars="50" w:firstLine="480" w:firstLineChars="150"/>
        <w:jc w:val="left"/>
        <w:rPr>
          <w:rFonts w:ascii="仿宋_GB2312" w:eastAsia="仿宋_GB2312"/>
          <w:sz w:val="32"/>
          <w:szCs w:val="32"/>
        </w:rPr>
      </w:pPr>
      <w:r>
        <w:rPr>
          <w:rFonts w:hint="eastAsia" w:ascii="仿宋_GB2312" w:eastAsia="仿宋_GB2312" w:cs="仿宋_GB2312"/>
          <w:bCs/>
          <w:kern w:val="0"/>
          <w:sz w:val="32"/>
          <w:szCs w:val="32"/>
        </w:rPr>
        <w:t>4.208类05款05项机关事业单位基本养老保险缴费支出17.63万元，</w:t>
      </w:r>
      <w:r>
        <w:rPr>
          <w:rFonts w:hint="eastAsia" w:ascii="仿宋_GB2312" w:eastAsia="仿宋_GB2312"/>
          <w:sz w:val="32"/>
          <w:szCs w:val="32"/>
        </w:rPr>
        <w:t>为基本支出。</w:t>
      </w:r>
    </w:p>
    <w:p w14:paraId="3F024BE3">
      <w:pPr>
        <w:autoSpaceDE w:val="0"/>
        <w:autoSpaceDN w:val="0"/>
        <w:adjustRightInd w:val="0"/>
        <w:spacing w:line="560" w:lineRule="exact"/>
        <w:ind w:left="105" w:leftChars="50" w:firstLine="480" w:firstLineChars="150"/>
        <w:jc w:val="left"/>
        <w:rPr>
          <w:rFonts w:ascii="仿宋_GB2312" w:eastAsia="仿宋_GB2312" w:cs="仿宋_GB2312"/>
          <w:bCs/>
          <w:kern w:val="0"/>
          <w:sz w:val="32"/>
          <w:szCs w:val="32"/>
        </w:rPr>
      </w:pPr>
      <w:r>
        <w:rPr>
          <w:rFonts w:hint="eastAsia" w:ascii="仿宋_GB2312" w:eastAsia="仿宋_GB2312"/>
          <w:sz w:val="32"/>
          <w:szCs w:val="32"/>
        </w:rPr>
        <w:t>5.208类05款06项机关事业单位职业年金缴费支出6.68万元，为基本支出。</w:t>
      </w:r>
    </w:p>
    <w:p w14:paraId="6027827A">
      <w:pPr>
        <w:spacing w:line="560" w:lineRule="exact"/>
        <w:ind w:firstLine="640" w:firstLineChars="200"/>
        <w:rPr>
          <w:rFonts w:ascii="仿宋_GB2312" w:eastAsia="仿宋_GB2312"/>
          <w:sz w:val="32"/>
          <w:szCs w:val="32"/>
        </w:rPr>
      </w:pPr>
      <w:r>
        <w:rPr>
          <w:rFonts w:hint="eastAsia" w:ascii="仿宋_GB2312" w:eastAsia="仿宋_GB2312"/>
          <w:sz w:val="32"/>
          <w:szCs w:val="32"/>
        </w:rPr>
        <w:t>6.210类11款02项科目名称事业单位医疗3.68万元，为基本支出。</w:t>
      </w:r>
    </w:p>
    <w:p w14:paraId="7C6C7E70">
      <w:pPr>
        <w:spacing w:line="560" w:lineRule="exact"/>
        <w:ind w:firstLine="640" w:firstLineChars="200"/>
        <w:rPr>
          <w:rFonts w:ascii="仿宋_GB2312" w:eastAsia="仿宋_GB2312"/>
          <w:sz w:val="32"/>
          <w:szCs w:val="32"/>
        </w:rPr>
      </w:pPr>
      <w:r>
        <w:rPr>
          <w:rFonts w:hint="eastAsia" w:ascii="仿宋_GB2312" w:eastAsia="仿宋_GB2312"/>
          <w:sz w:val="32"/>
          <w:szCs w:val="32"/>
        </w:rPr>
        <w:t>7.221类02款01项科目名称住房公积金11.04万元，为基本支出。</w:t>
      </w:r>
    </w:p>
    <w:p w14:paraId="214C588F">
      <w:pPr>
        <w:spacing w:line="560" w:lineRule="exact"/>
        <w:ind w:firstLine="640" w:firstLineChars="200"/>
        <w:rPr>
          <w:rFonts w:ascii="仿宋_GB2312" w:eastAsia="仿宋_GB2312"/>
          <w:sz w:val="32"/>
          <w:szCs w:val="32"/>
        </w:rPr>
      </w:pPr>
      <w:r>
        <w:rPr>
          <w:rFonts w:hint="eastAsia" w:ascii="仿宋_GB2312" w:eastAsia="仿宋_GB2312"/>
          <w:sz w:val="32"/>
          <w:szCs w:val="32"/>
        </w:rPr>
        <w:t>8.221类02款03项科目名称购房补贴0.09万元，为基本支出。</w:t>
      </w:r>
    </w:p>
    <w:p w14:paraId="01E6249D">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14:paraId="5283C1A2">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738E205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本单位2020年度财政拨款收、支总决算132.57万元、138.99万元。与2019年相比，财政拨款收、支总计分别减少22.02万元和增加3.91万元；分别下降14.24%和增长2.89%。</w:t>
      </w:r>
    </w:p>
    <w:p w14:paraId="1E1FCC6A">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140AD4C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332B00F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2020年度财政拨款支出138.99万元，占本年支出合计的100%。与2019年相比，财政拨款支出增加3.91万元，增加2.89%。</w:t>
      </w:r>
    </w:p>
    <w:p w14:paraId="69A85B6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14:paraId="0A7D8978">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2020年度财政拨款支出138.99万元，主要用于以下方面：一般公共服务（类）支出 96.30万元，占69.28%；社会保障和就业（类）支出27.88万元，占20.06%；住房保障（类）支出11.13万元，占 8.01%；卫生健康支出（类）3.68万元，占2.65%。</w:t>
      </w:r>
    </w:p>
    <w:p w14:paraId="2BF42C1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66FBEBE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2020年度财政拨款支出年初预算为153.51万元，支出决算为138.99万元，完成年初预算的90.54%。决算数小于预算数的主要原因：2019年奖励绩效补发支出按规定，通过使用以前年度财政拨款结转资金解决。其中：</w:t>
      </w:r>
    </w:p>
    <w:p w14:paraId="12A145F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商贸事务（款）事业运行（项）86.37万元，与年度预算102.14万元相比，少15.77万元，为年度预算的84.56%。决算数小于预算数的主要原因是单位有人员由在职变为退休，所以工资、绩效等未支付完成。</w:t>
      </w:r>
    </w:p>
    <w:p w14:paraId="26E3ACB0">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2、一般公共服务（类）商贸事务（款）其他商贸事务支出（项）9.93万元，与年度预算12.24万元相比，少2.31万元，为年度预算的81.13%。决算数小于预算数的主要原因是未进行办公设备的采购。</w:t>
      </w:r>
    </w:p>
    <w:p w14:paraId="547DB7E4">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3、社会保障和就业支出（类）行政事业单位养老支出（款）事业单位离退休（项）3.57万元，与年度预算2.97万元相比，多0.6万元，为年度预算的120.20%。决算数大于预算数的主要原因动用上年度结转结余资金。</w:t>
      </w:r>
    </w:p>
    <w:p w14:paraId="566D87DD">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社会保障和就业支出（类）行政事业单位养老支出（款）机关事业单位基本养老保险缴费支出（项）17.63万元，与年度预算13.27万元相比，多4.36万元，为年度预算的132.86%。决算数大于预算数的主要原因动用上年度结转结余资金。</w:t>
      </w:r>
    </w:p>
    <w:p w14:paraId="0138646E">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5、社会保障和就业支出（类）行政事业单位养老支出（款）机关事业单位职业年金缴费支出（项）6.68万元，与年度预算6.64万元相比基本持平，为年度预算的99.40%。</w:t>
      </w:r>
    </w:p>
    <w:p w14:paraId="16FC92A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卫生健康支出（类）行政事业单位医疗（款）事业单位医疗（项）3.68万元，与年度预算6.29万元相比，少2.61万元，为年度预算的58.51%。决算数小于预算数的主要原因是单位有人员由在职变为退休，所以未支付完成。</w:t>
      </w:r>
    </w:p>
    <w:p w14:paraId="5189CA1A">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w:t>
      </w:r>
      <w:r>
        <w:rPr>
          <w:rFonts w:hint="eastAsia" w:ascii="仿宋_GB2312" w:eastAsia="仿宋_GB2312"/>
          <w:bCs/>
          <w:sz w:val="32"/>
          <w:szCs w:val="32"/>
        </w:rPr>
        <w:t>.住房保障支出（类）住房改革支出（款）住房公积金（项）</w:t>
      </w:r>
      <w:r>
        <w:rPr>
          <w:rFonts w:hint="eastAsia" w:ascii="仿宋_GB2312" w:eastAsia="仿宋_GB2312" w:cs="仿宋_GB2312"/>
          <w:bCs/>
          <w:kern w:val="0"/>
          <w:sz w:val="32"/>
          <w:szCs w:val="32"/>
        </w:rPr>
        <w:t>11.04万元，与年度预算9.87万元相比，多1.17万元，为年度预算的111.85%。决算数大于预算数的主要原因动用上年度结转结余资金。</w:t>
      </w:r>
    </w:p>
    <w:p w14:paraId="6F762535">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w:t>
      </w:r>
      <w:r>
        <w:rPr>
          <w:rFonts w:hint="eastAsia" w:ascii="仿宋_GB2312" w:eastAsia="仿宋_GB2312"/>
          <w:bCs/>
          <w:sz w:val="32"/>
          <w:szCs w:val="32"/>
        </w:rPr>
        <w:t>.住房保障支出（类）住房改革支出（款）</w:t>
      </w:r>
      <w:r>
        <w:rPr>
          <w:rFonts w:hint="eastAsia" w:ascii="仿宋_GB2312" w:eastAsia="仿宋_GB2312" w:cs="仿宋_GB2312"/>
          <w:bCs/>
          <w:kern w:val="0"/>
          <w:sz w:val="32"/>
          <w:szCs w:val="32"/>
        </w:rPr>
        <w:t>购房补贴</w:t>
      </w:r>
      <w:r>
        <w:rPr>
          <w:rFonts w:hint="eastAsia" w:ascii="仿宋_GB2312" w:eastAsia="仿宋_GB2312"/>
          <w:bCs/>
          <w:sz w:val="32"/>
          <w:szCs w:val="32"/>
        </w:rPr>
        <w:t>（项）</w:t>
      </w:r>
      <w:r>
        <w:rPr>
          <w:rFonts w:hint="eastAsia" w:ascii="仿宋_GB2312" w:eastAsia="仿宋_GB2312" w:cs="仿宋_GB2312"/>
          <w:bCs/>
          <w:kern w:val="0"/>
          <w:sz w:val="32"/>
          <w:szCs w:val="32"/>
        </w:rPr>
        <w:t>0.09万元，与年度预算0.09万元相比持平，为年度预算的100%。</w:t>
      </w:r>
    </w:p>
    <w:p w14:paraId="2962956A">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14:paraId="746E6F3A">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2020年度财政拨款基本支出128.97万元，其中：</w:t>
      </w:r>
    </w:p>
    <w:p w14:paraId="1890F10D">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120.56万元，主要包括：基本工资31.52万元、津贴补贴2.20万元、奖金0.15万元、其他社会保障缴费1.78万元、伙食补助费4万元、住房公积金11.04万元、退休费3.57万元、机关事业单位基本养老保险费17.63万元、职工基本医疗保险缴费3.68万元、职业年金缴费6.68万元、绩效工资38.31万元。</w:t>
      </w:r>
    </w:p>
    <w:p w14:paraId="6087F34E">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8.41万元，主要包括：办公费0.89万元、印刷费0.90万元、水费0.09万元、电费0.80万元、邮电费0.06万元、物业管理费0.20万元、差旅费1.90万元、公务接待费0.21万元、工会经费1.66万元、其他商品和服务支出1.70万元。</w:t>
      </w:r>
    </w:p>
    <w:p w14:paraId="560CB9C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14:paraId="5B4243A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22323B7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0.35万元，支出决算为0.21万元，完成预算的60%，其中：因公出国（境）费支出决算为0万元，完成预算的0%；公务用车购置及运行费支出决算为0万元，完成预算的0%；公务接待费支出决算为0.21万元，完成预算的60%。2020年度“三公”经费支出决算数小于预算数的主要原因是认真贯彻落实中央</w:t>
      </w:r>
      <w:r>
        <w:rPr>
          <w:rFonts w:hint="eastAsia" w:ascii="仿宋_GB2312" w:eastAsia="仿宋_GB2312" w:cs="仿宋_GB2312"/>
          <w:bCs/>
          <w:kern w:val="0"/>
          <w:sz w:val="32"/>
          <w:szCs w:val="32"/>
          <w:lang w:eastAsia="zh-CN"/>
        </w:rPr>
        <w:t>八项规定</w:t>
      </w:r>
      <w:r>
        <w:rPr>
          <w:rFonts w:hint="eastAsia" w:ascii="仿宋_GB2312" w:eastAsia="仿宋_GB2312" w:cs="仿宋_GB2312"/>
          <w:bCs/>
          <w:kern w:val="0"/>
          <w:sz w:val="32"/>
          <w:szCs w:val="32"/>
        </w:rPr>
        <w:t>精神和厉行节约要求，进一步从严控制“三公”经费开支，全年实际支出比预算有所节约。</w:t>
      </w:r>
    </w:p>
    <w:p w14:paraId="376539B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2020年度“三公”经费财政拨款支出决算数与2019年相比基本持平（2019年度决算数为0.20万元）。</w:t>
      </w:r>
    </w:p>
    <w:p w14:paraId="39174A46">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14:paraId="6A67840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公务接待费支出决算0.21万元，占100%。具体情况如下：公务接待费支出0.21万元。其中：</w:t>
      </w:r>
    </w:p>
    <w:p w14:paraId="3B0C90CC">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外宾接待支出0万元。国内公务接待支出0.21万元。主要用于日常来柳学习访问的兄弟单位、招商引资来柳考察的大型省外企业等人员的接待。2020年共接待国内来访团组2个、来宾11人次。</w:t>
      </w:r>
    </w:p>
    <w:p w14:paraId="46BE1A84">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2020年度政府性基金预算财政拨款收入支出决算情况说明 </w:t>
      </w:r>
    </w:p>
    <w:p w14:paraId="315BA805">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本单位2020年度没有政府性基金收入，也没有政府性基金的支出。</w:t>
      </w:r>
    </w:p>
    <w:p w14:paraId="2910DA50">
      <w:pPr>
        <w:numPr>
          <w:ilvl w:val="0"/>
          <w:numId w:val="1"/>
        </w:num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国有资本经营预算财政拨款支出情况说明</w:t>
      </w:r>
    </w:p>
    <w:p w14:paraId="4EAC37E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本单位2020年度没有国有资本经营收入，也没有国有本经营安排的支出。</w:t>
      </w:r>
    </w:p>
    <w:p w14:paraId="438A4FBC">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14:paraId="68076E5C">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本单位2020年度无超100万元以上的项目支出，所以无</w:t>
      </w:r>
      <w:r>
        <w:rPr>
          <w:rFonts w:hint="eastAsia" w:ascii="仿宋_GB2312" w:eastAsia="仿宋_GB2312" w:cs="仿宋_GB2312"/>
          <w:kern w:val="0"/>
          <w:sz w:val="32"/>
          <w:szCs w:val="32"/>
        </w:rPr>
        <w:t>项目支出绩效自评。</w:t>
      </w:r>
    </w:p>
    <w:p w14:paraId="0B336509">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14:paraId="6E2BCB09">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（一）政府采购支出情况。2020年度本单位政府采购支出总额0万元。</w:t>
      </w:r>
    </w:p>
    <w:p w14:paraId="536B6697">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（二）国有资产占用情况。截至年末本单位共有车辆0辆；单价50万元 以上通用设备0台（套），单价100万元以上专用设备0台（套）。 </w:t>
      </w:r>
    </w:p>
    <w:p w14:paraId="785CF4A7">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3DE19F2C">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0DE8FAAF">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14:paraId="0A69F053">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646D96AF">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其他收入：指除上述“财政拨款收入”、“事业收入”、“经营收入”等以外的收入。主要是：其他单位转款、银行利息等收入。</w:t>
      </w:r>
    </w:p>
    <w:p w14:paraId="21F58CF1">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C485664">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7A45FBE8">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32F4DF11">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2D8A74C6">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1784BA7B">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4C4F4BE5">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2934ED95">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89A980B">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754F60FA">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2814DC5A"/>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C21649-CED8-42F8-BA0F-84C0F8BBD5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B512ED3-76C2-49A2-B5B7-814F4FF3A413}"/>
  </w:font>
  <w:font w:name="ArialUnicodeMS">
    <w:altName w:val="宋体"/>
    <w:panose1 w:val="00000000000000000000"/>
    <w:charset w:val="86"/>
    <w:family w:val="auto"/>
    <w:pitch w:val="default"/>
    <w:sig w:usb0="00000000" w:usb1="00000000" w:usb2="00000010" w:usb3="00000000" w:csb0="00040000" w:csb1="00000000"/>
    <w:embedRegular r:id="rId3" w:fontKey="{37F158E9-7AA9-49B1-A328-EF0DB5B2AFA2}"/>
  </w:font>
  <w:font w:name="方正小标宋简体">
    <w:panose1 w:val="02000000000000000000"/>
    <w:charset w:val="86"/>
    <w:family w:val="auto"/>
    <w:pitch w:val="default"/>
    <w:sig w:usb0="00000001" w:usb1="080E0000" w:usb2="00000000" w:usb3="00000000" w:csb0="00040000" w:csb1="00000000"/>
    <w:embedRegular r:id="rId4" w:fontKey="{AD081C6E-4CB7-4C60-AEF3-BAFEFC8F5FE2}"/>
  </w:font>
  <w:font w:name="华文仿宋">
    <w:panose1 w:val="02010600040101010101"/>
    <w:charset w:val="86"/>
    <w:family w:val="auto"/>
    <w:pitch w:val="default"/>
    <w:sig w:usb0="00000287" w:usb1="080F0000" w:usb2="00000000" w:usb3="00000000" w:csb0="0004009F" w:csb1="DFD70000"/>
    <w:embedRegular r:id="rId5" w:fontKey="{4895D08D-022B-4AF4-86E6-49556A0F2574}"/>
  </w:font>
  <w:font w:name="仿宋">
    <w:panose1 w:val="02010609060101010101"/>
    <w:charset w:val="86"/>
    <w:family w:val="modern"/>
    <w:pitch w:val="default"/>
    <w:sig w:usb0="800002BF" w:usb1="38CF7CFA" w:usb2="00000016" w:usb3="00000000" w:csb0="00040001" w:csb1="00000000"/>
    <w:embedRegular r:id="rId6" w:fontKey="{2AFB150C-9AF4-4A6D-B36C-BAB6253E76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DDD0">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- 8 -</w:t>
    </w:r>
    <w:r>
      <w:rPr>
        <w:sz w:val="30"/>
        <w:szCs w:val="30"/>
      </w:rPr>
      <w:fldChar w:fldCharType="end"/>
    </w:r>
  </w:p>
  <w:p w14:paraId="09677D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34DA">
    <w:pPr>
      <w:pStyle w:val="3"/>
      <w:framePr w:wrap="around" w:vAnchor="text" w:hAnchor="margin" w:xAlign="center" w:y="1"/>
      <w:rPr>
        <w:rStyle w:val="8"/>
      </w:rPr>
    </w:pPr>
    <w:r>
      <w:fldChar w:fldCharType="begin"/>
    </w:r>
    <w:r>
      <w:rPr>
        <w:rStyle w:val="8"/>
      </w:rPr>
      <w:instrText xml:space="preserve">PAGE  </w:instrText>
    </w:r>
    <w:r>
      <w:fldChar w:fldCharType="end"/>
    </w:r>
  </w:p>
  <w:p w14:paraId="668E5DA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43A3B"/>
    <w:rsid w:val="000617BF"/>
    <w:rsid w:val="00066CA3"/>
    <w:rsid w:val="00093E91"/>
    <w:rsid w:val="000D5D29"/>
    <w:rsid w:val="000F5414"/>
    <w:rsid w:val="000F6D71"/>
    <w:rsid w:val="00122E9D"/>
    <w:rsid w:val="00141373"/>
    <w:rsid w:val="001A0DFB"/>
    <w:rsid w:val="001B2989"/>
    <w:rsid w:val="001B7C4D"/>
    <w:rsid w:val="001D3067"/>
    <w:rsid w:val="001E513B"/>
    <w:rsid w:val="00255AB7"/>
    <w:rsid w:val="00264D18"/>
    <w:rsid w:val="0029132C"/>
    <w:rsid w:val="002F20D9"/>
    <w:rsid w:val="0035281F"/>
    <w:rsid w:val="0036171E"/>
    <w:rsid w:val="0037563E"/>
    <w:rsid w:val="00377168"/>
    <w:rsid w:val="00390124"/>
    <w:rsid w:val="003F39ED"/>
    <w:rsid w:val="00420FEB"/>
    <w:rsid w:val="00430838"/>
    <w:rsid w:val="0044271A"/>
    <w:rsid w:val="0048430F"/>
    <w:rsid w:val="00495684"/>
    <w:rsid w:val="004C2728"/>
    <w:rsid w:val="004F1240"/>
    <w:rsid w:val="005D4246"/>
    <w:rsid w:val="005E12B3"/>
    <w:rsid w:val="006345EE"/>
    <w:rsid w:val="00643AE8"/>
    <w:rsid w:val="0065606F"/>
    <w:rsid w:val="006703C3"/>
    <w:rsid w:val="006719DA"/>
    <w:rsid w:val="00682581"/>
    <w:rsid w:val="006927F0"/>
    <w:rsid w:val="006C1367"/>
    <w:rsid w:val="006E28A2"/>
    <w:rsid w:val="006F297D"/>
    <w:rsid w:val="00714492"/>
    <w:rsid w:val="00715385"/>
    <w:rsid w:val="00720F75"/>
    <w:rsid w:val="00745631"/>
    <w:rsid w:val="007657A1"/>
    <w:rsid w:val="008159C3"/>
    <w:rsid w:val="00872F9D"/>
    <w:rsid w:val="008B56C4"/>
    <w:rsid w:val="008B5DBD"/>
    <w:rsid w:val="008E7E26"/>
    <w:rsid w:val="00940651"/>
    <w:rsid w:val="00954E88"/>
    <w:rsid w:val="0098650F"/>
    <w:rsid w:val="009C0771"/>
    <w:rsid w:val="009D13A5"/>
    <w:rsid w:val="00AA40B3"/>
    <w:rsid w:val="00AB42E8"/>
    <w:rsid w:val="00B05FB4"/>
    <w:rsid w:val="00B14CE0"/>
    <w:rsid w:val="00B20128"/>
    <w:rsid w:val="00B376D7"/>
    <w:rsid w:val="00B56536"/>
    <w:rsid w:val="00BC73AA"/>
    <w:rsid w:val="00BE0CEC"/>
    <w:rsid w:val="00C42A96"/>
    <w:rsid w:val="00C42BDF"/>
    <w:rsid w:val="00C70D97"/>
    <w:rsid w:val="00C901D5"/>
    <w:rsid w:val="00CE1AA1"/>
    <w:rsid w:val="00CE3AB6"/>
    <w:rsid w:val="00D00481"/>
    <w:rsid w:val="00D52AA5"/>
    <w:rsid w:val="00DF63BD"/>
    <w:rsid w:val="00E87D8E"/>
    <w:rsid w:val="00EC5CAA"/>
    <w:rsid w:val="00F01CE7"/>
    <w:rsid w:val="00F07806"/>
    <w:rsid w:val="00F66C5B"/>
    <w:rsid w:val="00F83A0F"/>
    <w:rsid w:val="00FA7DC2"/>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 w:val="7D7C07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4521</Words>
  <Characters>5201</Characters>
  <Lines>38</Lines>
  <Paragraphs>10</Paragraphs>
  <TotalTime>504</TotalTime>
  <ScaleCrop>false</ScaleCrop>
  <LinksUpToDate>false</LinksUpToDate>
  <CharactersWithSpaces>5249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2021-08-10T03:02:00Z</dcterms:created>
  <dc:creator>陈冬雪</dc:creator>
  <cp:lastModifiedBy>橘生淮南</cp:lastModifiedBy>
  <cp:lastPrinted>2021-07-07T01:10:00Z</cp:lastPrinted>
  <dcterms:modified xsi:type="dcterms:W3CDTF">2024-12-04T11:21:10Z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8AA56438BADC4A67BA9F401395082B2C_12</vt:lpwstr>
  </property>
</Properties>
</file>