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残疾人康复中心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年度决算公开</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柳州市残疾人康复中心</w:t>
      </w:r>
      <w:r>
        <w:rPr>
          <w:rFonts w:hint="eastAsia" w:ascii="仿宋_GB2312" w:eastAsia="仿宋_GB2312"/>
          <w:b/>
          <w:sz w:val="32"/>
          <w:szCs w:val="32"/>
        </w:rPr>
        <w:t>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二、机构设置情况</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柳州市残疾人康复中心</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pacing w:val="-6"/>
          <w:sz w:val="32"/>
          <w:szCs w:val="32"/>
        </w:rPr>
      </w:pPr>
      <w:r>
        <w:rPr>
          <w:rFonts w:hint="eastAsia" w:ascii="仿宋_GB2312" w:eastAsia="仿宋_GB2312"/>
          <w:sz w:val="32"/>
          <w:szCs w:val="32"/>
        </w:rPr>
        <w:t>表七：</w:t>
      </w:r>
      <w:r>
        <w:rPr>
          <w:rFonts w:hint="eastAsia" w:ascii="仿宋_GB2312" w:eastAsia="仿宋_GB2312"/>
          <w:spacing w:val="-6"/>
          <w:sz w:val="32"/>
          <w:szCs w:val="32"/>
        </w:rPr>
        <w:t>一般公共预算财政拨款安排的“</w:t>
      </w:r>
      <w:r>
        <w:rPr>
          <w:rFonts w:ascii="仿宋_GB2312" w:eastAsia="仿宋_GB2312"/>
          <w:spacing w:val="-6"/>
          <w:sz w:val="32"/>
          <w:szCs w:val="32"/>
        </w:rPr>
        <w:t>三公</w:t>
      </w:r>
      <w:r>
        <w:rPr>
          <w:rFonts w:hint="eastAsia" w:ascii="仿宋_GB2312" w:eastAsia="仿宋_GB2312"/>
          <w:spacing w:val="-6"/>
          <w:sz w:val="32"/>
          <w:szCs w:val="32"/>
        </w:rPr>
        <w:t>”</w:t>
      </w:r>
      <w:r>
        <w:rPr>
          <w:rFonts w:ascii="仿宋_GB2312" w:eastAsia="仿宋_GB2312"/>
          <w:spacing w:val="-6"/>
          <w:sz w:val="32"/>
          <w:szCs w:val="32"/>
        </w:rPr>
        <w:t>经费</w:t>
      </w:r>
      <w:r>
        <w:rPr>
          <w:rFonts w:hint="eastAsia" w:ascii="仿宋_GB2312" w:eastAsia="仿宋_GB2312"/>
          <w:spacing w:val="-6"/>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柳州市残疾人康复中心</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柳州市残疾人康复中心</w:t>
      </w:r>
      <w:r>
        <w:rPr>
          <w:rFonts w:hint="eastAsia" w:ascii="仿宋_GB2312" w:eastAsia="仿宋_GB2312"/>
          <w:b/>
          <w:sz w:val="32"/>
          <w:szCs w:val="32"/>
        </w:rPr>
        <w:t>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为0-17岁听力、视力、智力残疾和孤独症儿童提供康复教育及听能管理。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康复技术人才培养。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为基层残疾儿童康复救助定点机构提供技术服务支持。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二、机构设置情况</w:t>
      </w:r>
    </w:p>
    <w:p>
      <w:pPr>
        <w:adjustRightInd w:val="0"/>
        <w:snapToGrid w:val="0"/>
        <w:spacing w:line="560" w:lineRule="exact"/>
        <w:ind w:right="-218" w:rightChars="-104"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柳州市残疾人康复中心为市残联管理的未定级公益一类全额拨款事业单位。内设办公室、语训康复部、启智康复部、视训康复部、社区指导部。共有53人，其中在编5人，聘用30人，劳务派遣18人。</w:t>
      </w:r>
    </w:p>
    <w:p>
      <w:pPr>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柳州市残疾人康复中心</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pacing w:val="-10"/>
          <w:sz w:val="32"/>
          <w:szCs w:val="32"/>
        </w:rPr>
      </w:pPr>
      <w:r>
        <w:rPr>
          <w:rFonts w:hint="eastAsia" w:ascii="仿宋_GB2312" w:eastAsia="仿宋_GB2312"/>
          <w:sz w:val="32"/>
          <w:szCs w:val="32"/>
        </w:rPr>
        <w:t>表七：</w:t>
      </w:r>
      <w:r>
        <w:rPr>
          <w:rFonts w:hint="eastAsia" w:ascii="仿宋_GB2312" w:eastAsia="仿宋_GB2312"/>
          <w:spacing w:val="-10"/>
          <w:sz w:val="32"/>
          <w:szCs w:val="32"/>
        </w:rPr>
        <w:t>一般公共预算财政拨款安排的“</w:t>
      </w:r>
      <w:r>
        <w:rPr>
          <w:rFonts w:ascii="仿宋_GB2312" w:eastAsia="仿宋_GB2312"/>
          <w:spacing w:val="-10"/>
          <w:sz w:val="32"/>
          <w:szCs w:val="32"/>
        </w:rPr>
        <w:t>三公</w:t>
      </w:r>
      <w:r>
        <w:rPr>
          <w:rFonts w:hint="eastAsia" w:ascii="仿宋_GB2312" w:eastAsia="仿宋_GB2312"/>
          <w:spacing w:val="-10"/>
          <w:sz w:val="32"/>
          <w:szCs w:val="32"/>
        </w:rPr>
        <w:t>”</w:t>
      </w:r>
      <w:r>
        <w:rPr>
          <w:rFonts w:ascii="仿宋_GB2312" w:eastAsia="仿宋_GB2312"/>
          <w:spacing w:val="-10"/>
          <w:sz w:val="32"/>
          <w:szCs w:val="32"/>
        </w:rPr>
        <w:t>经费</w:t>
      </w:r>
      <w:r>
        <w:rPr>
          <w:rFonts w:hint="eastAsia" w:ascii="仿宋_GB2312" w:eastAsia="仿宋_GB2312"/>
          <w:spacing w:val="-10"/>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rPr>
          <w:rFonts w:ascii="仿宋_GB2312" w:eastAsia="仿宋_GB2312"/>
          <w:b/>
          <w:sz w:val="32"/>
          <w:szCs w:val="32"/>
        </w:rPr>
      </w:pPr>
    </w:p>
    <w:p>
      <w:pPr>
        <w:jc w:val="center"/>
        <w:rPr>
          <w:rFonts w:ascii="仿宋_GB2312" w:eastAsia="仿宋_GB2312"/>
          <w:b/>
          <w:sz w:val="32"/>
          <w:szCs w:val="32"/>
        </w:rPr>
      </w:pPr>
    </w:p>
    <w:p>
      <w:pPr>
        <w:ind w:left="645"/>
        <w:rPr>
          <w:rFonts w:ascii="仿宋_GB2312" w:eastAsia="仿宋_GB2312"/>
          <w:sz w:val="32"/>
          <w:szCs w:val="32"/>
        </w:rPr>
      </w:pPr>
      <w:r>
        <w:rPr>
          <w:rFonts w:hint="eastAsia" w:ascii="仿宋_GB2312" w:eastAsia="仿宋_GB2312"/>
          <w:sz w:val="32"/>
          <w:szCs w:val="32"/>
        </w:rPr>
        <w:t>上述报表详见附件。</w:t>
      </w:r>
    </w:p>
    <w:p>
      <w:pPr>
        <w:spacing w:line="580" w:lineRule="exact"/>
        <w:rPr>
          <w:rFonts w:ascii="仿宋_GB2312" w:eastAsia="仿宋_GB2312"/>
          <w:b/>
          <w:sz w:val="32"/>
          <w:szCs w:val="32"/>
        </w:rPr>
      </w:pP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柳州市残疾人康复中心</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2020年度收入总计1010.08万元，支出总计1010.08万元，与2019年相比，收入、支出总计各减少936.39万元；分别下降48.11%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本年收入总计648.20万元 ，其中：一般公共预算财政拨款收入430.26万元；占比66.38% ；事业收入217.77万元，占比33.60% ；其他收入0.17万元，占比0.02%。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本年支出合计757.47万元，其中：基本支出105.71万元，占 13.96%；项目支出654.76万元， 占86.04%。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2020年度财政拨款收入、支出总决算497.68万元。与 2019 年相比，财政拨款收入、支出总计各减少934.50万元，分别下降65.25%。</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2020年度财政拨款支出493.24万元，占本年支出合计的65.12%。与 2019 年相比，财政拨款支出减少837.83万元，下降62.94%。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年度财政拨款支出493.24万元，主要用于以下方面：社会保障和就业支出478.11万元， 占96.93%；卫生健康支出5.69万元，占1.15%；住房保障支出9.44万元，占 1.91%。</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418.68万元，支出决算为493.24万元，完成年初预算的117.81%。决算数大于预算数的主要原因：一是年中追加安排财政拨款支出预算，涉及增人增资经费9.56万元；二是部分支出按规定，通过使用以前年度财政拨款结转资金解决。其中：听力障碍者助听器验配康复救助项目经费3.14万元，柳州市残疾人康复中心室内改造工程项目经费23.28万元，残疾人康复设施设备购置项目经费37.23万元，听障儿童康复信息化建设项目经费1.35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rPr>
        <w:t xml:space="preserve"> </w:t>
      </w:r>
      <w:r>
        <w:rPr>
          <w:rFonts w:hint="eastAsia" w:ascii="仿宋_GB2312" w:eastAsia="仿宋_GB2312" w:cs="仿宋_GB2312"/>
          <w:bCs/>
          <w:kern w:val="0"/>
          <w:sz w:val="32"/>
          <w:szCs w:val="32"/>
        </w:rPr>
        <w:t>社会保障和就业支出（类）行政事业单位养老支出（款）机关事业单位基本养老保险缴费支出（项）。年初预算为9.18万元，支出决算为 8.23万元，完成年初预算的 89.65%。决算数小于预算数的主要原因是：在职人员工资增长，养老保险经费增加，2020年在职人员去世一人，养老保险经费减少，增减抵消总体减少。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 社会保障和就业支出（类）行政事业单位养老支出（款）机关事业单位职业年金缴费支出（项）。年初预算为 4.59万元，支出决算为4.12万元，完成年初预算的89.76%。决算数小于预算数的主要原因是：在职人员工资增长，职业年金经费增加，2020年在职人员去世一人，职业年金经费减少，增减抵消总体减少。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社会保障和就业支出（类）残疾人事业（款）残疾人康复（项）。年初预算为393.69万元，支出决算为465.76万元，完成年初预算的118.31%。决算数大于预算数的主要原因是：一是在职人员工资增长，人员经费增加，2020年在职人员去世一人，人员经费减少，增减抵消总体增加7.07万元。；二是部分支出按规定，通过使用以前年度财政拨款结转资金解决。其中：听力障碍者助听器验配康复救助项目经费3.14万元，柳州市残疾人康复中心室内改造工程项目经费23.28万元，残疾人康复设施设备购置项目经费37.23万元，听障儿童康复信息化建设项目经费1.35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卫生健康支出（类）行政事业单位医疗（款）事业单位医疗（项）。年初预算为4.34万元，支出决算为5.69万元，完成年初预算的131.11%。决算数大于预算数的主要原因是：在职人员工资增长，医疗保险经费增加，2020年在职人员去世一人，医疗保险经费减少，增减抵消总体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住房保障支出（类）住房改革支出（款）住房公积金（项）。年初预算为6.88万元，支出决算为9.15万元，完成年初预算的132.99%。决算数大于预算数的主要原因是：在职人员工资增长，住房公积金经费增加，2020年在职人员去世一人，住房公积金经费减少，增减抵消总体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住房保障支出（类）住房改革支出（款）购房补贴（项）。年初预算为0万元，支出决算为0.29万元。决算数大于预算数的主要原因是：年中财政追加安排购房补贴支出预算。</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w:t>
      </w:r>
      <w:r>
        <w:rPr>
          <w:rFonts w:hint="eastAsia" w:ascii="仿宋_GB2312" w:eastAsia="仿宋_GB2312" w:cs="仿宋_GB2312"/>
          <w:kern w:val="0"/>
          <w:sz w:val="32"/>
          <w:szCs w:val="32"/>
        </w:rPr>
        <w:t>20年度</w:t>
      </w:r>
      <w:r>
        <w:rPr>
          <w:rFonts w:hint="eastAsia" w:ascii="仿宋_GB2312" w:eastAsia="仿宋_GB2312" w:cs="仿宋_GB2312"/>
          <w:b/>
          <w:kern w:val="0"/>
          <w:sz w:val="32"/>
          <w:szCs w:val="32"/>
        </w:rPr>
        <w:t>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2020年度财政拨款基本支出105.71万元，其中：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人员经费94.45万元，主要包括：基本工资、津贴补贴、绩效工资、机关事业单位基本养老保险缴费、职业年金缴费、其他社会保障缴费、其他工资福利支出、抚恤金、生活补助、住房公积金。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公用经费11.27万元，主要 包括：办公费、印刷费、邮电费、物业管理费、差旅费、维 修（护）费、会议费、培训费、公务接待费、专用材料费、劳务费、工会经费、公务用车运行维护费、其他商品和服务支出。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2.21万元，支出决算为2.17万元，完成预算的98.19%，其中：因公出国（境）费支出决算为0万元；公务用车购置及运行费支出决算为2万元，完成预算的100%；公务接待费支出决算为0.17万元，完成预算的80.95%。2020年度“三公”经费支出决算数小于预算数的主要原因是认真</w:t>
      </w:r>
      <w:bookmarkStart w:id="0" w:name="_GoBack"/>
      <w:bookmarkEnd w:id="0"/>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0.84万元，增长63.16%，其中：因公出国（境）费支出决算0万元，与上年相比无变化；公务用车购置及运行费支出决算增加0.71万元，增长55.33%；公务接待费支出决算增加0.13万元，增长277.78%。</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与上年相比无变化；公务用车购置及运行费支出增加的主要原因是公务用车燃油费及通行费增加；公务接待费支出增加的主要原因是接待自治区及其他地市康复机构来柳调研及交流的次数增加。</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2020年度“三公”经费财政拨款支出决算中，因公出国（境）费支出决算0万元；公务用车购置及运行费支出决算2万元，占92.17 %；公务接待费支出决算0.17万元，占7.83%。具体情况如下：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2.公务用车购置及运行费支出2万元。其中：公务用车购置支出为0万元。公务用车运行支出2万元。主要用于残疾人辅具服务专用车辆燃油费及通行费。2020年，单位开支财政拨款的公务用车保有量为1辆。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3.公务接待费支出0.17万元。其中：</w:t>
      </w:r>
    </w:p>
    <w:p>
      <w:pPr>
        <w:autoSpaceDE w:val="0"/>
        <w:autoSpaceDN w:val="0"/>
        <w:adjustRightInd w:val="0"/>
        <w:spacing w:line="580" w:lineRule="exact"/>
        <w:ind w:firstLine="63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外宾接待支出0万元。</w:t>
      </w:r>
    </w:p>
    <w:p>
      <w:pPr>
        <w:autoSpaceDE w:val="0"/>
        <w:autoSpaceDN w:val="0"/>
        <w:adjustRightInd w:val="0"/>
        <w:spacing w:line="580" w:lineRule="exact"/>
        <w:ind w:firstLine="63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国内公务接待支出0.17万元。主要用于接待自治区及其他地市康复机构来柳调研督导及交流考察座谈开支。2020 年共接待国内来访团组2个、来宾10人次。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本单位2020年度无政府基金预算财政拨款收入支出。 </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bCs/>
          <w:kern w:val="0"/>
          <w:sz w:val="32"/>
          <w:szCs w:val="32"/>
        </w:rPr>
        <w:t>2020年度无国有资本经营预算财政拨款支出。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根据财政预算管理要求，我单位组织对2020年度一般公共预算项目支出全面开展绩效自评。其中，一级项目0个，二级项目5个，共涉及预算资金435.22万元，自评覆盖率达到100%）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（二）本单位2020年度无项目支出预算绩效评价。</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（一）机关运行经费支出情况。2020年度机关运行经费支出0万元，</w:t>
      </w:r>
      <w:r>
        <w:rPr>
          <w:rFonts w:hint="eastAsia" w:ascii="仿宋_GB2312" w:eastAsia="仿宋_GB2312" w:cs="仿宋_GB2312"/>
          <w:bCs/>
          <w:kern w:val="0"/>
          <w:sz w:val="32"/>
          <w:szCs w:val="32"/>
        </w:rPr>
        <w:t>与上年相比无变化</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（二）政府采购支出情况。2020年度政府采购支出总额172.81万元，其中：货物支出171.62万元、工程支出0万元、服务支出1.19万元。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（三）国有资产占用情况。截至年末部门共有车辆1辆，其中：1专业技术用车1辆；单价50万元以上通用设备1台（套），单价100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事业收入：指事业单位开展专业活动用辅助活动所取得的收入。本单位主要为取得上级残联及各县区残联拨付的残疾人康复经费。</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其他收入：指除上述“财政拨款收入”、“事业收入”、“经营收入”等以外的收入。主要是银行利息收入。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4765C4-7622-4982-97CE-41A5778DAA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27569CBB-324B-4CE0-8862-3BD345DA5D09}"/>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B3020CD9-CD4A-4064-8711-D9A879AF29CF}"/>
  </w:font>
  <w:font w:name="华文仿宋">
    <w:altName w:val="仿宋"/>
    <w:panose1 w:val="02010600040101010101"/>
    <w:charset w:val="86"/>
    <w:family w:val="auto"/>
    <w:pitch w:val="default"/>
    <w:sig w:usb0="00000000" w:usb1="00000000" w:usb2="00000010" w:usb3="00000000" w:csb0="0004009F" w:csb1="00000000"/>
    <w:embedRegular r:id="rId4" w:fontKey="{7821B667-829D-491B-B740-C279FBB5F95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4OGE0YTE5NWJjM2Y5N2I3MDYxMmIwNzljZTk5ZDIifQ=="/>
  </w:docVars>
  <w:rsids>
    <w:rsidRoot w:val="4C256E3D"/>
    <w:rsid w:val="00066CA3"/>
    <w:rsid w:val="0008583E"/>
    <w:rsid w:val="000C5C39"/>
    <w:rsid w:val="00176663"/>
    <w:rsid w:val="001A7964"/>
    <w:rsid w:val="001B4B95"/>
    <w:rsid w:val="001C67CA"/>
    <w:rsid w:val="001D05F6"/>
    <w:rsid w:val="001E6008"/>
    <w:rsid w:val="00241CF7"/>
    <w:rsid w:val="00277E4A"/>
    <w:rsid w:val="00282FA1"/>
    <w:rsid w:val="002E5214"/>
    <w:rsid w:val="004202F1"/>
    <w:rsid w:val="004A2977"/>
    <w:rsid w:val="004B00A4"/>
    <w:rsid w:val="004E6FB4"/>
    <w:rsid w:val="00556BAC"/>
    <w:rsid w:val="005B4257"/>
    <w:rsid w:val="005D24D6"/>
    <w:rsid w:val="00622F44"/>
    <w:rsid w:val="006919C6"/>
    <w:rsid w:val="006C1367"/>
    <w:rsid w:val="006D7822"/>
    <w:rsid w:val="00703FBC"/>
    <w:rsid w:val="00715385"/>
    <w:rsid w:val="00762989"/>
    <w:rsid w:val="007843FE"/>
    <w:rsid w:val="007C2DC1"/>
    <w:rsid w:val="0080288E"/>
    <w:rsid w:val="0081140F"/>
    <w:rsid w:val="00822B18"/>
    <w:rsid w:val="00875396"/>
    <w:rsid w:val="009353FC"/>
    <w:rsid w:val="00954F39"/>
    <w:rsid w:val="009551EA"/>
    <w:rsid w:val="009E1649"/>
    <w:rsid w:val="00A123D9"/>
    <w:rsid w:val="00A2568F"/>
    <w:rsid w:val="00A47794"/>
    <w:rsid w:val="00A8127E"/>
    <w:rsid w:val="00A9196D"/>
    <w:rsid w:val="00AB3B26"/>
    <w:rsid w:val="00AC470A"/>
    <w:rsid w:val="00B30FC2"/>
    <w:rsid w:val="00B41B17"/>
    <w:rsid w:val="00B53C07"/>
    <w:rsid w:val="00BC7FAF"/>
    <w:rsid w:val="00BE4CB6"/>
    <w:rsid w:val="00BF79CC"/>
    <w:rsid w:val="00C47439"/>
    <w:rsid w:val="00C871DD"/>
    <w:rsid w:val="00D2603C"/>
    <w:rsid w:val="00E53D80"/>
    <w:rsid w:val="00E97F1E"/>
    <w:rsid w:val="00F31359"/>
    <w:rsid w:val="00F66C5B"/>
    <w:rsid w:val="00F75B64"/>
    <w:rsid w:val="00F90DB8"/>
    <w:rsid w:val="00FA4335"/>
    <w:rsid w:val="00FF5725"/>
    <w:rsid w:val="0E074DDF"/>
    <w:rsid w:val="124204B5"/>
    <w:rsid w:val="182962AB"/>
    <w:rsid w:val="19D073EB"/>
    <w:rsid w:val="1CC31F67"/>
    <w:rsid w:val="24D337DC"/>
    <w:rsid w:val="26460DBA"/>
    <w:rsid w:val="29C84AE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783</Words>
  <Characters>4468</Characters>
  <Lines>37</Lines>
  <Paragraphs>10</Paragraphs>
  <TotalTime>206</TotalTime>
  <ScaleCrop>false</ScaleCrop>
  <LinksUpToDate>false</LinksUpToDate>
  <CharactersWithSpaces>5241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2023-11-22T02:28:43Z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76BBA61C8B8A4487A681A601F8A3800A_12</vt:lpwstr>
  </property>
</Properties>
</file>