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cs="ArialUnicodeMS"/>
          <w:kern w:val="0"/>
          <w:sz w:val="32"/>
          <w:szCs w:val="32"/>
        </w:rPr>
      </w:pPr>
      <w:bookmarkStart w:id="0" w:name="_GoBack"/>
      <w:bookmarkEnd w:id="0"/>
    </w:p>
    <w:p>
      <w:pPr>
        <w:spacing w:line="560" w:lineRule="exact"/>
        <w:jc w:val="left"/>
        <w:rPr>
          <w:rFonts w:ascii="黑体" w:eastAsia="黑体" w:cs="ArialUnicodeMS"/>
          <w:kern w:val="0"/>
          <w:sz w:val="72"/>
          <w:szCs w:val="72"/>
        </w:rPr>
      </w:pPr>
    </w:p>
    <w:p>
      <w:pPr>
        <w:spacing w:line="800" w:lineRule="exact"/>
        <w:jc w:val="left"/>
        <w:rPr>
          <w:rFonts w:ascii="黑体" w:eastAsia="黑体" w:cs="ArialUnicodeMS"/>
          <w:kern w:val="0"/>
          <w:sz w:val="72"/>
          <w:szCs w:val="72"/>
        </w:rPr>
      </w:pPr>
    </w:p>
    <w:p>
      <w:pPr>
        <w:spacing w:line="800" w:lineRule="exact"/>
        <w:jc w:val="center"/>
        <w:rPr>
          <w:rFonts w:ascii="方正小标宋简体" w:hAnsi="黑体" w:eastAsia="方正小标宋简体"/>
          <w:bCs/>
          <w:color w:val="000000"/>
          <w:sz w:val="48"/>
          <w:szCs w:val="48"/>
        </w:rPr>
      </w:pPr>
      <w:r>
        <w:rPr>
          <w:rFonts w:hint="eastAsia" w:ascii="方正小标宋简体" w:eastAsia="方正小标宋简体" w:cs="ArialUnicodeMS"/>
          <w:kern w:val="0"/>
          <w:sz w:val="48"/>
          <w:szCs w:val="48"/>
        </w:rPr>
        <w:t>柳州市军队离休退休干部静兰休养所</w:t>
      </w:r>
    </w:p>
    <w:p>
      <w:pPr>
        <w:spacing w:line="800" w:lineRule="exact"/>
        <w:jc w:val="center"/>
        <w:rPr>
          <w:rFonts w:ascii="方正小标宋简体" w:eastAsia="方正小标宋简体" w:cs="ArialUnicodeMS"/>
          <w:kern w:val="0"/>
          <w:sz w:val="48"/>
          <w:szCs w:val="48"/>
        </w:rPr>
      </w:pPr>
      <w:r>
        <w:rPr>
          <w:rFonts w:hint="eastAsia" w:ascii="方正小标宋简体" w:eastAsia="方正小标宋简体"/>
          <w:kern w:val="0"/>
          <w:sz w:val="48"/>
          <w:szCs w:val="48"/>
        </w:rPr>
        <w:t>2020</w:t>
      </w:r>
      <w:r>
        <w:rPr>
          <w:rFonts w:hint="eastAsia" w:ascii="方正小标宋简体" w:eastAsia="方正小标宋简体" w:cs="ArialUnicodeMS"/>
          <w:kern w:val="0"/>
          <w:sz w:val="48"/>
          <w:szCs w:val="48"/>
        </w:rPr>
        <w:t>年度单位决算</w:t>
      </w:r>
    </w:p>
    <w:p>
      <w:pPr>
        <w:spacing w:line="80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jc w:val="left"/>
        <w:rPr>
          <w:rFonts w:ascii="仿宋" w:hAnsi="仿宋" w:eastAsia="仿宋"/>
          <w:b/>
          <w:sz w:val="32"/>
          <w:szCs w:val="32"/>
        </w:rPr>
      </w:pPr>
    </w:p>
    <w:p>
      <w:pPr>
        <w:spacing w:line="560" w:lineRule="exact"/>
        <w:ind w:firstLine="645"/>
        <w:jc w:val="left"/>
        <w:rPr>
          <w:rFonts w:ascii="仿宋" w:hAnsi="仿宋" w:eastAsia="仿宋"/>
          <w:b/>
          <w:sz w:val="32"/>
          <w:szCs w:val="32"/>
        </w:rPr>
      </w:pPr>
      <w:r>
        <w:rPr>
          <w:rFonts w:hint="eastAsia" w:ascii="仿宋" w:hAnsi="仿宋" w:eastAsia="仿宋"/>
          <w:b/>
          <w:sz w:val="32"/>
          <w:szCs w:val="32"/>
        </w:rPr>
        <w:t>第一部分：</w:t>
      </w:r>
      <w:r>
        <w:rPr>
          <w:rFonts w:hint="eastAsia" w:ascii="仿宋" w:hAnsi="仿宋" w:eastAsia="仿宋"/>
          <w:b/>
          <w:bCs/>
          <w:color w:val="000000"/>
          <w:sz w:val="32"/>
          <w:szCs w:val="32"/>
        </w:rPr>
        <w:t>柳州市军队离休退休干部静兰休养所</w:t>
      </w:r>
      <w:r>
        <w:rPr>
          <w:rFonts w:hint="eastAsia" w:ascii="仿宋" w:hAnsi="仿宋" w:eastAsia="仿宋"/>
          <w:b/>
          <w:sz w:val="32"/>
          <w:szCs w:val="32"/>
        </w:rPr>
        <w:t>概况</w:t>
      </w:r>
    </w:p>
    <w:p>
      <w:pPr>
        <w:pStyle w:val="14"/>
        <w:numPr>
          <w:ilvl w:val="0"/>
          <w:numId w:val="1"/>
        </w:numPr>
        <w:spacing w:line="560" w:lineRule="exact"/>
        <w:ind w:firstLineChars="0"/>
        <w:jc w:val="left"/>
        <w:rPr>
          <w:rFonts w:ascii="仿宋" w:hAnsi="仿宋" w:eastAsia="仿宋"/>
          <w:sz w:val="32"/>
          <w:szCs w:val="32"/>
        </w:rPr>
      </w:pPr>
      <w:r>
        <w:rPr>
          <w:rFonts w:hint="eastAsia" w:ascii="仿宋" w:hAnsi="仿宋" w:eastAsia="仿宋"/>
          <w:sz w:val="32"/>
          <w:szCs w:val="32"/>
        </w:rPr>
        <w:t>主要职能</w:t>
      </w:r>
    </w:p>
    <w:p>
      <w:pPr>
        <w:pStyle w:val="14"/>
        <w:numPr>
          <w:ilvl w:val="0"/>
          <w:numId w:val="1"/>
        </w:numPr>
        <w:spacing w:line="560" w:lineRule="exact"/>
        <w:ind w:firstLineChars="0"/>
        <w:jc w:val="left"/>
        <w:rPr>
          <w:rFonts w:ascii="仿宋" w:hAnsi="仿宋" w:eastAsia="仿宋"/>
          <w:sz w:val="32"/>
          <w:szCs w:val="32"/>
        </w:rPr>
      </w:pPr>
      <w:r>
        <w:rPr>
          <w:rFonts w:hint="eastAsia" w:ascii="仿宋" w:hAnsi="仿宋" w:eastAsia="仿宋"/>
          <w:sz w:val="32"/>
          <w:szCs w:val="32"/>
        </w:rPr>
        <w:t>单位决算单位构成</w:t>
      </w:r>
    </w:p>
    <w:p>
      <w:pPr>
        <w:spacing w:line="560" w:lineRule="exact"/>
        <w:ind w:firstLine="645"/>
        <w:jc w:val="left"/>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柳州市军队离休退休干部静兰休养所</w:t>
      </w:r>
      <w:r>
        <w:rPr>
          <w:rFonts w:hint="eastAsia" w:ascii="仿宋" w:hAnsi="仿宋" w:eastAsia="仿宋"/>
          <w:b/>
          <w:sz w:val="32"/>
          <w:szCs w:val="32"/>
        </w:rPr>
        <w:t>2020年单位决算报表</w:t>
      </w:r>
    </w:p>
    <w:p>
      <w:pPr>
        <w:spacing w:line="560" w:lineRule="exact"/>
        <w:ind w:left="645"/>
        <w:jc w:val="left"/>
        <w:rPr>
          <w:rFonts w:ascii="仿宋" w:hAnsi="仿宋" w:eastAsia="仿宋"/>
          <w:sz w:val="32"/>
          <w:szCs w:val="32"/>
        </w:rPr>
      </w:pPr>
      <w:r>
        <w:rPr>
          <w:rFonts w:hint="eastAsia" w:ascii="仿宋" w:hAnsi="仿宋" w:eastAsia="仿宋"/>
          <w:sz w:val="32"/>
          <w:szCs w:val="32"/>
        </w:rPr>
        <w:t>表一：收入支出决算总表</w:t>
      </w:r>
    </w:p>
    <w:p>
      <w:pPr>
        <w:spacing w:line="560" w:lineRule="exact"/>
        <w:ind w:left="645"/>
        <w:jc w:val="left"/>
        <w:rPr>
          <w:rFonts w:ascii="仿宋" w:hAnsi="仿宋" w:eastAsia="仿宋"/>
          <w:sz w:val="32"/>
          <w:szCs w:val="32"/>
        </w:rPr>
      </w:pPr>
      <w:r>
        <w:rPr>
          <w:rFonts w:hint="eastAsia" w:ascii="仿宋" w:hAnsi="仿宋" w:eastAsia="仿宋"/>
          <w:sz w:val="32"/>
          <w:szCs w:val="32"/>
        </w:rPr>
        <w:t>表二：收入决算表</w:t>
      </w:r>
    </w:p>
    <w:p>
      <w:pPr>
        <w:spacing w:line="560" w:lineRule="exact"/>
        <w:ind w:left="645"/>
        <w:jc w:val="left"/>
        <w:rPr>
          <w:rFonts w:ascii="仿宋" w:hAnsi="仿宋" w:eastAsia="仿宋"/>
          <w:sz w:val="32"/>
          <w:szCs w:val="32"/>
        </w:rPr>
      </w:pPr>
      <w:r>
        <w:rPr>
          <w:rFonts w:hint="eastAsia" w:ascii="仿宋" w:hAnsi="仿宋" w:eastAsia="仿宋"/>
          <w:sz w:val="32"/>
          <w:szCs w:val="32"/>
        </w:rPr>
        <w:t>表三：支出决算表</w:t>
      </w:r>
    </w:p>
    <w:p>
      <w:pPr>
        <w:spacing w:line="560" w:lineRule="exact"/>
        <w:ind w:left="645"/>
        <w:jc w:val="left"/>
        <w:rPr>
          <w:rFonts w:ascii="仿宋" w:hAnsi="仿宋" w:eastAsia="仿宋"/>
          <w:sz w:val="32"/>
          <w:szCs w:val="32"/>
        </w:rPr>
      </w:pPr>
      <w:r>
        <w:rPr>
          <w:rFonts w:hint="eastAsia" w:ascii="仿宋" w:hAnsi="仿宋" w:eastAsia="仿宋"/>
          <w:sz w:val="32"/>
          <w:szCs w:val="32"/>
        </w:rPr>
        <w:t>表四：财政拨款收入支出决算总表</w:t>
      </w:r>
    </w:p>
    <w:p>
      <w:pPr>
        <w:spacing w:line="560" w:lineRule="exact"/>
        <w:ind w:left="645"/>
        <w:jc w:val="left"/>
        <w:rPr>
          <w:rFonts w:ascii="仿宋" w:hAnsi="仿宋" w:eastAsia="仿宋"/>
          <w:sz w:val="32"/>
          <w:szCs w:val="32"/>
        </w:rPr>
      </w:pPr>
      <w:r>
        <w:rPr>
          <w:rFonts w:hint="eastAsia" w:ascii="仿宋" w:hAnsi="仿宋" w:eastAsia="仿宋"/>
          <w:sz w:val="32"/>
          <w:szCs w:val="32"/>
        </w:rPr>
        <w:t>表五：一般公共预算财政拨款支出决算表</w:t>
      </w:r>
    </w:p>
    <w:p>
      <w:pPr>
        <w:spacing w:line="560" w:lineRule="exact"/>
        <w:ind w:left="645"/>
        <w:jc w:val="left"/>
        <w:rPr>
          <w:rFonts w:ascii="仿宋" w:hAnsi="仿宋" w:eastAsia="仿宋"/>
          <w:sz w:val="32"/>
          <w:szCs w:val="32"/>
        </w:rPr>
      </w:pPr>
      <w:r>
        <w:rPr>
          <w:rFonts w:hint="eastAsia" w:ascii="仿宋" w:hAnsi="仿宋" w:eastAsia="仿宋"/>
          <w:sz w:val="32"/>
          <w:szCs w:val="32"/>
        </w:rPr>
        <w:t>表六：一般公共预算财政拨款基本支出决算表</w:t>
      </w:r>
    </w:p>
    <w:p>
      <w:pPr>
        <w:spacing w:line="560" w:lineRule="exact"/>
        <w:ind w:left="645"/>
        <w:jc w:val="left"/>
        <w:rPr>
          <w:rFonts w:ascii="仿宋" w:hAnsi="仿宋" w:eastAsia="仿宋"/>
          <w:sz w:val="32"/>
          <w:szCs w:val="32"/>
        </w:rPr>
      </w:pPr>
      <w:r>
        <w:rPr>
          <w:rFonts w:hint="eastAsia" w:ascii="仿宋" w:hAnsi="仿宋" w:eastAsia="仿宋"/>
          <w:sz w:val="32"/>
          <w:szCs w:val="32"/>
        </w:rPr>
        <w:t>表七：一般公共预算财政拨款安排的“</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支出决算表</w:t>
      </w:r>
    </w:p>
    <w:p>
      <w:pPr>
        <w:spacing w:line="560" w:lineRule="exact"/>
        <w:ind w:left="645"/>
        <w:jc w:val="left"/>
        <w:rPr>
          <w:rFonts w:ascii="仿宋" w:hAnsi="仿宋" w:eastAsia="仿宋"/>
          <w:sz w:val="32"/>
          <w:szCs w:val="32"/>
        </w:rPr>
      </w:pPr>
      <w:r>
        <w:rPr>
          <w:rFonts w:hint="eastAsia" w:ascii="仿宋" w:hAnsi="仿宋" w:eastAsia="仿宋"/>
          <w:sz w:val="32"/>
          <w:szCs w:val="32"/>
        </w:rPr>
        <w:t>表八：政府性基金预算财政拨款收入支出决算表</w:t>
      </w:r>
    </w:p>
    <w:p>
      <w:pPr>
        <w:spacing w:line="560" w:lineRule="exact"/>
        <w:ind w:left="645"/>
        <w:jc w:val="left"/>
        <w:rPr>
          <w:rFonts w:ascii="仿宋" w:hAnsi="仿宋" w:eastAsia="仿宋"/>
          <w:sz w:val="32"/>
          <w:szCs w:val="32"/>
          <w:highlight w:val="yellow"/>
        </w:rPr>
      </w:pPr>
      <w:r>
        <w:rPr>
          <w:rFonts w:hint="eastAsia" w:ascii="仿宋" w:hAnsi="仿宋" w:eastAsia="仿宋"/>
          <w:sz w:val="32"/>
          <w:szCs w:val="32"/>
        </w:rPr>
        <w:t>表九：国有资本经营预算财政拨款支出决算表</w:t>
      </w:r>
    </w:p>
    <w:p>
      <w:pPr>
        <w:spacing w:line="560" w:lineRule="exact"/>
        <w:ind w:firstLine="645"/>
        <w:jc w:val="left"/>
        <w:rPr>
          <w:rFonts w:ascii="仿宋" w:hAnsi="仿宋" w:eastAsia="仿宋"/>
          <w:b/>
          <w:sz w:val="32"/>
          <w:szCs w:val="32"/>
        </w:rPr>
      </w:pPr>
      <w:r>
        <w:rPr>
          <w:rFonts w:hint="eastAsia" w:ascii="仿宋" w:hAnsi="仿宋" w:eastAsia="仿宋"/>
          <w:b/>
          <w:sz w:val="32"/>
          <w:szCs w:val="32"/>
        </w:rPr>
        <w:t>第三部分：柳州市军队离休退休干部静兰休养所2020年度单位决算情况说明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w:t>
      </w:r>
      <w:r>
        <w:rPr>
          <w:rFonts w:hint="eastAsia" w:ascii="仿宋" w:hAnsi="仿宋" w:eastAsia="仿宋"/>
          <w:kern w:val="0"/>
          <w:sz w:val="32"/>
          <w:szCs w:val="32"/>
        </w:rPr>
        <w:t>2020</w:t>
      </w:r>
      <w:r>
        <w:rPr>
          <w:rFonts w:hint="eastAsia" w:ascii="仿宋" w:hAnsi="仿宋" w:eastAsia="仿宋"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w:t>
      </w:r>
      <w:r>
        <w:rPr>
          <w:rFonts w:hint="eastAsia" w:ascii="仿宋" w:hAnsi="仿宋" w:eastAsia="仿宋"/>
          <w:kern w:val="0"/>
          <w:sz w:val="32"/>
          <w:szCs w:val="32"/>
        </w:rPr>
        <w:t>2020</w:t>
      </w:r>
      <w:r>
        <w:rPr>
          <w:rFonts w:hint="eastAsia" w:ascii="仿宋" w:hAnsi="仿宋" w:eastAsia="仿宋" w:cs="仿宋_GB2312"/>
          <w:kern w:val="0"/>
          <w:sz w:val="32"/>
          <w:szCs w:val="32"/>
        </w:rPr>
        <w:t>年度收入决算情况。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w:t>
      </w:r>
      <w:r>
        <w:rPr>
          <w:rFonts w:hint="eastAsia" w:ascii="仿宋" w:hAnsi="仿宋" w:eastAsia="仿宋"/>
          <w:kern w:val="0"/>
          <w:sz w:val="32"/>
          <w:szCs w:val="32"/>
        </w:rPr>
        <w:t>2020</w:t>
      </w:r>
      <w:r>
        <w:rPr>
          <w:rFonts w:hint="eastAsia" w:ascii="仿宋" w:hAnsi="仿宋" w:eastAsia="仿宋" w:cs="仿宋_GB2312"/>
          <w:kern w:val="0"/>
          <w:sz w:val="32"/>
          <w:szCs w:val="32"/>
        </w:rPr>
        <w:t>年度支出决算情况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w:t>
      </w:r>
      <w:r>
        <w:rPr>
          <w:rFonts w:hint="eastAsia" w:ascii="仿宋" w:hAnsi="仿宋" w:eastAsia="仿宋"/>
          <w:kern w:val="0"/>
          <w:sz w:val="32"/>
          <w:szCs w:val="32"/>
        </w:rPr>
        <w:t>2020</w:t>
      </w:r>
      <w:r>
        <w:rPr>
          <w:rFonts w:hint="eastAsia" w:ascii="仿宋" w:hAnsi="仿宋" w:eastAsia="仿宋" w:cs="仿宋_GB2312"/>
          <w:kern w:val="0"/>
          <w:sz w:val="32"/>
          <w:szCs w:val="32"/>
        </w:rPr>
        <w:t>年度财政拨款收入支出决算情况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w:t>
      </w:r>
      <w:r>
        <w:rPr>
          <w:rFonts w:hint="eastAsia" w:ascii="仿宋" w:hAnsi="仿宋" w:eastAsia="仿宋"/>
          <w:kern w:val="0"/>
          <w:sz w:val="32"/>
          <w:szCs w:val="32"/>
        </w:rPr>
        <w:t>2020</w:t>
      </w:r>
      <w:r>
        <w:rPr>
          <w:rFonts w:hint="eastAsia" w:ascii="仿宋" w:hAnsi="仿宋" w:eastAsia="仿宋" w:cs="仿宋_GB2312"/>
          <w:kern w:val="0"/>
          <w:sz w:val="32"/>
          <w:szCs w:val="32"/>
        </w:rPr>
        <w:t>年度一般公共预算财政拨款支出决算情况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六、</w:t>
      </w:r>
      <w:r>
        <w:rPr>
          <w:rFonts w:hint="eastAsia" w:ascii="仿宋" w:hAnsi="仿宋" w:eastAsia="仿宋"/>
          <w:kern w:val="0"/>
          <w:sz w:val="32"/>
          <w:szCs w:val="32"/>
        </w:rPr>
        <w:t>2020年</w:t>
      </w:r>
      <w:r>
        <w:rPr>
          <w:rFonts w:hint="eastAsia" w:ascii="仿宋" w:hAnsi="仿宋" w:eastAsia="仿宋" w:cs="仿宋_GB2312"/>
          <w:kern w:val="0"/>
          <w:sz w:val="32"/>
          <w:szCs w:val="32"/>
        </w:rPr>
        <w:t>度一般公共预算财政拨款基本支出决算情况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七、</w:t>
      </w:r>
      <w:r>
        <w:rPr>
          <w:rFonts w:hint="eastAsia" w:ascii="仿宋" w:hAnsi="仿宋" w:eastAsia="仿宋"/>
          <w:kern w:val="0"/>
          <w:sz w:val="32"/>
          <w:szCs w:val="32"/>
        </w:rPr>
        <w:t>2020</w:t>
      </w:r>
      <w:r>
        <w:rPr>
          <w:rFonts w:hint="eastAsia" w:ascii="仿宋" w:hAnsi="仿宋" w:eastAsia="仿宋" w:cs="仿宋_GB2312"/>
          <w:kern w:val="0"/>
          <w:sz w:val="32"/>
          <w:szCs w:val="32"/>
        </w:rPr>
        <w:t>年度一般公共预算财政拨款“三公”经费支出决算情况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八、</w:t>
      </w:r>
      <w:r>
        <w:rPr>
          <w:rFonts w:hint="eastAsia" w:ascii="仿宋" w:hAnsi="仿宋" w:eastAsia="仿宋"/>
          <w:kern w:val="0"/>
          <w:sz w:val="32"/>
          <w:szCs w:val="32"/>
        </w:rPr>
        <w:t>2020</w:t>
      </w:r>
      <w:r>
        <w:rPr>
          <w:rFonts w:hint="eastAsia" w:ascii="仿宋" w:hAnsi="仿宋" w:eastAsia="仿宋" w:cs="仿宋_GB2312"/>
          <w:bCs/>
          <w:kern w:val="0"/>
          <w:sz w:val="32"/>
          <w:szCs w:val="32"/>
        </w:rPr>
        <w:t>年度政府性基金预算财政拨款收入支出决算情况</w:t>
      </w:r>
    </w:p>
    <w:p>
      <w:pPr>
        <w:spacing w:line="560" w:lineRule="exact"/>
        <w:ind w:left="645"/>
        <w:jc w:val="left"/>
        <w:rPr>
          <w:rFonts w:ascii="仿宋" w:hAnsi="仿宋" w:eastAsia="仿宋" w:cs="仿宋_GB2312"/>
          <w:bCs/>
          <w:kern w:val="0"/>
          <w:sz w:val="32"/>
          <w:szCs w:val="32"/>
        </w:rPr>
      </w:pPr>
      <w:r>
        <w:rPr>
          <w:rFonts w:hint="eastAsia" w:ascii="仿宋" w:hAnsi="仿宋" w:eastAsia="仿宋" w:cs="仿宋_GB2312"/>
          <w:bCs/>
          <w:kern w:val="0"/>
          <w:sz w:val="32"/>
          <w:szCs w:val="32"/>
        </w:rPr>
        <w:t>九、</w:t>
      </w:r>
      <w:r>
        <w:rPr>
          <w:rFonts w:hint="eastAsia" w:ascii="仿宋" w:hAnsi="仿宋" w:eastAsia="仿宋"/>
          <w:sz w:val="32"/>
          <w:szCs w:val="32"/>
        </w:rPr>
        <w:t>国有资本经营预算财政拨款支出决算情况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w:t>
      </w:r>
      <w:r>
        <w:rPr>
          <w:rFonts w:hint="eastAsia" w:ascii="仿宋" w:hAnsi="仿宋" w:eastAsia="仿宋"/>
          <w:kern w:val="0"/>
          <w:sz w:val="32"/>
          <w:szCs w:val="32"/>
        </w:rPr>
        <w:t>2020</w:t>
      </w:r>
      <w:r>
        <w:rPr>
          <w:rFonts w:hint="eastAsia" w:ascii="仿宋" w:hAnsi="仿宋" w:eastAsia="仿宋" w:cs="仿宋_GB2312"/>
          <w:bCs/>
          <w:kern w:val="0"/>
          <w:sz w:val="32"/>
          <w:szCs w:val="32"/>
        </w:rPr>
        <w:t>年度预算绩效情况说明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bCs/>
          <w:kern w:val="0"/>
          <w:sz w:val="32"/>
          <w:szCs w:val="32"/>
        </w:rPr>
        <w:t>十一、其他重要事项的情况说明</w:t>
      </w:r>
    </w:p>
    <w:p>
      <w:pPr>
        <w:spacing w:line="560" w:lineRule="exact"/>
        <w:ind w:firstLine="645"/>
        <w:jc w:val="left"/>
        <w:rPr>
          <w:rFonts w:ascii="仿宋" w:hAnsi="仿宋" w:eastAsia="仿宋"/>
          <w:b/>
          <w:sz w:val="32"/>
          <w:szCs w:val="32"/>
        </w:rPr>
      </w:pPr>
      <w:r>
        <w:rPr>
          <w:rFonts w:hint="eastAsia" w:ascii="仿宋" w:hAnsi="仿宋" w:eastAsia="仿宋"/>
          <w:b/>
          <w:sz w:val="32"/>
          <w:szCs w:val="32"/>
        </w:rPr>
        <w:t>第四部分：名词解释</w:t>
      </w:r>
    </w:p>
    <w:p>
      <w:pPr>
        <w:spacing w:line="560" w:lineRule="exact"/>
        <w:ind w:firstLine="646"/>
        <w:jc w:val="center"/>
        <w:rPr>
          <w:rFonts w:ascii="仿宋" w:hAnsi="仿宋" w:eastAsia="仿宋"/>
          <w:b/>
          <w:sz w:val="32"/>
          <w:szCs w:val="32"/>
        </w:rPr>
      </w:pPr>
      <w:r>
        <w:rPr>
          <w:rFonts w:hint="eastAsia" w:ascii="仿宋" w:hAnsi="仿宋" w:eastAsia="仿宋" w:cs="仿宋_GB2312"/>
          <w:bCs/>
          <w:kern w:val="0"/>
          <w:sz w:val="32"/>
          <w:szCs w:val="32"/>
        </w:rPr>
        <w:br w:type="page"/>
      </w:r>
      <w:r>
        <w:rPr>
          <w:rFonts w:hint="eastAsia" w:ascii="仿宋" w:hAnsi="仿宋" w:eastAsia="仿宋"/>
          <w:b/>
          <w:sz w:val="32"/>
          <w:szCs w:val="32"/>
        </w:rPr>
        <w:t>第一部分：</w:t>
      </w:r>
      <w:r>
        <w:rPr>
          <w:rFonts w:hint="eastAsia" w:ascii="仿宋" w:hAnsi="仿宋" w:eastAsia="仿宋"/>
          <w:b/>
          <w:bCs/>
          <w:color w:val="000000"/>
          <w:sz w:val="32"/>
          <w:szCs w:val="32"/>
        </w:rPr>
        <w:t>柳州市军队离休退休干部静兰休养所</w:t>
      </w:r>
      <w:r>
        <w:rPr>
          <w:rFonts w:hint="eastAsia" w:ascii="仿宋" w:hAnsi="仿宋" w:eastAsia="仿宋"/>
          <w:b/>
          <w:sz w:val="32"/>
          <w:szCs w:val="32"/>
        </w:rPr>
        <w:t>概况</w:t>
      </w:r>
    </w:p>
    <w:p>
      <w:pPr>
        <w:spacing w:line="560" w:lineRule="exact"/>
        <w:ind w:firstLine="646"/>
        <w:jc w:val="left"/>
        <w:rPr>
          <w:rFonts w:ascii="仿宋" w:hAnsi="仿宋" w:eastAsia="仿宋"/>
          <w:sz w:val="32"/>
          <w:szCs w:val="32"/>
        </w:rPr>
      </w:pPr>
    </w:p>
    <w:p>
      <w:pPr>
        <w:spacing w:line="560" w:lineRule="exact"/>
        <w:ind w:firstLine="646"/>
        <w:jc w:val="left"/>
        <w:rPr>
          <w:rFonts w:ascii="仿宋" w:hAnsi="仿宋" w:eastAsia="仿宋" w:cs="黑体"/>
          <w:sz w:val="32"/>
          <w:szCs w:val="32"/>
        </w:rPr>
      </w:pPr>
      <w:r>
        <w:rPr>
          <w:rFonts w:hint="eastAsia" w:ascii="仿宋" w:hAnsi="仿宋" w:eastAsia="仿宋" w:cs="黑体"/>
          <w:sz w:val="32"/>
          <w:szCs w:val="32"/>
        </w:rPr>
        <w:t>一、主要职能</w:t>
      </w:r>
    </w:p>
    <w:p>
      <w:pPr>
        <w:snapToGrid w:val="0"/>
        <w:spacing w:line="520" w:lineRule="exact"/>
        <w:ind w:left="645" w:firstLine="640" w:firstLineChars="200"/>
        <w:rPr>
          <w:rFonts w:ascii="仿宋" w:hAnsi="仿宋" w:eastAsia="仿宋"/>
          <w:sz w:val="32"/>
          <w:szCs w:val="32"/>
        </w:rPr>
      </w:pPr>
      <w:r>
        <w:rPr>
          <w:rFonts w:hint="eastAsia" w:ascii="仿宋" w:hAnsi="仿宋" w:eastAsia="仿宋"/>
          <w:sz w:val="32"/>
          <w:szCs w:val="32"/>
        </w:rPr>
        <w:t>本单位主要职能是服务与管理移交地方的军队离休退休干部。</w:t>
      </w:r>
    </w:p>
    <w:p>
      <w:pPr>
        <w:spacing w:line="560" w:lineRule="exact"/>
        <w:ind w:firstLine="646"/>
        <w:jc w:val="left"/>
        <w:rPr>
          <w:rFonts w:ascii="仿宋" w:hAnsi="仿宋" w:eastAsia="仿宋"/>
          <w:sz w:val="32"/>
          <w:szCs w:val="32"/>
        </w:rPr>
      </w:pPr>
      <w:r>
        <w:rPr>
          <w:rFonts w:hint="eastAsia" w:ascii="仿宋" w:hAnsi="仿宋" w:eastAsia="仿宋" w:cs="黑体"/>
          <w:sz w:val="32"/>
          <w:szCs w:val="32"/>
        </w:rPr>
        <w:t>二、单位决算单位构成</w:t>
      </w:r>
    </w:p>
    <w:p>
      <w:pPr>
        <w:snapToGrid w:val="0"/>
        <w:spacing w:line="520" w:lineRule="exact"/>
        <w:ind w:left="645" w:firstLine="640" w:firstLineChars="200"/>
        <w:rPr>
          <w:rFonts w:ascii="仿宋" w:hAnsi="仿宋" w:eastAsia="仿宋"/>
          <w:sz w:val="32"/>
          <w:szCs w:val="32"/>
        </w:rPr>
      </w:pPr>
      <w:r>
        <w:rPr>
          <w:rFonts w:hint="eastAsia" w:ascii="仿宋" w:hAnsi="仿宋" w:eastAsia="仿宋"/>
          <w:bCs/>
          <w:color w:val="000000"/>
          <w:sz w:val="32"/>
          <w:szCs w:val="32"/>
        </w:rPr>
        <w:t>柳州市军队离休退休干部静兰休养所</w:t>
      </w:r>
      <w:r>
        <w:rPr>
          <w:rFonts w:hint="eastAsia" w:ascii="仿宋" w:hAnsi="仿宋" w:eastAsia="仿宋"/>
          <w:sz w:val="32"/>
          <w:szCs w:val="32"/>
        </w:rPr>
        <w:t>属于独立核算参照公务员管理事业单位。人员情况：编制12人，2020年在编人员3人。</w:t>
      </w: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柳州市军队离休退休干部静兰休养所</w:t>
      </w:r>
    </w:p>
    <w:p>
      <w:pPr>
        <w:spacing w:line="560" w:lineRule="exact"/>
        <w:jc w:val="center"/>
        <w:rPr>
          <w:rFonts w:ascii="仿宋" w:hAnsi="仿宋" w:eastAsia="仿宋"/>
          <w:b/>
          <w:sz w:val="32"/>
          <w:szCs w:val="32"/>
        </w:rPr>
      </w:pPr>
      <w:r>
        <w:rPr>
          <w:rFonts w:hint="eastAsia" w:ascii="仿宋" w:hAnsi="仿宋" w:eastAsia="仿宋"/>
          <w:b/>
          <w:sz w:val="32"/>
          <w:szCs w:val="32"/>
        </w:rPr>
        <w:t>2020年单位决算报表</w:t>
      </w:r>
    </w:p>
    <w:p>
      <w:pPr>
        <w:spacing w:line="560" w:lineRule="exact"/>
        <w:jc w:val="center"/>
        <w:rPr>
          <w:rFonts w:ascii="仿宋" w:hAnsi="仿宋" w:eastAsia="仿宋"/>
          <w:b/>
          <w:sz w:val="32"/>
          <w:szCs w:val="32"/>
        </w:rPr>
      </w:pPr>
    </w:p>
    <w:p>
      <w:pPr>
        <w:spacing w:line="560" w:lineRule="exact"/>
        <w:ind w:firstLine="640" w:firstLineChars="200"/>
        <w:jc w:val="left"/>
        <w:rPr>
          <w:rFonts w:ascii="仿宋" w:hAnsi="仿宋" w:eastAsia="仿宋"/>
        </w:rPr>
      </w:pPr>
      <w:r>
        <w:rPr>
          <w:rFonts w:hint="eastAsia" w:ascii="仿宋" w:hAnsi="仿宋" w:eastAsia="仿宋"/>
          <w:sz w:val="32"/>
          <w:szCs w:val="32"/>
        </w:rPr>
        <w:t>详见附件：柳州市军队离休退休干部静兰休养所2020年单位决算报表</w:t>
      </w:r>
    </w:p>
    <w:p>
      <w:pPr>
        <w:spacing w:line="560" w:lineRule="exact"/>
        <w:jc w:val="left"/>
        <w:rPr>
          <w:rFonts w:ascii="仿宋" w:hAnsi="仿宋" w:eastAsia="仿宋"/>
          <w:b/>
          <w:sz w:val="32"/>
          <w:szCs w:val="32"/>
        </w:rPr>
      </w:pPr>
    </w:p>
    <w:p>
      <w:pPr>
        <w:spacing w:line="560" w:lineRule="exact"/>
        <w:jc w:val="center"/>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bCs/>
          <w:color w:val="000000"/>
          <w:sz w:val="32"/>
          <w:szCs w:val="32"/>
        </w:rPr>
        <w:t>柳州市军队离休退休干部静兰休养所</w:t>
      </w:r>
    </w:p>
    <w:p>
      <w:pPr>
        <w:spacing w:line="560" w:lineRule="exact"/>
        <w:jc w:val="center"/>
        <w:rPr>
          <w:rFonts w:ascii="仿宋" w:hAnsi="仿宋" w:eastAsia="仿宋"/>
          <w:b/>
          <w:sz w:val="32"/>
          <w:szCs w:val="32"/>
        </w:rPr>
      </w:pPr>
      <w:r>
        <w:rPr>
          <w:rFonts w:hint="eastAsia" w:ascii="仿宋" w:hAnsi="仿宋" w:eastAsia="仿宋"/>
          <w:b/>
          <w:sz w:val="32"/>
          <w:szCs w:val="32"/>
        </w:rPr>
        <w:t>2020年度单位决算情况说明</w:t>
      </w:r>
    </w:p>
    <w:p>
      <w:pPr>
        <w:autoSpaceDE w:val="0"/>
        <w:autoSpaceDN w:val="0"/>
        <w:adjustRightInd w:val="0"/>
        <w:spacing w:line="560" w:lineRule="exact"/>
        <w:ind w:firstLine="643" w:firstLineChars="200"/>
        <w:jc w:val="left"/>
        <w:rPr>
          <w:rFonts w:ascii="仿宋" w:hAnsi="仿宋" w:eastAsia="仿宋" w:cs="仿宋_GB2312"/>
          <w:b/>
          <w:kern w:val="0"/>
          <w:sz w:val="32"/>
          <w:szCs w:val="32"/>
        </w:rPr>
      </w:pP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w:t>
      </w:r>
      <w:r>
        <w:rPr>
          <w:rFonts w:hint="eastAsia" w:ascii="仿宋" w:hAnsi="仿宋" w:eastAsia="仿宋"/>
          <w:kern w:val="0"/>
          <w:sz w:val="32"/>
          <w:szCs w:val="32"/>
        </w:rPr>
        <w:t>2020</w:t>
      </w:r>
      <w:r>
        <w:rPr>
          <w:rFonts w:hint="eastAsia" w:ascii="仿宋" w:hAnsi="仿宋" w:eastAsia="仿宋"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2020年度收入总计3395.05万元，支出总计2842.35万元，与2019年相比，收入减少298.75万元，减少8.8%；支出增加251.77万元，增加8.8%</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二、2020年度收入决算情况</w:t>
      </w:r>
    </w:p>
    <w:p>
      <w:pPr>
        <w:autoSpaceDE w:val="0"/>
        <w:autoSpaceDN w:val="0"/>
        <w:adjustRightInd w:val="0"/>
        <w:spacing w:line="560" w:lineRule="exact"/>
        <w:ind w:firstLine="640" w:firstLineChars="200"/>
        <w:jc w:val="left"/>
        <w:rPr>
          <w:rFonts w:ascii="仿宋" w:hAnsi="仿宋" w:eastAsia="仿宋" w:cs="仿宋_GB2312"/>
          <w:b/>
          <w:kern w:val="0"/>
          <w:sz w:val="32"/>
          <w:szCs w:val="32"/>
        </w:rPr>
      </w:pPr>
      <w:r>
        <w:rPr>
          <w:rFonts w:hint="eastAsia" w:ascii="仿宋" w:hAnsi="仿宋" w:eastAsia="仿宋" w:cs="仿宋_GB2312"/>
          <w:bCs/>
          <w:kern w:val="0"/>
          <w:sz w:val="32"/>
          <w:szCs w:val="32"/>
        </w:rPr>
        <w:t>本年收入总计2826.46万元</w:t>
      </w:r>
      <w:r>
        <w:rPr>
          <w:rFonts w:hint="eastAsia" w:ascii="仿宋" w:eastAsia="仿宋" w:cs="仿宋_GB2312"/>
          <w:bCs/>
          <w:kern w:val="0"/>
          <w:sz w:val="32"/>
          <w:szCs w:val="32"/>
        </w:rPr>
        <w:t> </w:t>
      </w:r>
      <w:r>
        <w:rPr>
          <w:rFonts w:hint="eastAsia" w:ascii="仿宋" w:hAnsi="仿宋" w:eastAsia="仿宋" w:cs="仿宋_GB2312"/>
          <w:bCs/>
          <w:kern w:val="0"/>
          <w:sz w:val="32"/>
          <w:szCs w:val="32"/>
        </w:rPr>
        <w:t>，其中：一般公共预算财政拨款收入2807.53万元，占比99%</w:t>
      </w:r>
      <w:r>
        <w:rPr>
          <w:rFonts w:hint="eastAsia" w:ascii="仿宋" w:eastAsia="仿宋" w:cs="仿宋_GB2312"/>
          <w:bCs/>
          <w:kern w:val="0"/>
          <w:sz w:val="32"/>
          <w:szCs w:val="32"/>
        </w:rPr>
        <w:t> </w:t>
      </w:r>
      <w:r>
        <w:rPr>
          <w:rFonts w:hint="eastAsia" w:ascii="仿宋" w:hAnsi="仿宋" w:eastAsia="仿宋" w:cs="仿宋_GB2312"/>
          <w:bCs/>
          <w:kern w:val="0"/>
          <w:sz w:val="32"/>
          <w:szCs w:val="32"/>
        </w:rPr>
        <w:t>；其他收入18.93万元，占比1%。</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三、2020年度支出决算情况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本年支出合计2842.35万元，其中：基本支出839.75万元，占30%；项目支出2002.6万元，占70%。</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四、2020年度财政拨款收入支出决算情况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本部门2020年度财政拨款收入总决算2922.73万元，与2019年相比，财政拨款收入增加25.93万元，增加1%；支出总决算2823.41万元，与2019年相比，财政拨款支出增加43.7万元，增加2%。</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五、2020年度一般公共预算财政拨款支出决算情况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（一）财政拨款支出决算情况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部门2020年度财政拨款支出2823.41万元，占本年支出合计的100%。与 2019 年相比，财政拨款支出增加43.7万元，增加2%。</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（二）财政拨款支出决算结构情况</w:t>
      </w:r>
    </w:p>
    <w:p>
      <w:pPr>
        <w:autoSpaceDE w:val="0"/>
        <w:autoSpaceDN w:val="0"/>
        <w:adjustRightInd w:val="0"/>
        <w:spacing w:line="56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2020年度财政拨款支出2823.41万元，主要用于以下方面：社会保障和就业（类）支出2702.25万元，占95%；卫生健康（类）支出110万元，占4%；住房保障（类）支出17.4万元，占1%。</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（三）财政拨款支出决算具体情况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2020年度财政拨款支出年初预算为900.61万元，支出决算为2842.32万元，完成年初预算的316%。决算数大于预算数的主要原因：一是年中追加安排财政拨款支出预算，涉及项目有企业军队转业干部困难补助和安置。其中：</w:t>
      </w:r>
    </w:p>
    <w:p>
      <w:pPr>
        <w:autoSpaceDE w:val="0"/>
        <w:autoSpaceDN w:val="0"/>
        <w:adjustRightInd w:val="0"/>
        <w:spacing w:line="560" w:lineRule="exact"/>
        <w:ind w:firstLine="640" w:firstLineChars="200"/>
        <w:jc w:val="left"/>
        <w:rPr>
          <w:rFonts w:ascii="仿宋" w:hAnsi="仿宋" w:eastAsia="仿宋" w:cs="仿宋_GB2312"/>
          <w:bCs/>
          <w:color w:val="000000" w:themeColor="text1"/>
          <w:kern w:val="0"/>
          <w:sz w:val="32"/>
          <w:szCs w:val="32"/>
        </w:rPr>
      </w:pPr>
      <w:r>
        <w:rPr>
          <w:rFonts w:hint="eastAsia" w:ascii="仿宋" w:hAnsi="仿宋" w:eastAsia="仿宋" w:cs="仿宋_GB2312"/>
          <w:bCs/>
          <w:color w:val="000000" w:themeColor="text1"/>
          <w:kern w:val="0"/>
          <w:sz w:val="32"/>
          <w:szCs w:val="32"/>
        </w:rPr>
        <w:t>1.社会保障和就业（类）行政事业单位养老（款）行政单位离退休（项）。年初预算为4.15万元，支出决算为4.13万元，完成年初预算的99%，</w:t>
      </w:r>
      <w:r>
        <w:rPr>
          <w:rFonts w:hint="eastAsia" w:ascii="仿宋" w:hAnsi="仿宋" w:eastAsia="仿宋" w:cs="仿宋_GB2312"/>
          <w:bCs/>
          <w:kern w:val="0"/>
          <w:sz w:val="32"/>
          <w:szCs w:val="32"/>
        </w:rPr>
        <w:t>决算数小于预算数的主要原因是在职人员减少</w:t>
      </w:r>
      <w:r>
        <w:rPr>
          <w:rFonts w:hint="eastAsia" w:ascii="仿宋" w:hAnsi="仿宋" w:eastAsia="仿宋" w:cs="仿宋_GB2312"/>
          <w:bCs/>
          <w:color w:val="000000" w:themeColor="text1"/>
          <w:kern w:val="0"/>
          <w:sz w:val="32"/>
          <w:szCs w:val="32"/>
        </w:rPr>
        <w:t>。</w:t>
      </w:r>
    </w:p>
    <w:p>
      <w:pPr>
        <w:autoSpaceDE w:val="0"/>
        <w:autoSpaceDN w:val="0"/>
        <w:adjustRightInd w:val="0"/>
        <w:spacing w:line="560" w:lineRule="exact"/>
        <w:ind w:firstLine="640" w:firstLineChars="200"/>
        <w:jc w:val="left"/>
        <w:rPr>
          <w:rFonts w:ascii="仿宋" w:hAnsi="仿宋" w:eastAsia="仿宋" w:cs="仿宋_GB2312"/>
          <w:bCs/>
          <w:color w:val="000000" w:themeColor="text1"/>
          <w:kern w:val="0"/>
          <w:sz w:val="32"/>
          <w:szCs w:val="32"/>
        </w:rPr>
      </w:pPr>
      <w:r>
        <w:rPr>
          <w:rFonts w:hint="eastAsia" w:ascii="仿宋" w:hAnsi="仿宋" w:eastAsia="仿宋" w:cs="仿宋_GB2312"/>
          <w:bCs/>
          <w:color w:val="000000" w:themeColor="text1"/>
          <w:kern w:val="0"/>
          <w:sz w:val="32"/>
          <w:szCs w:val="32"/>
        </w:rPr>
        <w:t>2.社会保障和就业（类）行政事业单位养老（款）机关事业单位基本养老保险缴费支出（项）。年初预算为23.21万元，支出决算为20.81万元，完成年初预算的90%，</w:t>
      </w:r>
      <w:r>
        <w:rPr>
          <w:rFonts w:hint="eastAsia" w:ascii="仿宋" w:hAnsi="仿宋" w:eastAsia="仿宋" w:cs="仿宋_GB2312"/>
          <w:bCs/>
          <w:kern w:val="0"/>
          <w:sz w:val="32"/>
          <w:szCs w:val="32"/>
        </w:rPr>
        <w:t>决算数小于预算数的主要原因是在职人员减少</w:t>
      </w:r>
      <w:r>
        <w:rPr>
          <w:rFonts w:hint="eastAsia" w:ascii="仿宋" w:hAnsi="仿宋" w:eastAsia="仿宋" w:cs="仿宋_GB2312"/>
          <w:bCs/>
          <w:color w:val="000000" w:themeColor="text1"/>
          <w:kern w:val="0"/>
          <w:sz w:val="32"/>
          <w:szCs w:val="32"/>
        </w:rPr>
        <w:t>。</w:t>
      </w:r>
    </w:p>
    <w:p>
      <w:pPr>
        <w:autoSpaceDE w:val="0"/>
        <w:autoSpaceDN w:val="0"/>
        <w:adjustRightInd w:val="0"/>
        <w:spacing w:line="560" w:lineRule="exact"/>
        <w:ind w:firstLine="640" w:firstLineChars="200"/>
        <w:jc w:val="left"/>
        <w:rPr>
          <w:rFonts w:ascii="仿宋" w:hAnsi="仿宋" w:eastAsia="仿宋" w:cs="仿宋_GB2312"/>
          <w:bCs/>
          <w:color w:val="000000" w:themeColor="text1"/>
          <w:kern w:val="0"/>
          <w:sz w:val="32"/>
          <w:szCs w:val="32"/>
        </w:rPr>
      </w:pPr>
      <w:r>
        <w:rPr>
          <w:rFonts w:hint="eastAsia" w:ascii="仿宋" w:hAnsi="仿宋" w:eastAsia="仿宋" w:cs="仿宋_GB2312"/>
          <w:bCs/>
          <w:color w:val="000000" w:themeColor="text1"/>
          <w:kern w:val="0"/>
          <w:sz w:val="32"/>
          <w:szCs w:val="32"/>
        </w:rPr>
        <w:t>3.社会保障和就业（类）行政事业单位养老（款）机关事业单位职业年金缴费支出（项）。年初预算为11.5万元，支出决算为10.68万元，完成年初预算的93%，</w:t>
      </w:r>
      <w:r>
        <w:rPr>
          <w:rFonts w:hint="eastAsia" w:ascii="仿宋" w:hAnsi="仿宋" w:eastAsia="仿宋" w:cs="仿宋_GB2312"/>
          <w:bCs/>
          <w:kern w:val="0"/>
          <w:sz w:val="32"/>
          <w:szCs w:val="32"/>
        </w:rPr>
        <w:t>决算数小于预算数的主要原因是在职人员减少</w:t>
      </w:r>
      <w:r>
        <w:rPr>
          <w:rFonts w:hint="eastAsia" w:ascii="仿宋" w:hAnsi="仿宋" w:eastAsia="仿宋" w:cs="仿宋_GB2312"/>
          <w:bCs/>
          <w:color w:val="000000" w:themeColor="text1"/>
          <w:kern w:val="0"/>
          <w:sz w:val="32"/>
          <w:szCs w:val="32"/>
        </w:rPr>
        <w:t>。</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color w:val="000000" w:themeColor="text1"/>
          <w:kern w:val="0"/>
          <w:sz w:val="32"/>
          <w:szCs w:val="32"/>
        </w:rPr>
        <w:t>4. 社会保障和就业（类）退役安置（款）军队移交政府的离退休人员安置（项）。年初预算为693万元，支出决算为2675.34万元，完成年初预算的100%。</w:t>
      </w:r>
      <w:r>
        <w:rPr>
          <w:rFonts w:hint="eastAsia" w:ascii="仿宋" w:hAnsi="仿宋" w:eastAsia="仿宋" w:cs="仿宋_GB2312"/>
          <w:bCs/>
          <w:kern w:val="0"/>
          <w:sz w:val="32"/>
          <w:szCs w:val="32"/>
        </w:rPr>
        <w:t>决算数大于预算数的主要原因是年中追加安排财政拨款支出预算为企业军队转业干部困难补助和安置。</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color w:val="000000" w:themeColor="text1"/>
          <w:kern w:val="0"/>
          <w:sz w:val="32"/>
          <w:szCs w:val="32"/>
        </w:rPr>
        <w:t xml:space="preserve"> 5.社会保障和就业（类）退役安置（款）军队移交政府离退休干部管理机构（项）。年初预算为0万元，支出决算为106.99万元。</w:t>
      </w:r>
      <w:r>
        <w:rPr>
          <w:rFonts w:hint="eastAsia" w:ascii="仿宋" w:hAnsi="仿宋" w:eastAsia="仿宋" w:cs="仿宋_GB2312"/>
          <w:bCs/>
          <w:kern w:val="0"/>
          <w:sz w:val="32"/>
          <w:szCs w:val="32"/>
        </w:rPr>
        <w:t>决算数大于预算数的主要原因年中追加安排财政拨款支出预算为企业军队转业干部困难补助和安置。</w:t>
      </w:r>
    </w:p>
    <w:p>
      <w:pPr>
        <w:autoSpaceDE w:val="0"/>
        <w:autoSpaceDN w:val="0"/>
        <w:adjustRightInd w:val="0"/>
        <w:spacing w:line="560" w:lineRule="exact"/>
        <w:ind w:firstLine="640" w:firstLineChars="200"/>
        <w:jc w:val="left"/>
        <w:rPr>
          <w:rFonts w:ascii="仿宋" w:hAnsi="仿宋" w:eastAsia="仿宋" w:cs="仿宋_GB2312"/>
          <w:bCs/>
          <w:color w:val="000000" w:themeColor="text1"/>
          <w:kern w:val="0"/>
          <w:sz w:val="32"/>
          <w:szCs w:val="32"/>
        </w:rPr>
      </w:pPr>
      <w:r>
        <w:rPr>
          <w:rFonts w:hint="eastAsia" w:ascii="仿宋" w:hAnsi="仿宋" w:eastAsia="仿宋" w:cs="仿宋_GB2312"/>
          <w:bCs/>
          <w:kern w:val="0"/>
          <w:sz w:val="32"/>
          <w:szCs w:val="32"/>
        </w:rPr>
        <w:t>6. 卫生健康（类）行政事业单位医疗（款）行政单位医疗（项</w:t>
      </w:r>
      <w:r>
        <w:rPr>
          <w:rFonts w:hint="eastAsia" w:ascii="仿宋" w:hAnsi="仿宋" w:eastAsia="仿宋" w:cs="仿宋_GB2312"/>
          <w:bCs/>
          <w:color w:val="000000" w:themeColor="text1"/>
          <w:kern w:val="0"/>
          <w:sz w:val="32"/>
          <w:szCs w:val="32"/>
        </w:rPr>
        <w:t>）。年初预算为9.98万元，支出决算为9.98万元，完成年初预算的100%。</w:t>
      </w:r>
    </w:p>
    <w:p>
      <w:pPr>
        <w:autoSpaceDE w:val="0"/>
        <w:autoSpaceDN w:val="0"/>
        <w:adjustRightInd w:val="0"/>
        <w:spacing w:line="560" w:lineRule="exact"/>
        <w:ind w:firstLine="640" w:firstLineChars="200"/>
        <w:jc w:val="left"/>
        <w:rPr>
          <w:rFonts w:ascii="仿宋" w:hAnsi="仿宋" w:eastAsia="仿宋" w:cs="仿宋_GB2312"/>
          <w:bCs/>
          <w:color w:val="000000" w:themeColor="text1"/>
          <w:kern w:val="0"/>
          <w:sz w:val="32"/>
          <w:szCs w:val="32"/>
        </w:rPr>
      </w:pPr>
      <w:r>
        <w:rPr>
          <w:rFonts w:hint="eastAsia" w:ascii="仿宋" w:hAnsi="仿宋" w:eastAsia="仿宋" w:cs="仿宋_GB2312"/>
          <w:bCs/>
          <w:color w:val="000000" w:themeColor="text1"/>
          <w:kern w:val="0"/>
          <w:sz w:val="32"/>
          <w:szCs w:val="32"/>
        </w:rPr>
        <w:t xml:space="preserve"> 7.</w:t>
      </w:r>
      <w:r>
        <w:rPr>
          <w:rFonts w:hint="eastAsia" w:ascii="仿宋" w:hAnsi="仿宋" w:eastAsia="仿宋" w:cs="仿宋_GB2312"/>
          <w:bCs/>
          <w:kern w:val="0"/>
          <w:sz w:val="32"/>
          <w:szCs w:val="32"/>
        </w:rPr>
        <w:t xml:space="preserve"> 卫生健康（类）行政事业单位医疗（款）事业单位医疗（项</w:t>
      </w:r>
      <w:r>
        <w:rPr>
          <w:rFonts w:hint="eastAsia" w:ascii="仿宋" w:hAnsi="仿宋" w:eastAsia="仿宋" w:cs="仿宋_GB2312"/>
          <w:bCs/>
          <w:color w:val="000000" w:themeColor="text1"/>
          <w:kern w:val="0"/>
          <w:sz w:val="32"/>
          <w:szCs w:val="32"/>
        </w:rPr>
        <w:t>）。年初预算为0.09万元，支出决算为0.09万元，完成年初预算的100%。</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8. 卫生健康（类）行政事业单位医疗（款）公务员医疗补助（项）</w:t>
      </w:r>
      <w:r>
        <w:rPr>
          <w:rFonts w:hint="eastAsia" w:ascii="仿宋" w:hAnsi="仿宋" w:eastAsia="仿宋" w:cs="仿宋_GB2312"/>
          <w:bCs/>
          <w:color w:val="000000" w:themeColor="text1"/>
          <w:kern w:val="0"/>
          <w:sz w:val="32"/>
          <w:szCs w:val="32"/>
        </w:rPr>
        <w:t>。年初预算为141.43万元，支出决算为84.78万元，完成年初预算的167%。</w:t>
      </w:r>
      <w:r>
        <w:rPr>
          <w:rFonts w:hint="eastAsia" w:ascii="仿宋" w:hAnsi="仿宋" w:eastAsia="仿宋" w:cs="仿宋_GB2312"/>
          <w:bCs/>
          <w:kern w:val="0"/>
          <w:sz w:val="32"/>
          <w:szCs w:val="32"/>
        </w:rPr>
        <w:t>决算数大于预算数的主要原因是财政预算数调整。</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9. 卫生健康（类）行政事业单位医疗（款）其他行政事业单位医疗支出（项）</w:t>
      </w:r>
      <w:r>
        <w:rPr>
          <w:rFonts w:hint="eastAsia" w:ascii="仿宋" w:hAnsi="仿宋" w:eastAsia="仿宋" w:cs="仿宋_GB2312"/>
          <w:bCs/>
          <w:color w:val="000000" w:themeColor="text1"/>
          <w:kern w:val="0"/>
          <w:sz w:val="32"/>
          <w:szCs w:val="32"/>
        </w:rPr>
        <w:t>。年初预算为0万元，支出决算为8.9万元。</w:t>
      </w:r>
      <w:r>
        <w:rPr>
          <w:rFonts w:hint="eastAsia" w:ascii="仿宋" w:hAnsi="仿宋" w:eastAsia="仿宋" w:cs="仿宋_GB2312"/>
          <w:bCs/>
          <w:kern w:val="0"/>
          <w:sz w:val="32"/>
          <w:szCs w:val="32"/>
        </w:rPr>
        <w:t>决算数大于预算数的主要原因是使用上年结余经费。</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10. 住房保障（类）住房改革（款）住房公积金（项）</w:t>
      </w:r>
      <w:r>
        <w:rPr>
          <w:rFonts w:hint="eastAsia" w:ascii="仿宋" w:hAnsi="仿宋" w:eastAsia="仿宋" w:cs="仿宋_GB2312"/>
          <w:bCs/>
          <w:color w:val="000000" w:themeColor="text1"/>
          <w:kern w:val="0"/>
          <w:sz w:val="32"/>
          <w:szCs w:val="32"/>
        </w:rPr>
        <w:t>。年初预算为17.25万元，支出决算为17.4万元，完成年初预算的100%。</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六、2020年度一般公共预算财政拨款基本支出决算情况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2020年度财政拨款基本支出839.75万元，其中：</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人员经费810.92万元，主要包括：基本工资、津贴补贴、奖金、伙食补助费、绩效工资、机关事业单位基本养老保险缴费、职业年金缴费、其他社会保障缴费、其他工资福利支出、离休费、退休费、生活补助、住房公积金。</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公用经费28.83万元，主要包括：办公费、印刷费、水费、电费、邮电费、物业管理费、差旅费、因公出国（境）费用、维修（护）费、会议费、培训费、公务接待费、委托业务费、工会经费、其他交通费用、其他商品和服务支出、办公设备购置。</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 xml:space="preserve">七、2020年度一般公共预算财政拨款“三公” 经费支出决算情况 </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（一）“三公”经费财政拨款支出决算总体情况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三公”经费财政拨款支出预算为0.4万元，支出决算为0万元，完成预算的0%，其中：因公出国（境）费支出决算为0万元；公务用车购置及运行费支出决算为0万元；公务接待费支出决算为0万元，完成预算的0%。2020年度“三公”经费支出决算数小于预算数的主要原因为：一是落实疫情防控要求，减少了公务接待。</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2020年度“三公”经费财政拨款支出决算数比2019年减少0.64万元，下降100%，其中：因公出国（境）费支出决算减少0万元；公务用车购置及运行费支出决算减少0万元；公务接待费支出决算减少0.64万元，下降100%。</w:t>
      </w:r>
    </w:p>
    <w:p>
      <w:pPr>
        <w:autoSpaceDE w:val="0"/>
        <w:autoSpaceDN w:val="0"/>
        <w:adjustRightInd w:val="0"/>
        <w:spacing w:line="56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因公出国（境）费支出减少的主要原因是无因公出国事项；公务用车购置及运行费支出减少的主要原因是无公务用车；公务接待费支出减少的主要原因为：一是落实疫情防控要求，减少了公务接待；二是认真贯彻落实</w:t>
      </w:r>
      <w:r>
        <w:rPr>
          <w:rFonts w:hint="eastAsia" w:ascii="仿宋" w:hAnsi="仿宋" w:eastAsia="仿宋" w:cs="仿宋_GB2312"/>
          <w:bCs/>
          <w:kern w:val="0"/>
          <w:sz w:val="32"/>
          <w:szCs w:val="32"/>
          <w:lang w:eastAsia="zh-CN"/>
        </w:rPr>
        <w:t>中央八项规定精神</w:t>
      </w:r>
      <w:r>
        <w:rPr>
          <w:rFonts w:hint="eastAsia" w:ascii="仿宋" w:hAnsi="仿宋" w:eastAsia="仿宋" w:cs="仿宋_GB2312"/>
          <w:bCs/>
          <w:kern w:val="0"/>
          <w:sz w:val="32"/>
          <w:szCs w:val="32"/>
        </w:rPr>
        <w:t>和厉行节约要求，进一步从严控制“三公”经费开支，全年实际支出比预算有所节约。。</w:t>
      </w:r>
    </w:p>
    <w:p>
      <w:pPr>
        <w:autoSpaceDE w:val="0"/>
        <w:autoSpaceDN w:val="0"/>
        <w:adjustRightInd w:val="0"/>
        <w:spacing w:line="560" w:lineRule="exact"/>
        <w:jc w:val="left"/>
        <w:rPr>
          <w:rFonts w:ascii="仿宋" w:hAnsi="仿宋" w:eastAsia="仿宋" w:cs="仿宋_GB2312"/>
          <w:bCs/>
          <w:kern w:val="0"/>
          <w:sz w:val="32"/>
          <w:szCs w:val="32"/>
        </w:rPr>
      </w:pPr>
      <w:r>
        <w:rPr>
          <w:rFonts w:hint="eastAsia" w:ascii="仿宋" w:hAnsi="仿宋" w:eastAsia="仿宋" w:cs="仿宋_GB2312"/>
          <w:kern w:val="0"/>
          <w:sz w:val="32"/>
          <w:szCs w:val="32"/>
        </w:rPr>
        <w:t>（二）“三公”经费财政拨款支出决算具体情况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2020年度“三公”经费财政拨款支出决算中，因公出国（境）费支出决算0万元；公务用车购置及运行费支出决算0万元；公务接待费支出决算0万元，占0 %。具体情况如下：  </w:t>
      </w:r>
    </w:p>
    <w:p>
      <w:pPr>
        <w:autoSpaceDE w:val="0"/>
        <w:autoSpaceDN w:val="0"/>
        <w:adjustRightInd w:val="0"/>
        <w:spacing w:line="56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60" w:lineRule="exact"/>
        <w:ind w:firstLine="640"/>
        <w:jc w:val="left"/>
        <w:rPr>
          <w:rFonts w:ascii="仿宋" w:hAnsi="仿宋" w:eastAsia="仿宋" w:cs="仿宋_GB2312"/>
          <w:bCs/>
          <w:kern w:val="0"/>
          <w:sz w:val="32"/>
          <w:szCs w:val="32"/>
        </w:rPr>
      </w:pPr>
      <w:r>
        <w:rPr>
          <w:rFonts w:hint="eastAsia" w:ascii="仿宋" w:hAnsi="仿宋" w:eastAsia="仿宋" w:cs="仿宋_GB2312"/>
          <w:bCs/>
          <w:kern w:val="0"/>
          <w:sz w:val="32"/>
          <w:szCs w:val="32"/>
        </w:rPr>
        <w:t>2.公务用车购置及运行费支出0万元。其中：公务用车购置支出为0万元。公务用车运行支出0万元。2020年开支财政拨款的公务用车保有量为0辆。</w:t>
      </w:r>
    </w:p>
    <w:p>
      <w:pPr>
        <w:autoSpaceDE w:val="0"/>
        <w:autoSpaceDN w:val="0"/>
        <w:adjustRightInd w:val="0"/>
        <w:spacing w:line="560" w:lineRule="exact"/>
        <w:ind w:firstLine="640"/>
        <w:jc w:val="left"/>
        <w:rPr>
          <w:rFonts w:ascii="仿宋" w:hAnsi="仿宋" w:eastAsia="仿宋" w:cs="仿宋_GB2312"/>
          <w:bCs/>
          <w:kern w:val="0"/>
          <w:sz w:val="32"/>
          <w:szCs w:val="32"/>
        </w:rPr>
      </w:pPr>
      <w:r>
        <w:rPr>
          <w:rFonts w:hint="eastAsia" w:ascii="仿宋" w:hAnsi="仿宋" w:eastAsia="仿宋" w:cs="仿宋_GB2312"/>
          <w:bCs/>
          <w:kern w:val="0"/>
          <w:sz w:val="32"/>
          <w:szCs w:val="32"/>
        </w:rPr>
        <w:t>3.公务接待费支出0万元。</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八、2020年度政府性基金预算财政拨款收入支出决算情况说明</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本单位无政府性基金预算财政拨款收入和支出。</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九、国有资本经营预算财政拨款支出情况说明</w:t>
      </w:r>
    </w:p>
    <w:p>
      <w:pPr>
        <w:autoSpaceDE w:val="0"/>
        <w:autoSpaceDN w:val="0"/>
        <w:adjustRightInd w:val="0"/>
        <w:spacing w:line="560" w:lineRule="exact"/>
        <w:ind w:firstLine="640" w:firstLineChars="200"/>
        <w:jc w:val="left"/>
        <w:rPr>
          <w:rFonts w:ascii="仿宋" w:hAnsi="仿宋" w:eastAsia="仿宋" w:cs="仿宋_GB2312"/>
          <w:bCs/>
          <w:kern w:val="0"/>
          <w:sz w:val="32"/>
          <w:szCs w:val="32"/>
          <w:highlight w:val="yellow"/>
        </w:rPr>
      </w:pPr>
      <w:r>
        <w:rPr>
          <w:rFonts w:hint="eastAsia" w:ascii="仿宋" w:hAnsi="仿宋" w:eastAsia="仿宋" w:cs="仿宋_GB2312"/>
          <w:bCs/>
          <w:kern w:val="0"/>
          <w:sz w:val="32"/>
          <w:szCs w:val="32"/>
        </w:rPr>
        <w:t>本单位无国有资本经营预算财政拨款支出。</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十、2020年度预算绩效情况说明</w:t>
      </w:r>
    </w:p>
    <w:p>
      <w:pPr>
        <w:autoSpaceDE w:val="0"/>
        <w:autoSpaceDN w:val="0"/>
        <w:adjustRightInd w:val="0"/>
        <w:spacing w:line="560" w:lineRule="exact"/>
        <w:ind w:left="640"/>
        <w:jc w:val="left"/>
        <w:rPr>
          <w:rFonts w:ascii="仿宋" w:hAnsi="仿宋" w:eastAsia="仿宋" w:cs="仿宋_GB2312"/>
          <w:bCs/>
          <w:kern w:val="0"/>
          <w:sz w:val="32"/>
          <w:szCs w:val="32"/>
        </w:rPr>
      </w:pPr>
      <w:r>
        <w:rPr>
          <w:rFonts w:hint="eastAsia" w:ascii="仿宋" w:hAnsi="仿宋" w:eastAsia="仿宋" w:cs="仿宋_GB2312"/>
          <w:bCs/>
          <w:kern w:val="0"/>
          <w:sz w:val="32"/>
          <w:szCs w:val="32"/>
        </w:rPr>
        <w:t>（一）绩效管理工作开展情况</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为切实做好项目资金绩效自评工作，提高财政资金的使用效益，我单位领导高度重视，成立专门的绩效评价工作小组，采取座谈、检查专项资金有关账目、收集整理专项资金支出相关资料等进行自评打分并进一步分析总结。根据财政预算管理要求，我单位组织对2020年度整体绩效进行全面绩效自评，涉及预算资金2823.41万元，自评覆盖率达到100%.</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（二）单位决算中项目绩效自评结果。</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我单位无项目绩效。</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十一、其他重要事项的情况</w:t>
      </w:r>
    </w:p>
    <w:p>
      <w:pPr>
        <w:autoSpaceDE w:val="0"/>
        <w:autoSpaceDN w:val="0"/>
        <w:adjustRightInd w:val="0"/>
        <w:spacing w:line="560" w:lineRule="exact"/>
        <w:ind w:firstLine="640" w:firstLineChars="200"/>
        <w:jc w:val="left"/>
        <w:rPr>
          <w:rFonts w:ascii="仿宋" w:hAnsi="仿宋" w:eastAsia="仿宋" w:cs="仿宋_GB2312"/>
          <w:kern w:val="0"/>
          <w:sz w:val="32"/>
          <w:szCs w:val="32"/>
          <w:highlight w:val="green"/>
        </w:rPr>
      </w:pPr>
      <w:r>
        <w:rPr>
          <w:rFonts w:hint="eastAsia" w:ascii="仿宋" w:hAnsi="仿宋" w:eastAsia="仿宋" w:cs="仿宋_GB2312"/>
          <w:kern w:val="0"/>
          <w:sz w:val="32"/>
          <w:szCs w:val="32"/>
        </w:rPr>
        <w:t>（一）机关运行经费支出情况。2020年度部门机关运行经费支出28.83万元，比2019年减少10.91万元，减少38%，减少原因为因机构改革调整，人员减少。</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（二）政府采购支出情况。2020年度部门政府采购支出总额13.47万元，其中：货物支出1.47万元、工程支出0万元、服务支出12万元。</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 xml:space="preserve">（三）国有资产占用情况。截至年末部门共有车辆0辆。 </w:t>
      </w:r>
    </w:p>
    <w:p>
      <w:pPr>
        <w:spacing w:line="560" w:lineRule="exact"/>
        <w:ind w:firstLine="645"/>
        <w:jc w:val="left"/>
        <w:rPr>
          <w:rFonts w:ascii="仿宋" w:hAnsi="仿宋" w:eastAsia="仿宋"/>
          <w:b/>
          <w:sz w:val="32"/>
          <w:szCs w:val="32"/>
        </w:rPr>
      </w:pPr>
    </w:p>
    <w:p>
      <w:pPr>
        <w:spacing w:line="560" w:lineRule="exact"/>
        <w:ind w:firstLine="645"/>
        <w:jc w:val="center"/>
        <w:rPr>
          <w:rFonts w:ascii="仿宋" w:hAnsi="仿宋" w:eastAsia="仿宋"/>
          <w:b/>
          <w:sz w:val="32"/>
          <w:szCs w:val="32"/>
        </w:rPr>
      </w:pPr>
      <w:r>
        <w:rPr>
          <w:rFonts w:hint="eastAsia" w:ascii="仿宋" w:hAnsi="仿宋" w:eastAsia="仿宋"/>
          <w:b/>
          <w:sz w:val="32"/>
          <w:szCs w:val="32"/>
        </w:rPr>
        <w:t>第四部分：名词解释</w:t>
      </w:r>
    </w:p>
    <w:p>
      <w:pPr>
        <w:spacing w:line="560" w:lineRule="exact"/>
        <w:ind w:firstLine="645"/>
        <w:jc w:val="left"/>
        <w:rPr>
          <w:rFonts w:ascii="仿宋" w:hAnsi="仿宋" w:eastAsia="仿宋"/>
          <w:b/>
          <w:sz w:val="32"/>
          <w:szCs w:val="32"/>
        </w:rPr>
      </w:pP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财政拨款收入：指市本级财政当年拨付的资金。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事业收入：指事业单位开展专业活动用辅助活动所取得的收入。</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其他收入：指除上述“财政拨款收入”、“事业收入”、“经营收入”等以外的收入。</w:t>
      </w:r>
    </w:p>
    <w:p>
      <w:pPr>
        <w:numPr>
          <w:ilvl w:val="0"/>
          <w:numId w:val="2"/>
        </w:numPr>
        <w:spacing w:line="580" w:lineRule="exact"/>
        <w:ind w:firstLine="645"/>
        <w:rPr>
          <w:rFonts w:ascii="仿宋" w:hAnsi="仿宋" w:eastAsia="仿宋"/>
          <w:bCs/>
          <w:sz w:val="32"/>
          <w:szCs w:val="32"/>
        </w:rPr>
      </w:pPr>
      <w:r>
        <w:rPr>
          <w:rFonts w:hint="eastAsia" w:ascii="仿宋" w:hAnsi="仿宋" w:eastAsia="仿宋"/>
          <w:sz w:val="32"/>
          <w:szCs w:val="32"/>
        </w:rPr>
        <w:t>使用非财政拨款结余</w:t>
      </w:r>
      <w:r>
        <w:rPr>
          <w:rFonts w:hint="eastAsia" w:ascii="仿宋" w:hAnsi="仿宋" w:eastAsia="仿宋"/>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年初结转和结余：指以前年度尚未完成、结转到本年按规定继续使用的资金。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基本支出：指为保障机构正常运转、完成日常工作任务而发生的人员支出和公用支出。</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项目支出：指在基本支出之外为完成特定行政任务和事业发展目标所发生的支出。</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autoSpaceDE w:val="0"/>
        <w:autoSpaceDN w:val="0"/>
        <w:adjustRightInd w:val="0"/>
        <w:spacing w:line="560" w:lineRule="exact"/>
        <w:ind w:firstLine="627" w:firstLineChars="196"/>
        <w:jc w:val="left"/>
        <w:rPr>
          <w:rFonts w:ascii="仿宋" w:hAnsi="仿宋" w:eastAsia="仿宋"/>
        </w:rPr>
      </w:pPr>
      <w:r>
        <w:rPr>
          <w:rFonts w:hint="eastAsia" w:ascii="仿宋" w:hAnsi="仿宋" w:eastAsia="仿宋"/>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- 4 -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D2BBF"/>
    <w:multiLevelType w:val="multilevel"/>
    <w:tmpl w:val="4F8D2BBF"/>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66CA3"/>
    <w:rsid w:val="000D3E38"/>
    <w:rsid w:val="00113851"/>
    <w:rsid w:val="001C4D6A"/>
    <w:rsid w:val="001F4E25"/>
    <w:rsid w:val="002154C2"/>
    <w:rsid w:val="00234112"/>
    <w:rsid w:val="003A7473"/>
    <w:rsid w:val="003B6F32"/>
    <w:rsid w:val="00407CB9"/>
    <w:rsid w:val="0041163A"/>
    <w:rsid w:val="0045304C"/>
    <w:rsid w:val="00461E2E"/>
    <w:rsid w:val="004E7431"/>
    <w:rsid w:val="00553228"/>
    <w:rsid w:val="00553BD0"/>
    <w:rsid w:val="005C3C99"/>
    <w:rsid w:val="00635087"/>
    <w:rsid w:val="00652006"/>
    <w:rsid w:val="006A6BAC"/>
    <w:rsid w:val="006C1367"/>
    <w:rsid w:val="00715385"/>
    <w:rsid w:val="0072701B"/>
    <w:rsid w:val="00797E6B"/>
    <w:rsid w:val="007C2AA0"/>
    <w:rsid w:val="007C7F20"/>
    <w:rsid w:val="00807870"/>
    <w:rsid w:val="008853C8"/>
    <w:rsid w:val="008865FF"/>
    <w:rsid w:val="0089011A"/>
    <w:rsid w:val="008F0A1D"/>
    <w:rsid w:val="009F0552"/>
    <w:rsid w:val="00A14EC4"/>
    <w:rsid w:val="00A156E8"/>
    <w:rsid w:val="00A5693D"/>
    <w:rsid w:val="00A619CD"/>
    <w:rsid w:val="00A632E9"/>
    <w:rsid w:val="00AA16EC"/>
    <w:rsid w:val="00C67B44"/>
    <w:rsid w:val="00CA4BCB"/>
    <w:rsid w:val="00CD6FAA"/>
    <w:rsid w:val="00D46605"/>
    <w:rsid w:val="00D84BCB"/>
    <w:rsid w:val="00D9441B"/>
    <w:rsid w:val="00EA07FC"/>
    <w:rsid w:val="00F04552"/>
    <w:rsid w:val="00F66C5B"/>
    <w:rsid w:val="00F70D38"/>
    <w:rsid w:val="0DD40437"/>
    <w:rsid w:val="0E074DDF"/>
    <w:rsid w:val="10AA1F88"/>
    <w:rsid w:val="124204B5"/>
    <w:rsid w:val="182962AB"/>
    <w:rsid w:val="19D073EB"/>
    <w:rsid w:val="1CC31F67"/>
    <w:rsid w:val="1D4226FE"/>
    <w:rsid w:val="23CB2C41"/>
    <w:rsid w:val="24545362"/>
    <w:rsid w:val="24D337DC"/>
    <w:rsid w:val="26460DBA"/>
    <w:rsid w:val="279A0238"/>
    <w:rsid w:val="2B6F74EB"/>
    <w:rsid w:val="2C4219FE"/>
    <w:rsid w:val="34020F86"/>
    <w:rsid w:val="385B5839"/>
    <w:rsid w:val="39A63F06"/>
    <w:rsid w:val="3ED1439F"/>
    <w:rsid w:val="47053452"/>
    <w:rsid w:val="48374EDC"/>
    <w:rsid w:val="4C256E3D"/>
    <w:rsid w:val="4CB52F0F"/>
    <w:rsid w:val="4D2B0B4E"/>
    <w:rsid w:val="4D707612"/>
    <w:rsid w:val="532F1F9A"/>
    <w:rsid w:val="5E995A3E"/>
    <w:rsid w:val="62163194"/>
    <w:rsid w:val="624D024D"/>
    <w:rsid w:val="650E086A"/>
    <w:rsid w:val="66C966C6"/>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批注框文本 Char"/>
    <w:basedOn w:val="8"/>
    <w:link w:val="2"/>
    <w:qFormat/>
    <w:uiPriority w:val="0"/>
    <w:rPr>
      <w:kern w:val="2"/>
      <w:sz w:val="18"/>
      <w:szCs w:val="18"/>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4195</Words>
  <Characters>4624</Characters>
  <Lines>34</Lines>
  <Paragraphs>9</Paragraphs>
  <TotalTime>11</TotalTime>
  <ScaleCrop>false</ScaleCrop>
  <LinksUpToDate>false</LinksUpToDate>
  <CharactersWithSpaces>4663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2021-07-07T01:10:00Z</cp:lastPrinted>
  <dcterms:modified xsi:type="dcterms:W3CDTF">2023-03-21T08:23:52Z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171EE808F4CA4684BAE2AFE744B44472</vt:lpwstr>
  </property>
</Properties>
</file>