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s="ArialUnicodeMS"/>
          <w:kern w:val="0"/>
          <w:sz w:val="32"/>
          <w:szCs w:val="32"/>
        </w:rPr>
      </w:pPr>
    </w:p>
    <w:p>
      <w:pPr>
        <w:spacing w:line="560" w:lineRule="exact"/>
        <w:jc w:val="left"/>
        <w:rPr>
          <w:rFonts w:ascii="黑体" w:eastAsia="黑体" w:cs="ArialUnicodeMS"/>
          <w:kern w:val="0"/>
          <w:sz w:val="72"/>
          <w:szCs w:val="72"/>
        </w:rPr>
      </w:pPr>
    </w:p>
    <w:p>
      <w:pPr>
        <w:spacing w:line="800" w:lineRule="exact"/>
        <w:jc w:val="left"/>
        <w:rPr>
          <w:rFonts w:ascii="黑体" w:eastAsia="黑体" w:cs="ArialUnicodeMS"/>
          <w:kern w:val="0"/>
          <w:sz w:val="72"/>
          <w:szCs w:val="72"/>
        </w:rPr>
      </w:pPr>
    </w:p>
    <w:p>
      <w:pPr>
        <w:spacing w:line="800" w:lineRule="exact"/>
        <w:jc w:val="center"/>
        <w:rPr>
          <w:rFonts w:ascii="方正小标宋简体" w:eastAsia="方正小标宋简体" w:cs="ArialUnicodeMS"/>
          <w:kern w:val="0"/>
          <w:sz w:val="48"/>
          <w:szCs w:val="48"/>
        </w:rPr>
      </w:pPr>
      <w:r>
        <w:rPr>
          <w:rFonts w:hint="eastAsia" w:ascii="方正小标宋简体" w:eastAsia="方正小标宋简体"/>
          <w:kern w:val="0"/>
          <w:sz w:val="48"/>
          <w:szCs w:val="48"/>
        </w:rPr>
        <w:t>柳州市军队离退休干部服务管理中心2020</w:t>
      </w:r>
      <w:r>
        <w:rPr>
          <w:rFonts w:hint="eastAsia" w:ascii="方正小标宋简体" w:eastAsia="方正小标宋简体" w:cs="ArialUnicodeMS"/>
          <w:kern w:val="0"/>
          <w:sz w:val="48"/>
          <w:szCs w:val="48"/>
        </w:rPr>
        <w:t>年度单位决算</w:t>
      </w:r>
    </w:p>
    <w:p>
      <w:pPr>
        <w:spacing w:line="800" w:lineRule="exact"/>
        <w:jc w:val="left"/>
        <w:rPr>
          <w:rFonts w:ascii="ArialUnicodeMS" w:eastAsia="ArialUnicodeMS" w:cs="ArialUnicodeMS"/>
          <w:kern w:val="0"/>
          <w:sz w:val="48"/>
          <w:szCs w:val="48"/>
        </w:rPr>
      </w:pPr>
    </w:p>
    <w:p>
      <w:pPr>
        <w:spacing w:line="560" w:lineRule="exact"/>
        <w:jc w:val="left"/>
        <w:rPr>
          <w:rFonts w:ascii="ArialUnicodeMS" w:eastAsia="ArialUnicodeMS" w:cs="ArialUnicodeMS"/>
          <w:kern w:val="0"/>
          <w:sz w:val="48"/>
          <w:szCs w:val="48"/>
        </w:rPr>
      </w:pPr>
    </w:p>
    <w:p>
      <w:pPr>
        <w:spacing w:line="560" w:lineRule="exact"/>
        <w:jc w:val="left"/>
        <w:rPr>
          <w:rFonts w:ascii="ArialUnicodeMS" w:eastAsia="ArialUnicodeMS" w:cs="ArialUnicodeMS"/>
          <w:kern w:val="0"/>
          <w:sz w:val="48"/>
          <w:szCs w:val="48"/>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bookmarkStart w:id="0" w:name="_GoBack"/>
      <w:bookmarkEnd w:id="0"/>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jc w:val="left"/>
        <w:rPr>
          <w:rFonts w:ascii="ArialUnicodeMS" w:eastAsia="ArialUnicodeMS" w:cs="ArialUnicodeMS"/>
          <w:kern w:val="0"/>
          <w:sz w:val="84"/>
          <w:szCs w:val="8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jc w:val="left"/>
        <w:rPr>
          <w:rFonts w:ascii="仿宋_GB2312" w:eastAsia="仿宋_GB2312"/>
          <w:b/>
          <w:sz w:val="32"/>
          <w:szCs w:val="32"/>
        </w:rPr>
      </w:pP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sz w:val="32"/>
          <w:szCs w:val="32"/>
        </w:rPr>
        <w:t>柳州市军队离退休干部服务管理中心</w:t>
      </w:r>
      <w:r>
        <w:rPr>
          <w:rFonts w:hint="eastAsia" w:ascii="仿宋_GB2312" w:eastAsia="仿宋_GB2312"/>
          <w:b/>
          <w:sz w:val="32"/>
          <w:szCs w:val="32"/>
        </w:rPr>
        <w:t>概况</w:t>
      </w:r>
    </w:p>
    <w:p>
      <w:pPr>
        <w:spacing w:line="560" w:lineRule="exact"/>
        <w:ind w:firstLine="645"/>
        <w:jc w:val="left"/>
        <w:rPr>
          <w:rFonts w:ascii="仿宋_GB2312" w:eastAsia="仿宋_GB2312"/>
          <w:sz w:val="32"/>
          <w:szCs w:val="32"/>
        </w:rPr>
      </w:pPr>
      <w:r>
        <w:rPr>
          <w:rFonts w:hint="eastAsia" w:ascii="仿宋_GB2312" w:eastAsia="仿宋_GB2312"/>
          <w:sz w:val="32"/>
          <w:szCs w:val="32"/>
        </w:rPr>
        <w:t>一、主要职能</w:t>
      </w:r>
    </w:p>
    <w:p>
      <w:pPr>
        <w:spacing w:line="560" w:lineRule="exact"/>
        <w:ind w:firstLine="645"/>
        <w:jc w:val="left"/>
        <w:rPr>
          <w:rFonts w:ascii="仿宋_GB2312" w:eastAsia="仿宋_GB2312"/>
          <w:sz w:val="32"/>
          <w:szCs w:val="32"/>
        </w:rPr>
      </w:pPr>
      <w:r>
        <w:rPr>
          <w:rFonts w:hint="eastAsia" w:ascii="仿宋_GB2312" w:eastAsia="仿宋_GB2312"/>
          <w:sz w:val="32"/>
          <w:szCs w:val="32"/>
        </w:rPr>
        <w:t>二、单位决算单位构成</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sz w:val="32"/>
          <w:szCs w:val="32"/>
        </w:rPr>
        <w:t>柳州市军队离退休干部服务管理中心</w:t>
      </w:r>
      <w:r>
        <w:rPr>
          <w:rFonts w:hint="eastAsia" w:ascii="仿宋_GB2312" w:eastAsia="仿宋_GB2312"/>
          <w:b/>
          <w:sz w:val="32"/>
          <w:szCs w:val="32"/>
        </w:rPr>
        <w:t>2020年单位决算报表</w:t>
      </w:r>
    </w:p>
    <w:p>
      <w:pPr>
        <w:spacing w:line="560" w:lineRule="exact"/>
        <w:ind w:left="645"/>
        <w:jc w:val="left"/>
        <w:rPr>
          <w:rFonts w:ascii="仿宋_GB2312" w:eastAsia="仿宋_GB2312"/>
          <w:sz w:val="32"/>
          <w:szCs w:val="32"/>
        </w:rPr>
      </w:pPr>
      <w:r>
        <w:rPr>
          <w:rFonts w:hint="eastAsia" w:ascii="仿宋_GB2312" w:eastAsia="仿宋_GB2312"/>
          <w:sz w:val="32"/>
          <w:szCs w:val="32"/>
        </w:rPr>
        <w:t>表一：收入支出决算总表</w:t>
      </w:r>
    </w:p>
    <w:p>
      <w:pPr>
        <w:spacing w:line="560" w:lineRule="exact"/>
        <w:ind w:left="645"/>
        <w:jc w:val="left"/>
        <w:rPr>
          <w:rFonts w:ascii="仿宋_GB2312" w:eastAsia="仿宋_GB2312"/>
          <w:sz w:val="32"/>
          <w:szCs w:val="32"/>
        </w:rPr>
      </w:pPr>
      <w:r>
        <w:rPr>
          <w:rFonts w:hint="eastAsia" w:ascii="仿宋_GB2312" w:eastAsia="仿宋_GB2312"/>
          <w:sz w:val="32"/>
          <w:szCs w:val="32"/>
        </w:rPr>
        <w:t>表二：收入决算表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表三：支出决算表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jc w:val="left"/>
        <w:rPr>
          <w:rFonts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spacing w:line="560" w:lineRule="exact"/>
        <w:ind w:left="645"/>
        <w:jc w:val="left"/>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jc w:val="left"/>
        <w:rPr>
          <w:rFonts w:ascii="仿宋_GB2312" w:eastAsia="仿宋_GB2312"/>
          <w:sz w:val="32"/>
          <w:szCs w:val="32"/>
          <w:highlight w:val="yellow"/>
        </w:rPr>
      </w:pPr>
      <w:r>
        <w:rPr>
          <w:rFonts w:hint="eastAsia" w:ascii="仿宋_GB2312" w:eastAsia="仿宋_GB2312"/>
          <w:sz w:val="32"/>
          <w:szCs w:val="32"/>
        </w:rPr>
        <w:t>表九：国有资本经营预算财政拨款支出决算表</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sz w:val="32"/>
          <w:szCs w:val="32"/>
        </w:rPr>
        <w:t>柳州市军队离退休干部服务管理中心</w:t>
      </w:r>
      <w:r>
        <w:rPr>
          <w:rFonts w:hint="eastAsia" w:ascii="仿宋_GB2312" w:eastAsia="仿宋_GB2312"/>
          <w:b/>
          <w:sz w:val="32"/>
          <w:szCs w:val="32"/>
        </w:rPr>
        <w:t>2020年度单位决算情况说明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2020年</w:t>
      </w:r>
      <w:r>
        <w:rPr>
          <w:rFonts w:hint="eastAsia" w:ascii="仿宋_GB2312" w:eastAsia="仿宋_GB2312" w:cs="仿宋_GB2312"/>
          <w:kern w:val="0"/>
          <w:sz w:val="32"/>
          <w:szCs w:val="32"/>
        </w:rPr>
        <w:t>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spacing w:line="560" w:lineRule="exact"/>
        <w:ind w:left="645"/>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spacing w:line="560" w:lineRule="exact"/>
        <w:ind w:firstLine="645"/>
        <w:jc w:val="left"/>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sz w:val="32"/>
          <w:szCs w:val="32"/>
        </w:rPr>
        <w:t>柳州市军队离退休干部服务管理中心</w:t>
      </w:r>
      <w:r>
        <w:rPr>
          <w:rFonts w:hint="eastAsia" w:ascii="仿宋_GB2312" w:eastAsia="仿宋_GB2312"/>
          <w:b/>
          <w:sz w:val="32"/>
          <w:szCs w:val="32"/>
        </w:rPr>
        <w:t>概况</w:t>
      </w:r>
    </w:p>
    <w:p>
      <w:pPr>
        <w:spacing w:line="560" w:lineRule="exact"/>
        <w:ind w:firstLine="646"/>
        <w:jc w:val="left"/>
        <w:rPr>
          <w:rFonts w:ascii="仿宋_GB2312" w:eastAsia="仿宋_GB2312"/>
          <w:sz w:val="32"/>
          <w:szCs w:val="32"/>
        </w:rPr>
      </w:pPr>
    </w:p>
    <w:p>
      <w:pPr>
        <w:spacing w:line="560" w:lineRule="exact"/>
        <w:ind w:firstLine="646"/>
        <w:jc w:val="left"/>
        <w:rPr>
          <w:rFonts w:ascii="黑体" w:hAnsi="黑体" w:eastAsia="黑体" w:cs="黑体"/>
          <w:sz w:val="32"/>
          <w:szCs w:val="32"/>
        </w:rPr>
      </w:pPr>
      <w:r>
        <w:rPr>
          <w:rFonts w:hint="eastAsia" w:ascii="黑体" w:hAnsi="黑体" w:eastAsia="黑体" w:cs="黑体"/>
          <w:sz w:val="32"/>
          <w:szCs w:val="32"/>
        </w:rPr>
        <w:t>一、主要职能</w:t>
      </w:r>
    </w:p>
    <w:p>
      <w:pPr>
        <w:spacing w:line="560" w:lineRule="exact"/>
        <w:ind w:right="-57" w:rightChars="-27" w:firstLine="640" w:firstLineChars="200"/>
        <w:jc w:val="left"/>
        <w:rPr>
          <w:rFonts w:ascii="仿宋_GB2312" w:eastAsia="仿宋_GB2312"/>
          <w:sz w:val="32"/>
          <w:szCs w:val="32"/>
        </w:rPr>
      </w:pPr>
      <w:r>
        <w:rPr>
          <w:rFonts w:hint="eastAsia" w:ascii="仿宋_GB2312" w:eastAsia="仿宋_GB2312"/>
          <w:sz w:val="32"/>
          <w:szCs w:val="32"/>
        </w:rPr>
        <w:t xml:space="preserve">柳州市军队离退休干部服务管理中心（简称柳州市军休中心），成立于2006年12月，正科级参公事业单位，隶属于柳州市退役军人事务局，主要工作任务是：负责军队离退休干部的服务管理及服务管理中心的建设工作；贯彻军队离退休干部的有关规定，落实军队干部的“两个待遇”；开展有利于军休干部的文体健身活动；安排军休干部体检，开展家访和组织节日慰问活动；负责军休干部的档案、资料的收集管理和文件的保管工作；负责军休干部的服务和管理工作。 </w:t>
      </w:r>
    </w:p>
    <w:p>
      <w:pPr>
        <w:spacing w:line="560" w:lineRule="exact"/>
        <w:ind w:firstLine="646"/>
        <w:jc w:val="left"/>
        <w:rPr>
          <w:rFonts w:ascii="仿宋_GB2312" w:eastAsia="仿宋_GB2312"/>
          <w:sz w:val="32"/>
          <w:szCs w:val="32"/>
        </w:rPr>
      </w:pPr>
      <w:r>
        <w:rPr>
          <w:rFonts w:hint="eastAsia" w:ascii="黑体" w:hAnsi="黑体" w:eastAsia="黑体" w:cs="黑体"/>
          <w:sz w:val="32"/>
          <w:szCs w:val="32"/>
        </w:rPr>
        <w:t>二、单位决算单位构成</w:t>
      </w:r>
    </w:p>
    <w:p>
      <w:pPr>
        <w:adjustRightInd w:val="0"/>
        <w:snapToGrid w:val="0"/>
        <w:spacing w:line="560" w:lineRule="exact"/>
        <w:ind w:right="-218" w:rightChars="-104" w:firstLine="640" w:firstLineChars="200"/>
        <w:jc w:val="left"/>
        <w:rPr>
          <w:rFonts w:ascii="仿宋_GB2312" w:hAnsi="华文仿宋" w:eastAsia="仿宋_GB2312"/>
          <w:sz w:val="32"/>
          <w:szCs w:val="32"/>
        </w:rPr>
      </w:pPr>
      <w:r>
        <w:rPr>
          <w:rFonts w:hint="eastAsia" w:ascii="仿宋_GB2312" w:eastAsia="仿宋_GB2312"/>
          <w:sz w:val="32"/>
          <w:szCs w:val="32"/>
        </w:rPr>
        <w:t>柳州市军队离退休干部服务管理中心为</w:t>
      </w:r>
      <w:r>
        <w:rPr>
          <w:rFonts w:hint="eastAsia" w:ascii="仿宋_GB2312" w:hAnsi="华文仿宋" w:eastAsia="仿宋_GB2312"/>
          <w:sz w:val="32"/>
          <w:szCs w:val="32"/>
        </w:rPr>
        <w:t>正科级公益一类全额拨款事业单位，现有编制内工作人员8人。</w:t>
      </w:r>
    </w:p>
    <w:p>
      <w:pPr>
        <w:spacing w:line="560" w:lineRule="exact"/>
        <w:ind w:firstLine="645"/>
        <w:jc w:val="left"/>
        <w:rPr>
          <w:rFonts w:ascii="仿宋_GB2312" w:eastAsia="仿宋_GB2312"/>
          <w:sz w:val="32"/>
          <w:szCs w:val="32"/>
        </w:rPr>
      </w:pPr>
    </w:p>
    <w:p>
      <w:pPr>
        <w:spacing w:line="560" w:lineRule="exact"/>
        <w:rPr>
          <w:rFonts w:ascii="仿宋_GB2312" w:eastAsia="仿宋_GB2312"/>
          <w:b/>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sz w:val="32"/>
          <w:szCs w:val="32"/>
        </w:rPr>
        <w:t>柳州市军队离退休干部服务管理中心</w:t>
      </w:r>
    </w:p>
    <w:p>
      <w:pPr>
        <w:spacing w:line="560" w:lineRule="exact"/>
        <w:jc w:val="center"/>
        <w:rPr>
          <w:rFonts w:ascii="仿宋_GB2312" w:eastAsia="仿宋_GB2312"/>
          <w:b/>
          <w:sz w:val="32"/>
          <w:szCs w:val="32"/>
        </w:rPr>
      </w:pPr>
      <w:r>
        <w:rPr>
          <w:rFonts w:hint="eastAsia" w:ascii="仿宋_GB2312" w:eastAsia="仿宋_GB2312"/>
          <w:b/>
          <w:sz w:val="32"/>
          <w:szCs w:val="32"/>
        </w:rPr>
        <w:t>2020年单位决算报表</w:t>
      </w:r>
    </w:p>
    <w:p>
      <w:pPr>
        <w:spacing w:line="560" w:lineRule="exact"/>
        <w:jc w:val="center"/>
        <w:rPr>
          <w:rFonts w:ascii="仿宋_GB2312" w:eastAsia="仿宋_GB2312"/>
          <w:b/>
          <w:sz w:val="32"/>
          <w:szCs w:val="32"/>
        </w:rPr>
      </w:pPr>
    </w:p>
    <w:p>
      <w:pPr>
        <w:spacing w:line="560" w:lineRule="exact"/>
        <w:ind w:firstLine="640" w:firstLineChars="200"/>
        <w:jc w:val="left"/>
      </w:pPr>
      <w:r>
        <w:rPr>
          <w:rFonts w:hint="eastAsia" w:ascii="仿宋_GB2312" w:hAnsi="黑体" w:eastAsia="仿宋_GB2312"/>
          <w:sz w:val="32"/>
          <w:szCs w:val="32"/>
        </w:rPr>
        <w:t>详见附件：</w:t>
      </w:r>
      <w:r>
        <w:rPr>
          <w:rFonts w:hint="eastAsia" w:ascii="仿宋_GB2312" w:eastAsia="仿宋_GB2312"/>
          <w:sz w:val="32"/>
          <w:szCs w:val="32"/>
        </w:rPr>
        <w:t>柳州市军队离退休干部服务管理中心</w:t>
      </w:r>
      <w:r>
        <w:rPr>
          <w:rFonts w:hint="eastAsia" w:ascii="仿宋_GB2312" w:hAnsi="黑体" w:eastAsia="仿宋_GB2312"/>
          <w:sz w:val="32"/>
          <w:szCs w:val="32"/>
        </w:rPr>
        <w:t>2020年单位决算报表</w:t>
      </w:r>
    </w:p>
    <w:p>
      <w:pPr>
        <w:spacing w:line="560" w:lineRule="exact"/>
        <w:jc w:val="left"/>
        <w:rPr>
          <w:rFonts w:ascii="仿宋_GB2312" w:eastAsia="仿宋_GB2312"/>
          <w:b/>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sz w:val="32"/>
          <w:szCs w:val="32"/>
        </w:rPr>
        <w:t>柳州市军队离退休干部服务管理中心</w:t>
      </w:r>
      <w:r>
        <w:rPr>
          <w:rFonts w:hint="eastAsia" w:ascii="仿宋_GB2312" w:eastAsia="仿宋_GB2312"/>
          <w:b/>
          <w:sz w:val="32"/>
          <w:szCs w:val="32"/>
        </w:rPr>
        <w:t>2020年度</w:t>
      </w:r>
    </w:p>
    <w:p>
      <w:pPr>
        <w:spacing w:line="560" w:lineRule="exact"/>
        <w:jc w:val="center"/>
        <w:rPr>
          <w:rFonts w:ascii="仿宋_GB2312" w:eastAsia="仿宋_GB2312"/>
          <w:b/>
          <w:sz w:val="32"/>
          <w:szCs w:val="32"/>
        </w:rPr>
      </w:pPr>
      <w:r>
        <w:rPr>
          <w:rFonts w:hint="eastAsia" w:ascii="仿宋_GB2312" w:eastAsia="仿宋_GB2312"/>
          <w:b/>
          <w:sz w:val="32"/>
          <w:szCs w:val="32"/>
        </w:rPr>
        <w:t>单位决算情况说明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2020</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2020年度收入总计3427.68万元，支出总计3427.68万元，与2019年相比，收、支分别增加228.41;分别增长7.14%。</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二、2020年度收入决算情况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本年收入总计2784.84万元 ，其中：一般公共预算财政拨款收入2589.27万元，占比92.98% ；其他收入195.57万元，占比7.02%。</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三、2020年度支出决算情况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本年支出合计2350.91万元，其中：基本支出229.66万元，占9.77%；项目支出2121.25万元，占90.23%。</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四、2020年度财政拨款收入支出决算情况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本部门2020年度财政拨款收、支总决算数据分别为2707.65万元、2707.65万元。与2019年相比，财政拨款收、支总计各增加47.37 万元，增长1.78%。</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五、2020年度一般公共预算财政拨款支出决算情况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（一）财政拨款支出决算情况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部门2020年度财政拨款支出2184.52万元，占本年支出合计的100%。（本年支出2184.52）与 2019 年相比，财政拨款支出减少32.60万元，（19年支出2217.12）降低1.47%。</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2020年度财政拨款支出2184.52万元，主要用于以下方面：社会保障和就业（类）支出2080.89万元，占95.26%；卫生健康（类）支出93.52万元，占4.28%；住房保障（类）支出10.11万元，占0.46%。</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2020年度财政拨款支出年初预算为283.35万元，支出决算为2184.52万元，完成年初预算的770.96%。决算数大于预算数的主要原因是追加安排财政拨款支出预算，主要为军队离退休干部安置费用。其中：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1.社会保障和就业（类）行政事业单位养老（款）机关事业单位基本养老保险缴费支出及职业年金缴费支出（项）。年初预算为21.96万元，支出决算为17.97万元，完成年初预算的81.83%。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2.社会保障和就业（类）退役安置（款））军队移交政府的离退休人员安置（项）。年初预算为0万元，支出决算为1918.72万元。决算数大于预算数的主要原因是年中增加财政拨款用于军队离退休干部安置。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类）退役安置（款）军队移交政府的离退休干部管理机构（项）。年初预算为84.78万元，支出决算为144.20万元，完成年初预算的100%。决算数大于预算数的主要原因是动用以前年度结余59.42万，主要用于办公楼维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4.卫生健康（类）行政事业单位医疗（款）行政单位医疗（项）。年初预算为6.86万元，支出决算为4.65万元，完成年初预算的67.78%。</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5.卫生健康（类）行政事业单位医疗（款）公务员医疗补助（项）。年初预算为133.03万元，支出决算为88.88万元，完成年初预算的66.81%。</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6.住房保障（类）住房改革（款）住房公积金（项）。年初预算为10.98万元，支出决算为10.11万元，完成年初预算的92.08%。</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六、2020年度一般公共预算财政拨款基本支出决算情况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2020年度财政拨款基本支出229.66万元，其中：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213.45万元，主要包括：基本工资、津贴补贴、奖金、伙食补助费、绩效工资、机关事业单位基本养老保险缴费、职业年金缴费、其他社会保障缴费、其他工资福利支出、离休费、退休费、生活补助、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16.21万元，主要包括：办公费、印刷费、水费、电费、邮电费、物业管理费、差旅费、因公出国（境）费用、维修（护）费、会议费、培训费、公务接待费、委托业务费、工会经费、其他交通费用、其他商品和服务支出、办公设备购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黑体" w:hAnsi="黑体" w:eastAsia="黑体" w:cs="仿宋_GB2312"/>
          <w:kern w:val="0"/>
          <w:sz w:val="32"/>
          <w:szCs w:val="32"/>
        </w:rPr>
        <w:t xml:space="preserve">七、2020年度一般公共预算财政拨款“三公” 经费支出决算情况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楷体_GB2312" w:eastAsia="楷体_GB2312" w:cs="仿宋_GB2312"/>
          <w:kern w:val="0"/>
          <w:sz w:val="32"/>
          <w:szCs w:val="32"/>
        </w:rPr>
        <w:t>（一）“三公”经费财政拨款支出决算总体情况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0.36万元，支出决算为0.11万元，完成预算的30.56%，其中：因公出国（境）费支出决算为0万元；公务用车购置及运行费支出决算为0万元；公务接待费支出决算为0.11万元，完成预算的30.56%。2020年度“三公”经费支出决算数小于预算数的主要原因为：一是落实疫情防控要求，减少了公务接待；而是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2020年度“三公”经费财政拨款支出决算数比2019年增长0.11万元，其中：因公出国（境）费支出决算减少0万元；公务用车购置及运行费支出决算减少0万元；公务接待费支出决算增长0.11万元。</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因公出国（境）费支出减少的主要原因是无因公出国事项；公务用车购置及运行费支出减少的主要</w:t>
      </w:r>
      <w:r>
        <w:rPr>
          <w:rFonts w:hint="eastAsia" w:ascii="仿宋_GB2312" w:eastAsia="仿宋_GB2312" w:cs="仿宋_GB2312"/>
          <w:bCs/>
          <w:kern w:val="0"/>
          <w:sz w:val="32"/>
          <w:szCs w:val="32"/>
          <w:lang w:eastAsia="zh-CN"/>
        </w:rPr>
        <w:t>原因是</w:t>
      </w:r>
      <w:r>
        <w:rPr>
          <w:rFonts w:hint="eastAsia" w:ascii="仿宋_GB2312" w:eastAsia="仿宋_GB2312" w:cs="仿宋_GB2312"/>
          <w:bCs/>
          <w:kern w:val="0"/>
          <w:sz w:val="32"/>
          <w:szCs w:val="32"/>
        </w:rPr>
        <w:t>无公务用车，公务接待费支出增加的主要原因为：区厅来柳考察军休机构建设项目。</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楷体_GB2312" w:eastAsia="楷体_GB2312" w:cs="仿宋_GB2312"/>
          <w:kern w:val="0"/>
          <w:sz w:val="32"/>
          <w:szCs w:val="32"/>
        </w:rPr>
        <w:t>（二）“三公”经费财政拨款支出决算具体情况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2020年度“三公”经费财政拨款支出决算中，因公出国（境）费支出决算0万元；公务用车购置及运行费支出决算0万元；公务接待费支出决算0.11万元，占100 %。具体情况如下：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2.公务用车购置及运行费支出0万元。其中：公务用车购置支出为0万元。2020年，中心所属单位开支财政拨款的公务用车保有量为0辆，故公务用车运行支出0万元。</w:t>
      </w:r>
    </w:p>
    <w:p>
      <w:pPr>
        <w:autoSpaceDE w:val="0"/>
        <w:autoSpaceDN w:val="0"/>
        <w:adjustRightInd w:val="0"/>
        <w:spacing w:line="56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3.公务接待费支出0.11万元。其中：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外宾接待支出0万元。2020年共接待国（境）外来访团组0个、来访外宾0人次。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国内公务接待支出0.11万元。主要用于接待区厅调研中心机构建设小组人员。2020 年共接待国内来访团组1个、来宾4人次。</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八、2020年度政府性基金预算财政拨款收入支出决算情况说明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军休中心没有政府性基金预算财政拨款收入，也没有政府性基金预算财政拨款安排的支出，故本表无数据。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九、国有资本经营预算财政拨款支出情况说明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军休中心没有国有资本经营预算财政拨款支出，故本表无数据。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十、2020年度预算绩效情况说明</w:t>
      </w:r>
    </w:p>
    <w:p>
      <w:pPr>
        <w:autoSpaceDE w:val="0"/>
        <w:autoSpaceDN w:val="0"/>
        <w:adjustRightInd w:val="0"/>
        <w:spacing w:line="560" w:lineRule="exact"/>
        <w:ind w:left="64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为切实做好绩效管理工作，我们规范了军休干部开展各类活动相关工作的程序和要求，并形成会议纪要，确保组织各类活动开展时有规可依、有章可循，成立专门的绩效评价工作小组，收集整理相关资料进行统计分析总结。2020年各项绩效指标完成情况较好。</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我单位无项目绩效业务申报，故无《项目支出绩效自评表》。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十一、其他重要事项的情况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（一）机关运行经费支出情况。2020年度部门机关运行经费支出16.21万元，比2019年下降12.38万元，下降43.30 %，增加原因为人员减少及疫情影响业务量下降。（19年28.59）</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楷体_GB2312" w:eastAsia="楷体_GB2312" w:cs="仿宋_GB2312"/>
          <w:kern w:val="0"/>
          <w:sz w:val="32"/>
          <w:szCs w:val="32"/>
        </w:rPr>
        <w:t>政府采购支出情况。</w:t>
      </w:r>
      <w:r>
        <w:rPr>
          <w:rFonts w:hint="eastAsia" w:ascii="仿宋_GB2312" w:eastAsia="仿宋_GB2312" w:cs="仿宋_GB2312"/>
          <w:kern w:val="0"/>
          <w:sz w:val="32"/>
          <w:szCs w:val="32"/>
        </w:rPr>
        <w:t>2020年度部门政府采购支出总额1.17万元，其中：货物支出1.17万元、工程支出0万元、服务支出0万元。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楷体_GB2312" w:eastAsia="楷体_GB2312" w:cs="仿宋_GB2312"/>
          <w:kern w:val="0"/>
          <w:sz w:val="32"/>
          <w:szCs w:val="32"/>
        </w:rPr>
        <w:t>（三）国有资产占用情况。</w:t>
      </w:r>
      <w:r>
        <w:rPr>
          <w:rFonts w:hint="eastAsia" w:ascii="仿宋_GB2312" w:eastAsia="仿宋_GB2312" w:cs="仿宋_GB2312"/>
          <w:kern w:val="0"/>
          <w:sz w:val="32"/>
          <w:szCs w:val="32"/>
        </w:rPr>
        <w:t xml:space="preserve">截至年末部门共有车辆0辆。 </w:t>
      </w:r>
    </w:p>
    <w:p>
      <w:pPr>
        <w:spacing w:line="560" w:lineRule="exact"/>
        <w:ind w:firstLine="645"/>
        <w:jc w:val="left"/>
        <w:rPr>
          <w:rFonts w:ascii="仿宋_GB2312" w:eastAsia="仿宋_GB2312"/>
          <w:b/>
          <w:sz w:val="32"/>
          <w:szCs w:val="32"/>
        </w:rPr>
      </w:pPr>
    </w:p>
    <w:p>
      <w:pPr>
        <w:spacing w:line="56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5"/>
        <w:jc w:val="left"/>
        <w:rPr>
          <w:rFonts w:ascii="仿宋_GB2312" w:eastAsia="仿宋_GB2312"/>
          <w:b/>
          <w:sz w:val="32"/>
          <w:szCs w:val="32"/>
        </w:rPr>
      </w:pP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- 11 -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06A76"/>
    <w:rsid w:val="00047C7C"/>
    <w:rsid w:val="00066CA3"/>
    <w:rsid w:val="000755EC"/>
    <w:rsid w:val="0007632C"/>
    <w:rsid w:val="000C5498"/>
    <w:rsid w:val="000D3E38"/>
    <w:rsid w:val="001113C0"/>
    <w:rsid w:val="00122039"/>
    <w:rsid w:val="00123732"/>
    <w:rsid w:val="00146CB1"/>
    <w:rsid w:val="00174B21"/>
    <w:rsid w:val="00176298"/>
    <w:rsid w:val="001A6EAA"/>
    <w:rsid w:val="001B441C"/>
    <w:rsid w:val="001C4D6A"/>
    <w:rsid w:val="001D0393"/>
    <w:rsid w:val="001F4563"/>
    <w:rsid w:val="0023610C"/>
    <w:rsid w:val="00237331"/>
    <w:rsid w:val="00306D95"/>
    <w:rsid w:val="00317929"/>
    <w:rsid w:val="003B6F32"/>
    <w:rsid w:val="003F2164"/>
    <w:rsid w:val="00404FF0"/>
    <w:rsid w:val="00407CB9"/>
    <w:rsid w:val="0041163A"/>
    <w:rsid w:val="0045304C"/>
    <w:rsid w:val="00454311"/>
    <w:rsid w:val="004765B9"/>
    <w:rsid w:val="00486ABF"/>
    <w:rsid w:val="00490DDC"/>
    <w:rsid w:val="004E7431"/>
    <w:rsid w:val="00505794"/>
    <w:rsid w:val="00534D16"/>
    <w:rsid w:val="00547591"/>
    <w:rsid w:val="00553228"/>
    <w:rsid w:val="00571BC8"/>
    <w:rsid w:val="0059505D"/>
    <w:rsid w:val="005A4BB0"/>
    <w:rsid w:val="005C4510"/>
    <w:rsid w:val="00635087"/>
    <w:rsid w:val="00652006"/>
    <w:rsid w:val="00672C81"/>
    <w:rsid w:val="006A6BAC"/>
    <w:rsid w:val="006C1367"/>
    <w:rsid w:val="00700ABC"/>
    <w:rsid w:val="0071460A"/>
    <w:rsid w:val="00715385"/>
    <w:rsid w:val="00715F06"/>
    <w:rsid w:val="00760340"/>
    <w:rsid w:val="007850D1"/>
    <w:rsid w:val="00797E6B"/>
    <w:rsid w:val="007B4871"/>
    <w:rsid w:val="007B5DDD"/>
    <w:rsid w:val="0080368A"/>
    <w:rsid w:val="00867668"/>
    <w:rsid w:val="008853C8"/>
    <w:rsid w:val="00887598"/>
    <w:rsid w:val="0089011A"/>
    <w:rsid w:val="008A1514"/>
    <w:rsid w:val="008D6A58"/>
    <w:rsid w:val="008F0A1D"/>
    <w:rsid w:val="00960DFA"/>
    <w:rsid w:val="009D7FBE"/>
    <w:rsid w:val="00A14EC4"/>
    <w:rsid w:val="00A5693D"/>
    <w:rsid w:val="00A8786F"/>
    <w:rsid w:val="00AD6BAB"/>
    <w:rsid w:val="00BA52E9"/>
    <w:rsid w:val="00BD55EB"/>
    <w:rsid w:val="00C67B44"/>
    <w:rsid w:val="00C753E0"/>
    <w:rsid w:val="00C777C4"/>
    <w:rsid w:val="00CD2868"/>
    <w:rsid w:val="00CD6FAA"/>
    <w:rsid w:val="00D46605"/>
    <w:rsid w:val="00D71F64"/>
    <w:rsid w:val="00D84BCB"/>
    <w:rsid w:val="00DA5F80"/>
    <w:rsid w:val="00DC7648"/>
    <w:rsid w:val="00E928DB"/>
    <w:rsid w:val="00EA2C30"/>
    <w:rsid w:val="00F04552"/>
    <w:rsid w:val="00F66C5B"/>
    <w:rsid w:val="00FE68FC"/>
    <w:rsid w:val="0E074DDF"/>
    <w:rsid w:val="124204B5"/>
    <w:rsid w:val="182962AB"/>
    <w:rsid w:val="19D073EB"/>
    <w:rsid w:val="1A9933A7"/>
    <w:rsid w:val="1CC31F67"/>
    <w:rsid w:val="24545362"/>
    <w:rsid w:val="24D337DC"/>
    <w:rsid w:val="26460DBA"/>
    <w:rsid w:val="279A0238"/>
    <w:rsid w:val="2B6F74EB"/>
    <w:rsid w:val="2C4219FE"/>
    <w:rsid w:val="34020F86"/>
    <w:rsid w:val="39A63F06"/>
    <w:rsid w:val="3ED1439F"/>
    <w:rsid w:val="47053452"/>
    <w:rsid w:val="48374EDC"/>
    <w:rsid w:val="4C256E3D"/>
    <w:rsid w:val="4CB52F0F"/>
    <w:rsid w:val="4D2B0B4E"/>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批注框文本 Char"/>
    <w:basedOn w:val="8"/>
    <w:link w:val="2"/>
    <w:qFormat/>
    <w:uiPriority w:val="0"/>
    <w:rPr>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C3DAB-BA73-4E84-9265-5981753201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4112</Words>
  <Characters>4580</Characters>
  <Lines>33</Lines>
  <Paragraphs>9</Paragraphs>
  <TotalTime>412</TotalTime>
  <ScaleCrop>false</ScaleCrop>
  <LinksUpToDate>false</LinksUpToDate>
  <CharactersWithSpaces>4631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2021-07-29T09:07:00Z</cp:lastPrinted>
  <dcterms:modified xsi:type="dcterms:W3CDTF">2023-03-21T08:22:32Z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171EE808F4CA4684BAE2AFE744B44472</vt:lpwstr>
  </property>
</Properties>
</file>