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lang w:val="en-US" w:eastAsia="zh-CN"/>
        </w:rPr>
        <w:t>柳州市柳江区</w:t>
      </w:r>
      <w:r>
        <w:rPr>
          <w:rFonts w:hint="eastAsia" w:ascii="黑体" w:hAnsi="黑体" w:eastAsia="黑体"/>
          <w:bCs/>
          <w:color w:val="000000"/>
          <w:sz w:val="52"/>
          <w:szCs w:val="52"/>
          <w:u w:val="none"/>
          <w:lang w:eastAsia="zh-CN"/>
        </w:rPr>
        <w:t>人民法院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both"/>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val="en-US" w:eastAsia="zh-CN"/>
        </w:rPr>
        <w:t>柳江区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柳江区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2020年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柳江区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2020年度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cs="仿宋_GB2312"/>
          <w:bCs/>
          <w:kern w:val="0"/>
          <w:sz w:val="32"/>
          <w:szCs w:val="32"/>
          <w:highlight w:val="none"/>
        </w:rPr>
        <w:t>、</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val="en-US" w:eastAsia="zh-CN"/>
        </w:rPr>
        <w:t>柳江区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概况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一、主要职能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640" w:firstLineChars="200"/>
        <w:jc w:val="both"/>
        <w:textAlignment w:val="auto"/>
        <w:outlineLvl w:val="9"/>
        <w:rPr>
          <w:rFonts w:ascii="仿宋_GB2312" w:eastAsia="仿宋_GB2312"/>
          <w:sz w:val="32"/>
          <w:szCs w:val="32"/>
        </w:rPr>
      </w:pPr>
      <w:r>
        <w:rPr>
          <w:rFonts w:hint="eastAsia" w:ascii="仿宋_GB2312" w:eastAsia="仿宋_GB2312"/>
          <w:b w:val="0"/>
          <w:bCs/>
          <w:sz w:val="32"/>
          <w:szCs w:val="32"/>
          <w:lang w:val="en-US" w:eastAsia="zh-CN"/>
        </w:rPr>
        <w:t>柳江区</w:t>
      </w:r>
      <w:r>
        <w:rPr>
          <w:rFonts w:hint="eastAsia" w:ascii="仿宋_GB2312" w:eastAsia="仿宋_GB2312"/>
          <w:sz w:val="32"/>
          <w:szCs w:val="32"/>
        </w:rPr>
        <w:t>人民法院</w:t>
      </w:r>
      <w:r>
        <w:rPr>
          <w:rFonts w:hint="eastAsia" w:ascii="仿宋_GB2312" w:eastAsia="仿宋_GB2312"/>
          <w:sz w:val="32"/>
          <w:szCs w:val="32"/>
          <w:lang w:eastAsia="zh-CN"/>
        </w:rPr>
        <w:t>的主要职能</w:t>
      </w:r>
      <w:r>
        <w:rPr>
          <w:rFonts w:hint="eastAsia" w:ascii="仿宋_GB2312" w:eastAsia="仿宋_GB2312"/>
          <w:sz w:val="32"/>
          <w:szCs w:val="32"/>
        </w:rPr>
        <w:t>是</w:t>
      </w:r>
      <w:r>
        <w:rPr>
          <w:rFonts w:hint="eastAsia" w:ascii="仿宋_GB2312" w:eastAsia="仿宋_GB2312"/>
          <w:sz w:val="32"/>
          <w:szCs w:val="32"/>
          <w:lang w:val="en-US" w:eastAsia="zh-CN"/>
        </w:rPr>
        <w:t>国家审判机关，依法独立行使审判权。主要职能是</w:t>
      </w:r>
      <w:r>
        <w:rPr>
          <w:rFonts w:hint="eastAsia" w:ascii="仿宋_GB2312" w:hAnsi="仿宋_GB2312" w:eastAsia="仿宋_GB2312" w:cs="仿宋_GB2312"/>
          <w:b w:val="0"/>
          <w:bCs/>
          <w:color w:val="auto"/>
          <w:sz w:val="32"/>
          <w:szCs w:val="32"/>
        </w:rPr>
        <w:t>依法审判本院管辖的民事、行政案件和上级人民法院交由审判的案件;</w:t>
      </w:r>
      <w:r>
        <w:rPr>
          <w:rFonts w:hint="eastAsia" w:ascii="仿宋_GB2312" w:hAnsi="仿宋_GB2312" w:eastAsia="仿宋_GB2312" w:cs="仿宋_GB2312"/>
          <w:i w:val="0"/>
          <w:caps w:val="0"/>
          <w:color w:val="auto"/>
          <w:spacing w:val="0"/>
          <w:sz w:val="32"/>
          <w:szCs w:val="32"/>
          <w:shd w:val="clear" w:color="auto" w:fill="FFFFFF"/>
        </w:rPr>
        <w:t>接受上级法院指令再审和交办的案件</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i w:val="0"/>
          <w:caps w:val="0"/>
          <w:color w:val="auto"/>
          <w:spacing w:val="0"/>
          <w:sz w:val="32"/>
          <w:szCs w:val="32"/>
          <w:shd w:val="clear" w:color="auto" w:fill="FFFFFF"/>
        </w:rPr>
        <w:t>依法行使</w:t>
      </w:r>
      <w:r>
        <w:rPr>
          <w:rFonts w:hint="eastAsia" w:ascii="仿宋_GB2312" w:hAnsi="仿宋_GB2312" w:eastAsia="仿宋_GB2312" w:cs="仿宋_GB2312"/>
          <w:i w:val="0"/>
          <w:caps w:val="0"/>
          <w:color w:val="auto"/>
          <w:spacing w:val="0"/>
          <w:sz w:val="32"/>
          <w:szCs w:val="32"/>
          <w:u w:val="none"/>
          <w:shd w:val="clear" w:color="auto" w:fill="FFFFFF"/>
        </w:rPr>
        <w:fldChar w:fldCharType="begin"/>
      </w:r>
      <w:r>
        <w:rPr>
          <w:rFonts w:hint="eastAsia" w:ascii="仿宋_GB2312" w:hAnsi="仿宋_GB2312" w:eastAsia="仿宋_GB2312" w:cs="仿宋_GB2312"/>
          <w:i w:val="0"/>
          <w:caps w:val="0"/>
          <w:color w:val="auto"/>
          <w:spacing w:val="0"/>
          <w:sz w:val="32"/>
          <w:szCs w:val="32"/>
          <w:u w:val="none"/>
          <w:shd w:val="clear" w:color="auto" w:fill="FFFFFF"/>
        </w:rPr>
        <w:instrText xml:space="preserve"> HYPERLINK "http://www.so.com/s?q=%E5%8F%B8%E6%B3%95&amp;ie=utf-8&amp;src=internal_wenda_recommend_textn" \t "https://wenda.so.com/q/_blank" </w:instrText>
      </w:r>
      <w:r>
        <w:rPr>
          <w:rFonts w:hint="eastAsia" w:ascii="仿宋_GB2312" w:hAnsi="仿宋_GB2312" w:eastAsia="仿宋_GB2312" w:cs="仿宋_GB2312"/>
          <w:i w:val="0"/>
          <w:caps w:val="0"/>
          <w:color w:val="auto"/>
          <w:spacing w:val="0"/>
          <w:sz w:val="32"/>
          <w:szCs w:val="32"/>
          <w:u w:val="none"/>
          <w:shd w:val="clear" w:color="auto" w:fill="FFFFFF"/>
        </w:rPr>
        <w:fldChar w:fldCharType="separate"/>
      </w:r>
      <w:r>
        <w:rPr>
          <w:rStyle w:val="10"/>
          <w:rFonts w:hint="eastAsia" w:ascii="仿宋_GB2312" w:hAnsi="仿宋_GB2312" w:eastAsia="仿宋_GB2312" w:cs="仿宋_GB2312"/>
          <w:i w:val="0"/>
          <w:caps w:val="0"/>
          <w:color w:val="auto"/>
          <w:spacing w:val="0"/>
          <w:sz w:val="32"/>
          <w:szCs w:val="32"/>
          <w:u w:val="none"/>
          <w:shd w:val="clear" w:color="auto" w:fill="FFFFFF"/>
        </w:rPr>
        <w:t>司法</w:t>
      </w:r>
      <w:r>
        <w:rPr>
          <w:rFonts w:hint="eastAsia" w:ascii="仿宋_GB2312" w:hAnsi="仿宋_GB2312" w:eastAsia="仿宋_GB2312" w:cs="仿宋_GB2312"/>
          <w:i w:val="0"/>
          <w:caps w:val="0"/>
          <w:color w:val="auto"/>
          <w:spacing w:val="0"/>
          <w:sz w:val="32"/>
          <w:szCs w:val="32"/>
          <w:u w:val="none"/>
          <w:shd w:val="clear" w:color="auto" w:fill="FFFFFF"/>
        </w:rPr>
        <w:fldChar w:fldCharType="end"/>
      </w:r>
      <w:r>
        <w:rPr>
          <w:rFonts w:hint="eastAsia" w:ascii="仿宋_GB2312" w:hAnsi="仿宋_GB2312" w:eastAsia="仿宋_GB2312" w:cs="仿宋_GB2312"/>
          <w:i w:val="0"/>
          <w:caps w:val="0"/>
          <w:color w:val="auto"/>
          <w:spacing w:val="0"/>
          <w:sz w:val="32"/>
          <w:szCs w:val="32"/>
          <w:shd w:val="clear" w:color="auto" w:fill="FFFFFF"/>
        </w:rPr>
        <w:t>执行权和司法决定权</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b w:val="0"/>
          <w:bCs/>
          <w:color w:val="auto"/>
          <w:sz w:val="32"/>
          <w:szCs w:val="32"/>
        </w:rPr>
        <w:t>依法执行已发生法律效力的判决、裁定以及国家行政机关依法申请执行的案件;</w:t>
      </w:r>
      <w:r>
        <w:rPr>
          <w:rFonts w:hint="eastAsia" w:ascii="仿宋_GB2312" w:hAnsi="仿宋_GB2312" w:eastAsia="仿宋_GB2312" w:cs="仿宋_GB2312"/>
          <w:i w:val="0"/>
          <w:caps w:val="0"/>
          <w:color w:val="auto"/>
          <w:spacing w:val="0"/>
          <w:sz w:val="32"/>
          <w:szCs w:val="32"/>
          <w:shd w:val="clear" w:color="auto" w:fill="FFFFFF"/>
        </w:rPr>
        <w:t>承办其他应由本院负责的工作</w:t>
      </w:r>
      <w:r>
        <w:rPr>
          <w:rFonts w:hint="eastAsia" w:ascii="仿宋_GB2312" w:hAnsi="仿宋_GB2312" w:eastAsia="仿宋_GB2312" w:cs="仿宋_GB2312"/>
          <w:i w:val="0"/>
          <w:caps w:val="0"/>
          <w:color w:val="auto"/>
          <w:spacing w:val="0"/>
          <w:sz w:val="32"/>
          <w:szCs w:val="32"/>
          <w:shd w:val="clear" w:color="auto" w:fill="FFFFFF"/>
          <w:lang w:eastAsia="zh-CN"/>
        </w:rPr>
        <w:t>。</w:t>
      </w:r>
    </w:p>
    <w:p>
      <w:pPr>
        <w:spacing w:line="560" w:lineRule="exact"/>
        <w:ind w:right="-92" w:rightChars="-44" w:firstLine="640" w:firstLineChars="200"/>
        <w:rPr>
          <w:rFonts w:hint="eastAsia" w:ascii="仿宋_GB2312" w:eastAsia="仿宋_GB2312"/>
          <w:sz w:val="32"/>
          <w:szCs w:val="32"/>
          <w:highlight w:val="none"/>
          <w:lang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highlight w:val="none"/>
        </w:rPr>
        <w:t>本单位的主要工作任务是</w:t>
      </w:r>
      <w:r>
        <w:rPr>
          <w:rFonts w:hint="eastAsia" w:ascii="仿宋_GB2312" w:eastAsia="仿宋_GB2312"/>
          <w:sz w:val="32"/>
          <w:szCs w:val="32"/>
          <w:highlight w:val="none"/>
          <w:lang w:eastAsia="zh-CN"/>
        </w:rPr>
        <w:t>：</w:t>
      </w:r>
    </w:p>
    <w:p>
      <w:pPr>
        <w:spacing w:line="560" w:lineRule="exact"/>
        <w:ind w:right="-92" w:rightChars="-44" w:firstLine="320" w:firstLineChars="1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聚焦执法办案主业，为柳江区经济社会高质量发展提供司法保障。发挥审判职能作用，为统筹推进疫情防控和经济社会高质量发展提供司法保障。精准发力，服务保障疫情防控阻击战。主动作为，服务重大战略部署。围绕大局，服务“六稳”“六保”。服务供给侧结构性改革，促进产业优化重组。巩固执行攻坚成果，推进诚信社会建设。加强行政审判工作，助推法治政府、诚信政府建设。认真贯彻总体国家安全观，打击违法犯罪行为，维护辖区稳定。持续推进扫黑除恶专项斗争。依法严厉打击危害社会安全刑事犯罪。加强人权司法保障。</w:t>
      </w:r>
    </w:p>
    <w:p>
      <w:pPr>
        <w:spacing w:line="560" w:lineRule="exact"/>
        <w:ind w:right="-92" w:rightChars="-44" w:firstLine="320" w:firstLineChars="1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践行司法为民宗旨，不断满足人民群众多元司法需求。加强民生司法保障。维护和睦家风，奠定社会稳定基石。推进多元解纷，减轻群众诉累。聚焦为民服务解难题，完善诉讼服务两个“一站式”建设。推动信息化建设，让信息多跑腿，群众少受累。</w:t>
      </w:r>
    </w:p>
    <w:p>
      <w:pPr>
        <w:spacing w:line="560" w:lineRule="exact"/>
        <w:ind w:right="-92" w:rightChars="-44" w:firstLine="320" w:firstLineChars="1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、深入推进司法体制改革，增强司法服务内生动力</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严格落实司法责任制。科学调配审判资源，提升审判质效。</w:t>
      </w:r>
    </w:p>
    <w:p>
      <w:pPr>
        <w:spacing w:line="560" w:lineRule="exact"/>
        <w:ind w:right="-92" w:rightChars="-44" w:firstLine="320" w:firstLineChars="1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、坚持全面从严治党、建设过硬法院队伍</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始终把党的政治建设放在首位。持之以恒正风肃纪，确保公正廉洁司法。抓好司法能力建设，激发队伍活力。</w:t>
      </w:r>
    </w:p>
    <w:p>
      <w:pPr>
        <w:spacing w:line="560" w:lineRule="exact"/>
        <w:ind w:right="-92" w:rightChars="-44" w:firstLine="320" w:firstLineChars="1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eastAsia="zh-CN"/>
        </w:rPr>
        <w:t>、自觉接受各方监督，促进严格公正司法</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主动接受人大监督。自觉接受政协民主监督，依法接受纪委监委和检察机关监督，广泛接受社会监督。</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ascii="仿宋_GB2312" w:eastAsia="仿宋_GB2312"/>
          <w:sz w:val="32"/>
          <w:szCs w:val="32"/>
        </w:rPr>
      </w:pPr>
      <w:r>
        <w:rPr>
          <w:rFonts w:hint="eastAsia" w:ascii="仿宋_GB2312" w:eastAsia="仿宋_GB2312"/>
          <w:sz w:val="32"/>
          <w:szCs w:val="32"/>
        </w:rPr>
        <w:t>二、决算单位构成</w:t>
      </w:r>
    </w:p>
    <w:p>
      <w:pPr>
        <w:adjustRightInd w:val="0"/>
        <w:snapToGrid w:val="0"/>
        <w:spacing w:line="560" w:lineRule="exact"/>
        <w:ind w:right="-218" w:rightChars="-104" w:firstLine="640" w:firstLineChars="200"/>
        <w:rPr>
          <w:rFonts w:ascii="仿宋_GB2312" w:eastAsia="仿宋_GB2312"/>
          <w:sz w:val="32"/>
          <w:szCs w:val="32"/>
        </w:rPr>
      </w:pPr>
      <w:r>
        <w:rPr>
          <w:rFonts w:hint="eastAsia" w:ascii="仿宋_GB2312" w:hAnsi="仿宋_GB2312" w:eastAsia="仿宋_GB2312"/>
          <w:sz w:val="32"/>
          <w:szCs w:val="22"/>
          <w:lang w:eastAsia="zh-CN"/>
        </w:rPr>
        <w:t>我院为广西法院检察院财物统一管理改革试点单位，从</w:t>
      </w:r>
      <w:r>
        <w:rPr>
          <w:rFonts w:hint="eastAsia" w:ascii="仿宋_GB2312" w:hAnsi="仿宋_GB2312" w:eastAsia="仿宋_GB2312"/>
          <w:sz w:val="32"/>
          <w:szCs w:val="22"/>
          <w:lang w:val="en-US" w:eastAsia="zh-CN"/>
        </w:rPr>
        <w:t>2020年起我</w:t>
      </w:r>
      <w:r>
        <w:rPr>
          <w:rFonts w:hint="eastAsia" w:ascii="仿宋_GB2312" w:hAnsi="仿宋_GB2312" w:eastAsia="仿宋_GB2312"/>
          <w:sz w:val="32"/>
          <w:szCs w:val="22"/>
        </w:rPr>
        <w:t>院作为市中级</w:t>
      </w:r>
      <w:r>
        <w:rPr>
          <w:rFonts w:hint="eastAsia" w:ascii="仿宋_GB2312" w:hAnsi="仿宋_GB2312" w:eastAsia="仿宋_GB2312"/>
          <w:sz w:val="32"/>
          <w:szCs w:val="22"/>
          <w:lang w:val="en-US" w:eastAsia="zh-CN"/>
        </w:rPr>
        <w:t>人民</w:t>
      </w:r>
      <w:r>
        <w:rPr>
          <w:rFonts w:hint="eastAsia" w:ascii="仿宋_GB2312" w:hAnsi="仿宋_GB2312" w:eastAsia="仿宋_GB2312"/>
          <w:sz w:val="32"/>
          <w:szCs w:val="22"/>
        </w:rPr>
        <w:t>法院二级预算单位</w:t>
      </w:r>
      <w:r>
        <w:rPr>
          <w:rFonts w:hint="eastAsia" w:ascii="仿宋_GB2312" w:hAnsi="仿宋_GB2312" w:eastAsia="仿宋_GB2312"/>
          <w:sz w:val="32"/>
          <w:szCs w:val="22"/>
          <w:lang w:eastAsia="zh-CN"/>
        </w:rPr>
        <w:t>进行管理，此次</w:t>
      </w:r>
      <w:r>
        <w:rPr>
          <w:rFonts w:hint="eastAsia" w:ascii="仿宋_GB2312" w:eastAsia="仿宋_GB2312"/>
          <w:sz w:val="32"/>
          <w:szCs w:val="32"/>
        </w:rPr>
        <w:t>决算为单位本级决算。</w:t>
      </w:r>
      <w:r>
        <w:rPr>
          <w:rFonts w:hint="eastAsia" w:ascii="仿宋_GB2312" w:eastAsia="仿宋_GB2312"/>
          <w:sz w:val="32"/>
          <w:szCs w:val="32"/>
          <w:highlight w:val="none"/>
        </w:rPr>
        <w:t>单位现设</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个科室，</w:t>
      </w:r>
      <w:r>
        <w:rPr>
          <w:rFonts w:hint="eastAsia" w:ascii="仿宋_GB2312" w:eastAsia="仿宋_GB2312"/>
          <w:sz w:val="32"/>
          <w:szCs w:val="32"/>
        </w:rPr>
        <w:t>分别为：</w:t>
      </w:r>
      <w:r>
        <w:rPr>
          <w:rFonts w:hint="eastAsia" w:ascii="仿宋_GB2312" w:eastAsia="仿宋_GB2312"/>
          <w:sz w:val="32"/>
          <w:szCs w:val="32"/>
          <w:lang w:val="en-US" w:eastAsia="zh-CN"/>
        </w:rPr>
        <w:t>政治部、综合办公室、法警队、审管办、立案庭、民一庭、民二庭、综合审判庭、刑庭、执行局、三都法庭、百朋法庭、穿山法庭</w:t>
      </w:r>
      <w:r>
        <w:rPr>
          <w:rFonts w:hint="eastAsia" w:ascii="仿宋_GB2312" w:eastAsia="仿宋_GB2312"/>
          <w:sz w:val="32"/>
          <w:szCs w:val="32"/>
        </w:rPr>
        <w:t>。</w:t>
      </w:r>
    </w:p>
    <w:p>
      <w:pPr>
        <w:spacing w:line="560" w:lineRule="exact"/>
        <w:ind w:firstLine="640" w:firstLineChars="200"/>
        <w:jc w:val="both"/>
        <w:rPr>
          <w:rFonts w:ascii="仿宋_GB2312" w:eastAsia="仿宋_GB2312"/>
          <w:sz w:val="32"/>
          <w:szCs w:val="32"/>
        </w:rPr>
      </w:pPr>
      <w:r>
        <w:rPr>
          <w:rFonts w:hint="eastAsia" w:ascii="仿宋_GB2312" w:hAnsi="仿宋" w:eastAsia="仿宋_GB2312"/>
          <w:sz w:val="32"/>
          <w:szCs w:val="32"/>
        </w:rPr>
        <w:t>本单位20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highlight w:val="none"/>
        </w:rPr>
        <w:t>年末编制人数为</w:t>
      </w:r>
      <w:r>
        <w:rPr>
          <w:rFonts w:hint="eastAsia" w:ascii="仿宋_GB2312" w:hAnsi="仿宋" w:eastAsia="仿宋_GB2312"/>
          <w:sz w:val="32"/>
          <w:szCs w:val="32"/>
          <w:highlight w:val="none"/>
          <w:lang w:val="en-US" w:eastAsia="zh-CN"/>
        </w:rPr>
        <w:t>119</w:t>
      </w:r>
      <w:r>
        <w:rPr>
          <w:rFonts w:hint="eastAsia" w:ascii="仿宋_GB2312" w:hAnsi="仿宋" w:eastAsia="仿宋_GB2312"/>
          <w:sz w:val="32"/>
          <w:szCs w:val="32"/>
          <w:highlight w:val="none"/>
        </w:rPr>
        <w:t>人，其</w:t>
      </w:r>
      <w:r>
        <w:rPr>
          <w:rFonts w:hint="eastAsia" w:ascii="仿宋_GB2312" w:hAnsi="仿宋" w:eastAsia="仿宋_GB2312"/>
          <w:sz w:val="32"/>
          <w:szCs w:val="32"/>
        </w:rPr>
        <w:t>中行政人员编制数为</w:t>
      </w:r>
      <w:r>
        <w:rPr>
          <w:rFonts w:hint="eastAsia" w:ascii="仿宋_GB2312" w:hAnsi="仿宋" w:eastAsia="仿宋_GB2312"/>
          <w:sz w:val="32"/>
          <w:szCs w:val="32"/>
          <w:lang w:val="en-US" w:eastAsia="zh-CN"/>
        </w:rPr>
        <w:t>116</w:t>
      </w:r>
      <w:r>
        <w:rPr>
          <w:rFonts w:hint="eastAsia" w:ascii="仿宋_GB2312" w:hAnsi="仿宋" w:eastAsia="仿宋_GB2312"/>
          <w:sz w:val="32"/>
          <w:szCs w:val="32"/>
        </w:rPr>
        <w:t>人，</w:t>
      </w:r>
      <w:r>
        <w:rPr>
          <w:rFonts w:hint="eastAsia" w:ascii="仿宋_GB2312" w:hAnsi="仿宋" w:eastAsia="仿宋_GB2312"/>
          <w:sz w:val="32"/>
          <w:szCs w:val="32"/>
          <w:lang w:val="en-US" w:eastAsia="zh-CN"/>
        </w:rPr>
        <w:t>行政工勤</w:t>
      </w:r>
      <w:r>
        <w:rPr>
          <w:rFonts w:hint="eastAsia" w:ascii="仿宋_GB2312" w:hAnsi="仿宋" w:eastAsia="仿宋_GB2312"/>
          <w:sz w:val="32"/>
          <w:szCs w:val="32"/>
        </w:rPr>
        <w:t>编制数为</w:t>
      </w:r>
      <w:r>
        <w:rPr>
          <w:rFonts w:hint="eastAsia" w:ascii="仿宋_GB2312" w:hAnsi="仿宋" w:eastAsia="仿宋_GB2312"/>
          <w:sz w:val="32"/>
          <w:szCs w:val="32"/>
          <w:lang w:val="en-US" w:eastAsia="zh-CN"/>
        </w:rPr>
        <w:t>3</w:t>
      </w:r>
      <w:r>
        <w:rPr>
          <w:rFonts w:hint="eastAsia" w:ascii="仿宋_GB2312" w:hAnsi="仿宋" w:eastAsia="仿宋_GB2312"/>
          <w:sz w:val="32"/>
          <w:szCs w:val="32"/>
        </w:rPr>
        <w:t>人。20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年年末实有人数</w:t>
      </w:r>
      <w:r>
        <w:rPr>
          <w:rFonts w:hint="eastAsia" w:ascii="仿宋_GB2312" w:hAnsi="仿宋" w:eastAsia="仿宋_GB2312"/>
          <w:sz w:val="32"/>
          <w:szCs w:val="32"/>
          <w:lang w:val="en-US" w:eastAsia="zh-CN"/>
        </w:rPr>
        <w:t>112</w:t>
      </w:r>
      <w:r>
        <w:rPr>
          <w:rFonts w:hint="eastAsia" w:ascii="仿宋_GB2312" w:hAnsi="仿宋" w:eastAsia="仿宋_GB2312"/>
          <w:sz w:val="32"/>
          <w:szCs w:val="32"/>
        </w:rPr>
        <w:t>人，其中在职人员</w:t>
      </w:r>
      <w:r>
        <w:rPr>
          <w:rFonts w:hint="eastAsia" w:ascii="仿宋_GB2312" w:hAnsi="仿宋" w:eastAsia="仿宋_GB2312"/>
          <w:sz w:val="32"/>
          <w:szCs w:val="32"/>
          <w:lang w:val="en-US" w:eastAsia="zh-CN"/>
        </w:rPr>
        <w:t>112</w:t>
      </w:r>
      <w:r>
        <w:rPr>
          <w:rFonts w:hint="eastAsia" w:ascii="仿宋_GB2312" w:hAnsi="仿宋" w:eastAsia="仿宋_GB2312"/>
          <w:sz w:val="32"/>
          <w:szCs w:val="32"/>
        </w:rPr>
        <w:t>人，离休人员</w:t>
      </w:r>
      <w:r>
        <w:rPr>
          <w:rFonts w:hint="eastAsia" w:ascii="仿宋_GB2312" w:hAnsi="仿宋" w:eastAsia="仿宋_GB2312"/>
          <w:sz w:val="32"/>
          <w:szCs w:val="32"/>
          <w:lang w:val="en-US" w:eastAsia="zh-CN"/>
        </w:rPr>
        <w:t>43</w:t>
      </w:r>
      <w:r>
        <w:rPr>
          <w:rFonts w:hint="eastAsia" w:ascii="仿宋_GB2312" w:hAnsi="仿宋"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szCs w:val="22"/>
        </w:rPr>
      </w:pP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柳江区</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2020年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jc w:val="center"/>
      </w:pPr>
    </w:p>
    <w:p/>
    <w:tbl>
      <w:tblPr>
        <w:tblStyle w:val="6"/>
        <w:tblW w:w="8783" w:type="dxa"/>
        <w:jc w:val="center"/>
        <w:tblLayout w:type="fixed"/>
        <w:tblCellMar>
          <w:top w:w="0" w:type="dxa"/>
          <w:left w:w="108" w:type="dxa"/>
          <w:bottom w:w="0" w:type="dxa"/>
          <w:right w:w="108" w:type="dxa"/>
        </w:tblCellMar>
      </w:tblPr>
      <w:tblGrid>
        <w:gridCol w:w="3315"/>
        <w:gridCol w:w="1290"/>
        <w:gridCol w:w="2498"/>
        <w:gridCol w:w="1680"/>
      </w:tblGrid>
      <w:tr>
        <w:tblPrEx>
          <w:tblCellMar>
            <w:top w:w="0" w:type="dxa"/>
            <w:left w:w="108" w:type="dxa"/>
            <w:bottom w:w="0" w:type="dxa"/>
            <w:right w:w="108" w:type="dxa"/>
          </w:tblCellMar>
        </w:tblPrEx>
        <w:trPr>
          <w:wAfter w:w="0" w:type="auto"/>
          <w:trHeight w:val="570" w:hRule="atLeast"/>
          <w:jc w:val="center"/>
        </w:trPr>
        <w:tc>
          <w:tcPr>
            <w:tcW w:w="8783"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605"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17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9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49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3375.73</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二、公共安全支出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3880.33</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三、社会保障和就业支出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315.94</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四、卫生健康支出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187.7</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五、城乡社区支出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1040.33</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六</w:t>
            </w:r>
            <w:r>
              <w:rPr>
                <w:rFonts w:hint="eastAsia" w:ascii="宋体" w:hAnsi="宋体" w:cs="宋体"/>
                <w:color w:val="000000"/>
                <w:kern w:val="0"/>
                <w:sz w:val="22"/>
                <w:szCs w:val="22"/>
              </w:rPr>
              <w:t>、住房保障支出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127.82</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2060.81</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、其他支出</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0.39</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5436.54</w:t>
            </w:r>
          </w:p>
        </w:tc>
        <w:tc>
          <w:tcPr>
            <w:tcW w:w="2498"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5552.52</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510.37</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394.4</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tcBorders>
              <w:top w:val="nil"/>
              <w:left w:val="nil"/>
              <w:bottom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5946.91</w:t>
            </w:r>
          </w:p>
        </w:tc>
        <w:tc>
          <w:tcPr>
            <w:tcW w:w="2498"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5946.91</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注：本表反映</w:t>
      </w:r>
      <w:r>
        <w:rPr>
          <w:rFonts w:hint="eastAsia"/>
          <w:lang w:val="en-US" w:eastAsia="zh-CN"/>
        </w:rPr>
        <w:t>单位</w:t>
      </w:r>
      <w:r>
        <w:rPr>
          <w:rFonts w:hint="eastAsia"/>
        </w:rPr>
        <w:t>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4140" w:type="dxa"/>
        <w:jc w:val="center"/>
        <w:tblLayout w:type="fixed"/>
        <w:tblCellMar>
          <w:top w:w="0" w:type="dxa"/>
          <w:left w:w="108" w:type="dxa"/>
          <w:bottom w:w="0" w:type="dxa"/>
          <w:right w:w="108" w:type="dxa"/>
        </w:tblCellMar>
      </w:tblPr>
      <w:tblGrid>
        <w:gridCol w:w="1085"/>
        <w:gridCol w:w="2865"/>
        <w:gridCol w:w="1440"/>
        <w:gridCol w:w="1635"/>
        <w:gridCol w:w="1245"/>
        <w:gridCol w:w="1250"/>
        <w:gridCol w:w="1540"/>
        <w:gridCol w:w="1540"/>
        <w:gridCol w:w="1540"/>
      </w:tblGrid>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2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1058" w:hRule="atLeast"/>
          <w:jc w:val="center"/>
        </w:trPr>
        <w:tc>
          <w:tcPr>
            <w:tcW w:w="1085"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86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4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3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2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2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5436.54</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3375.73</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2060.81</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公共安全支出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3754.19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2764.21</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989.97</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法院</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3754.19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2764.21</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989.97</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1397.62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1397.62</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1018.08</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28.11</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989.97</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2040504</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案件审判</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574.54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574.54</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2040505</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案件执行</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73.65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73.65</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2040506</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“两庭”建设</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126.99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126.99</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其他法院支出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563.30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563.30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326.12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295.99</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30.12</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326.12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295.99</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30.12</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46.76</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16.64</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30.12</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186.24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186.24</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572"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93.12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93.12</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抚恤</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死亡抚恤</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2082702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187.7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187.7</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187.7</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87.3</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87.3</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100.41</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100.41</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城乡社区管理事务</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2120199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1040.33</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城乡社区公共设施</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127.82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127.82</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127.82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127.82</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127.82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127.82</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0.39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0.39</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年初预留</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0.39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0.39</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2290200</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年初预留</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0.39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0.39</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bl>
    <w:p/>
    <w:p>
      <w:r>
        <w:rPr>
          <w:rFonts w:hint="eastAsia"/>
        </w:rPr>
        <w:t>注：本表反映</w:t>
      </w:r>
      <w:r>
        <w:rPr>
          <w:rFonts w:hint="eastAsia"/>
          <w:lang w:val="en-US" w:eastAsia="zh-CN"/>
        </w:rPr>
        <w:t>单位</w:t>
      </w:r>
      <w:r>
        <w:rPr>
          <w:rFonts w:hint="eastAsia"/>
        </w:rPr>
        <w:t>本年度取得的各项收入情况。</w:t>
      </w:r>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3040"/>
        <w:gridCol w:w="1620"/>
        <w:gridCol w:w="1605"/>
        <w:gridCol w:w="1455"/>
        <w:gridCol w:w="1550"/>
        <w:gridCol w:w="1500"/>
        <w:gridCol w:w="2099"/>
      </w:tblGrid>
      <w:tr>
        <w:tblPrEx>
          <w:tblCellMar>
            <w:top w:w="0" w:type="dxa"/>
            <w:left w:w="108" w:type="dxa"/>
            <w:bottom w:w="0" w:type="dxa"/>
            <w:right w:w="108" w:type="dxa"/>
          </w:tblCellMar>
        </w:tblPrEx>
        <w:trPr>
          <w:trHeight w:val="288" w:hRule="atLeast"/>
          <w:jc w:val="center"/>
        </w:trPr>
        <w:tc>
          <w:tcPr>
            <w:tcW w:w="42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5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209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422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62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05" w:type="dxa"/>
            <w:tcBorders>
              <w:top w:val="single" w:color="auto" w:sz="4" w:space="0"/>
              <w:left w:val="single" w:color="auto" w:sz="4" w:space="0"/>
              <w:bottom w:val="single" w:color="auto" w:sz="4" w:space="0"/>
              <w:right w:val="single" w:color="auto" w:sz="4" w:space="0"/>
            </w:tcBorders>
          </w:tcPr>
          <w:p>
            <w:pPr>
              <w:widowControl/>
              <w:ind w:firstLine="660" w:firstLineChars="300"/>
              <w:jc w:val="both"/>
              <w:rPr>
                <w:rFonts w:ascii="宋体" w:hAnsi="宋体" w:cs="Arial"/>
                <w:color w:val="000000"/>
                <w:kern w:val="0"/>
                <w:sz w:val="22"/>
                <w:szCs w:val="22"/>
              </w:rPr>
            </w:pPr>
            <w:r>
              <w:rPr>
                <w:rFonts w:hint="eastAsia" w:ascii="宋体" w:hAnsi="宋体" w:cs="Arial"/>
                <w:kern w:val="0"/>
                <w:sz w:val="22"/>
                <w:szCs w:val="22"/>
              </w:rPr>
              <w:t>2</w:t>
            </w:r>
          </w:p>
        </w:tc>
        <w:tc>
          <w:tcPr>
            <w:tcW w:w="1455" w:type="dxa"/>
            <w:tcBorders>
              <w:top w:val="single" w:color="auto" w:sz="4" w:space="0"/>
              <w:left w:val="single" w:color="auto" w:sz="4" w:space="0"/>
              <w:bottom w:val="single" w:color="auto" w:sz="4" w:space="0"/>
              <w:right w:val="single" w:color="auto" w:sz="4" w:space="0"/>
            </w:tcBorders>
          </w:tcPr>
          <w:p>
            <w:pPr>
              <w:widowControl/>
              <w:ind w:firstLine="660" w:firstLineChars="300"/>
              <w:jc w:val="both"/>
              <w:rPr>
                <w:rFonts w:ascii="宋体" w:hAnsi="宋体" w:cs="Arial"/>
                <w:color w:val="000000"/>
                <w:kern w:val="0"/>
                <w:sz w:val="22"/>
                <w:szCs w:val="22"/>
              </w:rPr>
            </w:pPr>
            <w:r>
              <w:rPr>
                <w:rFonts w:hint="eastAsia" w:ascii="宋体" w:hAnsi="宋体" w:cs="Arial"/>
                <w:kern w:val="0"/>
                <w:sz w:val="22"/>
                <w:szCs w:val="22"/>
              </w:rPr>
              <w:t>3</w:t>
            </w:r>
          </w:p>
        </w:tc>
        <w:tc>
          <w:tcPr>
            <w:tcW w:w="155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00" w:type="dxa"/>
            <w:tcBorders>
              <w:top w:val="single" w:color="auto" w:sz="4" w:space="0"/>
              <w:left w:val="single" w:color="auto" w:sz="4" w:space="0"/>
              <w:bottom w:val="single" w:color="auto" w:sz="4" w:space="0"/>
              <w:right w:val="single" w:color="auto" w:sz="4" w:space="0"/>
            </w:tcBorders>
          </w:tcPr>
          <w:p>
            <w:pPr>
              <w:widowControl/>
              <w:ind w:firstLine="660" w:firstLineChars="300"/>
              <w:jc w:val="both"/>
              <w:rPr>
                <w:rFonts w:ascii="宋体" w:hAnsi="宋体" w:cs="Arial"/>
                <w:color w:val="000000"/>
                <w:kern w:val="0"/>
                <w:sz w:val="22"/>
                <w:szCs w:val="22"/>
              </w:rPr>
            </w:pPr>
            <w:r>
              <w:rPr>
                <w:rFonts w:hint="eastAsia" w:ascii="宋体" w:hAnsi="宋体" w:cs="Arial"/>
                <w:kern w:val="0"/>
                <w:sz w:val="22"/>
                <w:szCs w:val="22"/>
              </w:rPr>
              <w:t>5</w:t>
            </w:r>
          </w:p>
        </w:tc>
        <w:tc>
          <w:tcPr>
            <w:tcW w:w="2099" w:type="dxa"/>
            <w:tcBorders>
              <w:top w:val="single" w:color="auto" w:sz="4" w:space="0"/>
              <w:left w:val="single" w:color="auto" w:sz="4" w:space="0"/>
              <w:bottom w:val="single" w:color="auto" w:sz="4" w:space="0"/>
              <w:right w:val="single" w:color="auto" w:sz="4" w:space="0"/>
            </w:tcBorders>
          </w:tcPr>
          <w:p>
            <w:pPr>
              <w:widowControl/>
              <w:ind w:firstLine="880" w:firstLineChars="400"/>
              <w:jc w:val="both"/>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422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62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5552.52</w:t>
            </w:r>
          </w:p>
        </w:tc>
        <w:tc>
          <w:tcPr>
            <w:tcW w:w="160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2029.48</w:t>
            </w:r>
          </w:p>
        </w:tc>
        <w:tc>
          <w:tcPr>
            <w:tcW w:w="1455"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3523.04</w:t>
            </w:r>
          </w:p>
        </w:tc>
        <w:tc>
          <w:tcPr>
            <w:tcW w:w="1550"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099"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公共安全支出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3880.33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1397.62</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2482.71</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法院</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3880.33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1397.62</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2482.71</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1397.62</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1397.62</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941.76</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941.76</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2040504</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案件审判</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574.54</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574.54</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2040505</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案件执行</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73.65</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73.65</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2040506</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“两庭”建设</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329.46</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329.46</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其他法院支出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563.3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563.3</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315.94</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315.94</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315.94</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315.94</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46.76</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46.76</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179.27</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179.27</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89.91</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89.91</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抚恤</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死亡抚恤</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2082702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187.7</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187.7</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187.7</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187.7</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87.3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87.3</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100.41</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100.41</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城乡社区管理事务</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2120199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1040.33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1040.33</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城乡社区公共设施</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127.82</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127.82</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127.82</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127.82</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127.82</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127.82</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0.39</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0.39</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年初预留</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0.39</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0.39</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2290200</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年初预留</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0.39</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0.39</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bl>
    <w:p/>
    <w:p>
      <w:r>
        <w:rPr>
          <w:rFonts w:hint="eastAsia"/>
        </w:rPr>
        <w:t>注：本表反映</w:t>
      </w:r>
      <w:r>
        <w:rPr>
          <w:rFonts w:hint="eastAsia"/>
          <w:lang w:val="en-US" w:eastAsia="zh-CN"/>
        </w:rPr>
        <w:t>单位</w:t>
      </w:r>
      <w:r>
        <w:rPr>
          <w:rFonts w:hint="eastAsia"/>
        </w:rPr>
        <w:t>本年度各项支出情况。</w:t>
      </w:r>
    </w:p>
    <w:p/>
    <w:p/>
    <w:p/>
    <w:p/>
    <w:p/>
    <w:p/>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12540" w:firstLineChars="5700"/>
      </w:pPr>
      <w:r>
        <w:rPr>
          <w:rFonts w:hint="eastAsia"/>
          <w:sz w:val="22"/>
          <w:szCs w:val="22"/>
        </w:rPr>
        <w:t>单位：万元</w:t>
      </w:r>
    </w:p>
    <w:tbl>
      <w:tblPr>
        <w:tblStyle w:val="6"/>
        <w:tblpPr w:leftFromText="180" w:rightFromText="180" w:vertAnchor="text" w:horzAnchor="page" w:tblpXSpec="center" w:tblpY="24"/>
        <w:tblOverlap w:val="never"/>
        <w:tblW w:w="13765" w:type="dxa"/>
        <w:jc w:val="center"/>
        <w:tblLayout w:type="fixed"/>
        <w:tblCellMar>
          <w:top w:w="0" w:type="dxa"/>
          <w:left w:w="108" w:type="dxa"/>
          <w:bottom w:w="0" w:type="dxa"/>
          <w:right w:w="108" w:type="dxa"/>
        </w:tblCellMar>
      </w:tblPr>
      <w:tblGrid>
        <w:gridCol w:w="4255"/>
        <w:gridCol w:w="645"/>
        <w:gridCol w:w="1290"/>
        <w:gridCol w:w="2790"/>
        <w:gridCol w:w="750"/>
        <w:gridCol w:w="1410"/>
        <w:gridCol w:w="1309"/>
        <w:gridCol w:w="1316"/>
      </w:tblGrid>
      <w:tr>
        <w:tblPrEx>
          <w:tblCellMar>
            <w:top w:w="0" w:type="dxa"/>
            <w:left w:w="108" w:type="dxa"/>
            <w:bottom w:w="0" w:type="dxa"/>
            <w:right w:w="108" w:type="dxa"/>
          </w:tblCellMar>
        </w:tblPrEx>
        <w:trPr>
          <w:trHeight w:val="300" w:hRule="atLeast"/>
          <w:jc w:val="center"/>
        </w:trPr>
        <w:tc>
          <w:tcPr>
            <w:tcW w:w="619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57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42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9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279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0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4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79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5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3375.73</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一、公共安全支出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3041.43</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tabs>
                <w:tab w:val="left" w:pos="227"/>
              </w:tabs>
              <w:jc w:val="center"/>
              <w:textAlignment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3041.43</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二、社会保障和就业支出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285.82</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285.82</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三、卫生健康支出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187.70</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187.70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90"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四、城乡社区支出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90"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五、住房保障支出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127.82</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127.82</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90"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410" w:type="dxa"/>
            <w:tcBorders>
              <w:top w:val="nil"/>
              <w:left w:val="nil"/>
              <w:bottom w:val="single" w:color="auto" w:sz="4" w:space="0"/>
              <w:right w:val="single" w:color="auto" w:sz="4" w:space="0"/>
            </w:tcBorders>
          </w:tcPr>
          <w:p>
            <w:pPr>
              <w:widowControl/>
              <w:ind w:firstLine="660" w:firstLineChars="300"/>
              <w:jc w:val="center"/>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90"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410" w:type="dxa"/>
            <w:tcBorders>
              <w:top w:val="nil"/>
              <w:left w:val="nil"/>
              <w:bottom w:val="single" w:color="auto" w:sz="4" w:space="0"/>
              <w:right w:val="single" w:color="auto" w:sz="4" w:space="0"/>
            </w:tcBorders>
          </w:tcPr>
          <w:p>
            <w:pPr>
              <w:widowControl/>
              <w:ind w:firstLine="880" w:firstLineChars="400"/>
              <w:jc w:val="center"/>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90"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410" w:type="dxa"/>
            <w:tcBorders>
              <w:top w:val="nil"/>
              <w:left w:val="nil"/>
              <w:bottom w:val="single" w:color="auto" w:sz="4" w:space="0"/>
              <w:right w:val="single" w:color="auto" w:sz="4" w:space="0"/>
            </w:tcBorders>
          </w:tcPr>
          <w:p>
            <w:pPr>
              <w:widowControl/>
              <w:ind w:firstLine="660" w:firstLineChars="300"/>
              <w:jc w:val="center"/>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90"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410" w:type="dxa"/>
            <w:tcBorders>
              <w:top w:val="nil"/>
              <w:left w:val="nil"/>
              <w:bottom w:val="single" w:color="auto" w:sz="4" w:space="0"/>
              <w:right w:val="single" w:color="auto" w:sz="4" w:space="0"/>
            </w:tcBorders>
          </w:tcPr>
          <w:p>
            <w:pPr>
              <w:widowControl/>
              <w:ind w:firstLine="660" w:firstLineChars="300"/>
              <w:jc w:val="center"/>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90"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410" w:type="dxa"/>
            <w:tcBorders>
              <w:top w:val="nil"/>
              <w:left w:val="nil"/>
              <w:bottom w:val="single" w:color="auto" w:sz="4" w:space="0"/>
              <w:right w:val="single" w:color="auto" w:sz="4" w:space="0"/>
            </w:tcBorders>
          </w:tcPr>
          <w:p>
            <w:pPr>
              <w:widowControl/>
              <w:ind w:firstLine="660" w:firstLineChars="300"/>
              <w:jc w:val="center"/>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90"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410" w:type="dxa"/>
            <w:tcBorders>
              <w:top w:val="single" w:color="auto" w:sz="4" w:space="0"/>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vAlign w:val="top"/>
          </w:tcPr>
          <w:p>
            <w:pPr>
              <w:widowControl/>
              <w:ind w:firstLine="660" w:firstLineChars="300"/>
              <w:jc w:val="center"/>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3375.73</w:t>
            </w:r>
          </w:p>
        </w:tc>
        <w:tc>
          <w:tcPr>
            <w:tcW w:w="27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4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3642.78</w:t>
            </w:r>
          </w:p>
        </w:tc>
        <w:tc>
          <w:tcPr>
            <w:tcW w:w="13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3642.78</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510.37</w:t>
            </w:r>
          </w:p>
        </w:tc>
        <w:tc>
          <w:tcPr>
            <w:tcW w:w="27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4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243.33</w:t>
            </w:r>
          </w:p>
        </w:tc>
        <w:tc>
          <w:tcPr>
            <w:tcW w:w="13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243.33</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510.37</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center"/>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97"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center"/>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center"/>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3886.10</w:t>
            </w:r>
          </w:p>
        </w:tc>
        <w:tc>
          <w:tcPr>
            <w:tcW w:w="27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4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3886.10</w:t>
            </w:r>
          </w:p>
        </w:tc>
        <w:tc>
          <w:tcPr>
            <w:tcW w:w="13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3886.10</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p>
        </w:tc>
      </w:tr>
    </w:tbl>
    <w:p>
      <w:pPr>
        <w:jc w:val="right"/>
        <w:rPr>
          <w:sz w:val="22"/>
          <w:szCs w:val="22"/>
        </w:rPr>
      </w:pPr>
    </w:p>
    <w:p>
      <w:r>
        <w:rPr>
          <w:rFonts w:hint="eastAsia"/>
        </w:rPr>
        <w:t>注：本表反映</w:t>
      </w:r>
      <w:r>
        <w:rPr>
          <w:rFonts w:hint="eastAsia"/>
          <w:lang w:val="en-US" w:eastAsia="zh-CN"/>
        </w:rPr>
        <w:t>单位</w:t>
      </w:r>
      <w:r>
        <w:rPr>
          <w:rFonts w:hint="eastAsia"/>
        </w:rPr>
        <w:t>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4032"/>
        <w:gridCol w:w="2445"/>
        <w:gridCol w:w="3060"/>
        <w:gridCol w:w="2659"/>
      </w:tblGrid>
      <w:tr>
        <w:tblPrEx>
          <w:tblCellMar>
            <w:top w:w="0" w:type="dxa"/>
            <w:left w:w="108" w:type="dxa"/>
            <w:bottom w:w="0" w:type="dxa"/>
            <w:right w:w="108" w:type="dxa"/>
          </w:tblCellMar>
        </w:tblPrEx>
        <w:trPr>
          <w:trHeight w:val="300" w:hRule="atLeast"/>
          <w:jc w:val="center"/>
        </w:trPr>
        <w:tc>
          <w:tcPr>
            <w:tcW w:w="53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4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3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6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445"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3060"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659"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3642.78</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1998.96</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1643.81</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公共安全支出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3041.43</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1397.62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1643.81</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法院</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3041.43</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1397.62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1643.81</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1397.62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1397.62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2040502</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102.86</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102.86</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2040504</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案件审判</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574.54</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574.54</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2040505</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案件执行</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73.65</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73.65</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2040506</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“两庭”建设</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329.46</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329.46</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2040599</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其他法院支出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563.3</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563.3</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285.82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285.82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行政事业单位养老支出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285.82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285.82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16.64</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16.64</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179.27</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179.27</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89.91</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89.91</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抚恤</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死亡抚恤</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187.70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187.70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187.70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187.70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行政单位医疗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87.30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87.30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100.41</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100.41</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2101199</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城乡社区支出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城乡社区公共设施</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127.82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127.82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127.82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127.82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住房公积金</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127.82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127.82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2210203</w:t>
            </w:r>
          </w:p>
        </w:tc>
        <w:tc>
          <w:tcPr>
            <w:tcW w:w="4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购房补贴</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p>
        </w:tc>
      </w:tr>
    </w:tbl>
    <w:p/>
    <w:p>
      <w:r>
        <w:rPr>
          <w:rFonts w:hint="eastAsia"/>
        </w:rPr>
        <w:t>注：本表反映</w:t>
      </w:r>
      <w:r>
        <w:rPr>
          <w:rFonts w:hint="eastAsia"/>
          <w:lang w:val="en-US" w:eastAsia="zh-CN"/>
        </w:rPr>
        <w:t>单位</w:t>
      </w:r>
      <w:r>
        <w:rPr>
          <w:rFonts w:hint="eastAsia"/>
        </w:rPr>
        <w:t>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9151" w:type="dxa"/>
        <w:jc w:val="center"/>
        <w:tblLayout w:type="fixed"/>
        <w:tblCellMar>
          <w:top w:w="0" w:type="dxa"/>
          <w:left w:w="108" w:type="dxa"/>
          <w:bottom w:w="0" w:type="dxa"/>
          <w:right w:w="108" w:type="dxa"/>
        </w:tblCellMar>
      </w:tblPr>
      <w:tblGrid>
        <w:gridCol w:w="1231"/>
        <w:gridCol w:w="2805"/>
        <w:gridCol w:w="1230"/>
        <w:gridCol w:w="945"/>
        <w:gridCol w:w="1785"/>
        <w:gridCol w:w="1155"/>
      </w:tblGrid>
      <w:tr>
        <w:tblPrEx>
          <w:tblCellMar>
            <w:top w:w="0" w:type="dxa"/>
            <w:left w:w="108" w:type="dxa"/>
            <w:bottom w:w="0" w:type="dxa"/>
            <w:right w:w="108" w:type="dxa"/>
          </w:tblCellMar>
        </w:tblPrEx>
        <w:trPr>
          <w:trHeight w:val="564" w:hRule="atLeast"/>
          <w:jc w:val="center"/>
        </w:trPr>
        <w:tc>
          <w:tcPr>
            <w:tcW w:w="52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388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1231"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8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3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94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8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5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369"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301</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工资福利支出</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val="0"/>
                <w:bCs w:val="0"/>
                <w:color w:val="000000"/>
                <w:kern w:val="0"/>
                <w:sz w:val="22"/>
                <w:szCs w:val="22"/>
                <w:lang w:val="en-US" w:eastAsia="zh-CN"/>
              </w:rPr>
              <w:t>1599.30</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302</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商品和服务支出</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val="0"/>
                <w:bCs w:val="0"/>
                <w:color w:val="000000"/>
                <w:kern w:val="0"/>
                <w:sz w:val="22"/>
                <w:szCs w:val="22"/>
                <w:lang w:val="en-US" w:eastAsia="zh-CN"/>
              </w:rPr>
              <w:t>382.54</w:t>
            </w:r>
          </w:p>
        </w:tc>
      </w:tr>
      <w:tr>
        <w:tblPrEx>
          <w:tblCellMar>
            <w:top w:w="0" w:type="dxa"/>
            <w:left w:w="108" w:type="dxa"/>
            <w:bottom w:w="0" w:type="dxa"/>
            <w:right w:w="108" w:type="dxa"/>
          </w:tblCellMar>
        </w:tblPrEx>
        <w:trPr>
          <w:trHeight w:val="26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475.87</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41.16</w:t>
            </w:r>
          </w:p>
        </w:tc>
      </w:tr>
      <w:tr>
        <w:tblPrEx>
          <w:tblCellMar>
            <w:top w:w="0" w:type="dxa"/>
            <w:left w:w="108" w:type="dxa"/>
            <w:bottom w:w="0" w:type="dxa"/>
            <w:right w:w="108" w:type="dxa"/>
          </w:tblCellMar>
        </w:tblPrEx>
        <w:trPr>
          <w:trHeight w:val="26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473.52</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4.87</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奖金</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64.57</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03</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04</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0.48</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05</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2.29</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179.27</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06</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14.46</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89.91</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07</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24.70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87.30</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09</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7.94</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30111</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100.41</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211</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差旅</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49.49</w:t>
            </w:r>
          </w:p>
        </w:tc>
      </w:tr>
      <w:tr>
        <w:tblPrEx>
          <w:tblCellMar>
            <w:top w:w="0" w:type="dxa"/>
            <w:left w:w="108" w:type="dxa"/>
            <w:bottom w:w="0" w:type="dxa"/>
            <w:right w:w="108" w:type="dxa"/>
          </w:tblCellMar>
        </w:tblPrEx>
        <w:trPr>
          <w:trHeight w:val="41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0.64</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213</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维修（护）</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8.54</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127.82</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214</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租赁</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230"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215</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会议</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303</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对个人和家庭的补助</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16.77</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216</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培训</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4.97</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30301</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离休费</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cs="Arial"/>
                <w:color w:val="000000"/>
                <w:kern w:val="0"/>
                <w:sz w:val="22"/>
                <w:szCs w:val="22"/>
                <w:lang w:val="en-US"/>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217</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公务接待</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0.35</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30302</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退休费</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11.24</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218</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专用材料费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3.62</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抚恤金</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30224</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被装购置费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30305</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生活补助</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3.62</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30226</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劳务费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0.09</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30306</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救济费</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30227</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30307</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医疗费补助</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30228</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33.13</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奖励金</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30229</w:t>
            </w:r>
          </w:p>
        </w:tc>
        <w:tc>
          <w:tcPr>
            <w:tcW w:w="1785"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福利费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30399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1.92</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30231</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31.83</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30239</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其他交通费用</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97.00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30299</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56.13</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310</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资本性支出</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b/>
                <w:bCs/>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31002</w:t>
            </w:r>
          </w:p>
        </w:tc>
        <w:tc>
          <w:tcPr>
            <w:tcW w:w="1785"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办公设备购置</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31013</w:t>
            </w:r>
          </w:p>
        </w:tc>
        <w:tc>
          <w:tcPr>
            <w:tcW w:w="1785"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公务用车购置</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31099</w:t>
            </w:r>
          </w:p>
        </w:tc>
        <w:tc>
          <w:tcPr>
            <w:tcW w:w="1785"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其他资本性支出</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98" w:hRule="atLeast"/>
          <w:jc w:val="center"/>
        </w:trPr>
        <w:tc>
          <w:tcPr>
            <w:tcW w:w="403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1616.07</w:t>
            </w:r>
          </w:p>
        </w:tc>
        <w:tc>
          <w:tcPr>
            <w:tcW w:w="273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15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382.89</w:t>
            </w:r>
          </w:p>
        </w:tc>
      </w:tr>
    </w:tbl>
    <w:p>
      <w:p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w:t>
      </w:r>
      <w:r>
        <w:rPr>
          <w:rFonts w:hint="eastAsia"/>
          <w:lang w:val="en-US" w:eastAsia="zh-CN"/>
        </w:rPr>
        <w:t>单位</w:t>
      </w:r>
      <w:r>
        <w:rPr>
          <w:rFonts w:hint="eastAsia"/>
        </w:rPr>
        <w:t>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1096"/>
        <w:gridCol w:w="1200"/>
        <w:gridCol w:w="1170"/>
        <w:gridCol w:w="1036"/>
        <w:gridCol w:w="1242"/>
        <w:gridCol w:w="1216"/>
        <w:gridCol w:w="1066"/>
        <w:gridCol w:w="1300"/>
        <w:gridCol w:w="995"/>
        <w:gridCol w:w="1209"/>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10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0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4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10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0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0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0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1096"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7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3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9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97.94</w:t>
            </w:r>
          </w:p>
        </w:tc>
        <w:tc>
          <w:tcPr>
            <w:tcW w:w="1200" w:type="dxa"/>
            <w:tcBorders>
              <w:top w:val="nil"/>
              <w:left w:val="nil"/>
              <w:bottom w:val="single" w:color="auto" w:sz="4" w:space="0"/>
              <w:right w:val="single" w:color="auto" w:sz="4" w:space="0"/>
            </w:tcBorders>
            <w:vAlign w:val="center"/>
          </w:tcPr>
          <w:p>
            <w:pPr>
              <w:widowControl/>
              <w:jc w:val="center"/>
              <w:rPr>
                <w:rFonts w:hint="eastAsia" w:ascii="宋体" w:hAnsi="宋体" w:cs="Arial"/>
                <w:kern w:val="0"/>
                <w:sz w:val="22"/>
                <w:szCs w:val="22"/>
              </w:rPr>
            </w:pPr>
          </w:p>
        </w:tc>
        <w:tc>
          <w:tcPr>
            <w:tcW w:w="1170" w:type="dxa"/>
            <w:tcBorders>
              <w:top w:val="nil"/>
              <w:left w:val="nil"/>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96.99</w:t>
            </w:r>
          </w:p>
        </w:tc>
        <w:tc>
          <w:tcPr>
            <w:tcW w:w="1036" w:type="dxa"/>
            <w:tcBorders>
              <w:top w:val="nil"/>
              <w:left w:val="nil"/>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64.35</w:t>
            </w:r>
          </w:p>
        </w:tc>
        <w:tc>
          <w:tcPr>
            <w:tcW w:w="1242" w:type="dxa"/>
            <w:tcBorders>
              <w:top w:val="nil"/>
              <w:left w:val="nil"/>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32.64</w:t>
            </w:r>
          </w:p>
        </w:tc>
        <w:tc>
          <w:tcPr>
            <w:tcW w:w="1216" w:type="dxa"/>
            <w:tcBorders>
              <w:top w:val="nil"/>
              <w:left w:val="nil"/>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0.95</w:t>
            </w:r>
          </w:p>
        </w:tc>
        <w:tc>
          <w:tcPr>
            <w:tcW w:w="1066" w:type="dxa"/>
            <w:tcBorders>
              <w:top w:val="nil"/>
              <w:left w:val="nil"/>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97.34</w:t>
            </w:r>
          </w:p>
        </w:tc>
        <w:tc>
          <w:tcPr>
            <w:tcW w:w="1300" w:type="dxa"/>
            <w:tcBorders>
              <w:top w:val="nil"/>
              <w:left w:val="nil"/>
              <w:bottom w:val="single" w:color="auto" w:sz="4" w:space="0"/>
              <w:right w:val="single" w:color="auto" w:sz="4" w:space="0"/>
            </w:tcBorders>
            <w:vAlign w:val="center"/>
          </w:tcPr>
          <w:p>
            <w:pPr>
              <w:widowControl/>
              <w:jc w:val="center"/>
              <w:rPr>
                <w:rFonts w:hint="eastAsia" w:ascii="宋体" w:hAnsi="宋体" w:cs="Arial"/>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96.99</w:t>
            </w:r>
          </w:p>
        </w:tc>
        <w:tc>
          <w:tcPr>
            <w:tcW w:w="1209" w:type="dxa"/>
            <w:tcBorders>
              <w:top w:val="nil"/>
              <w:left w:val="nil"/>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64.35</w:t>
            </w:r>
          </w:p>
        </w:tc>
        <w:tc>
          <w:tcPr>
            <w:tcW w:w="1208" w:type="dxa"/>
            <w:tcBorders>
              <w:top w:val="nil"/>
              <w:left w:val="nil"/>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32.64</w:t>
            </w:r>
          </w:p>
        </w:tc>
        <w:tc>
          <w:tcPr>
            <w:tcW w:w="1183" w:type="dxa"/>
            <w:tcBorders>
              <w:top w:val="nil"/>
              <w:left w:val="nil"/>
              <w:bottom w:val="single" w:color="auto" w:sz="4" w:space="0"/>
              <w:right w:val="single" w:color="auto" w:sz="4" w:space="0"/>
            </w:tcBorders>
            <w:vAlign w:val="center"/>
          </w:tcPr>
          <w:p>
            <w:pPr>
              <w:widowControl/>
              <w:jc w:val="center"/>
              <w:rPr>
                <w:rFonts w:hint="default" w:ascii="宋体" w:hAnsi="宋体" w:cs="Arial"/>
                <w:kern w:val="0"/>
                <w:sz w:val="22"/>
                <w:szCs w:val="22"/>
                <w:lang w:val="en-US" w:eastAsia="zh-CN"/>
              </w:rPr>
            </w:pPr>
            <w:r>
              <w:rPr>
                <w:rFonts w:hint="eastAsia" w:ascii="宋体" w:hAnsi="宋体" w:cs="Arial"/>
                <w:kern w:val="0"/>
                <w:sz w:val="22"/>
                <w:szCs w:val="22"/>
                <w:lang w:val="en-US" w:eastAsia="zh-CN"/>
              </w:rPr>
              <w:t>0.35</w:t>
            </w:r>
          </w:p>
        </w:tc>
      </w:tr>
    </w:tbl>
    <w:p>
      <w:p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w:t>
      </w:r>
      <w:r>
        <w:rPr>
          <w:rFonts w:hint="eastAsia"/>
          <w:lang w:val="en-US" w:eastAsia="zh-CN"/>
        </w:rPr>
        <w:t>单位</w:t>
      </w:r>
      <w:r>
        <w:rPr>
          <w:rFonts w:hint="eastAsia"/>
        </w:rPr>
        <w:t>本年度“三公”经费支出预决算情况。其中，2020年度预算数为“三公”经费年初预算数，决算数是包括当年一般公共预算财政拨款和以前年度结转资金安排的实际支出。</w:t>
      </w:r>
    </w:p>
    <w:p/>
    <w:p/>
    <w:tbl>
      <w:tblPr>
        <w:tblStyle w:val="6"/>
        <w:tblW w:w="12480" w:type="dxa"/>
        <w:jc w:val="center"/>
        <w:tblLayout w:type="fixed"/>
        <w:tblCellMar>
          <w:top w:w="0" w:type="dxa"/>
          <w:left w:w="108" w:type="dxa"/>
          <w:bottom w:w="0" w:type="dxa"/>
          <w:right w:w="108" w:type="dxa"/>
        </w:tblCellMar>
      </w:tblPr>
      <w:tblGrid>
        <w:gridCol w:w="1040"/>
        <w:gridCol w:w="1615"/>
        <w:gridCol w:w="840"/>
        <w:gridCol w:w="975"/>
        <w:gridCol w:w="1065"/>
        <w:gridCol w:w="915"/>
        <w:gridCol w:w="90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615" w:type="dxa"/>
            <w:tcBorders>
              <w:top w:val="nil"/>
              <w:left w:val="nil"/>
              <w:bottom w:val="nil"/>
              <w:right w:val="nil"/>
            </w:tcBorders>
            <w:vAlign w:val="bottom"/>
          </w:tcPr>
          <w:p>
            <w:pPr>
              <w:widowControl/>
              <w:jc w:val="left"/>
              <w:rPr>
                <w:rFonts w:ascii="仿宋_GB2312" w:hAnsi="宋体" w:cs="宋体"/>
                <w:kern w:val="0"/>
                <w:sz w:val="24"/>
              </w:rPr>
            </w:pPr>
          </w:p>
        </w:tc>
        <w:tc>
          <w:tcPr>
            <w:tcW w:w="840" w:type="dxa"/>
            <w:tcBorders>
              <w:top w:val="nil"/>
              <w:left w:val="nil"/>
              <w:bottom w:val="nil"/>
              <w:right w:val="nil"/>
            </w:tcBorders>
            <w:vAlign w:val="bottom"/>
          </w:tcPr>
          <w:p>
            <w:pPr>
              <w:widowControl/>
              <w:jc w:val="left"/>
              <w:rPr>
                <w:rFonts w:ascii="仿宋_GB2312" w:hAnsi="宋体" w:cs="宋体"/>
                <w:kern w:val="0"/>
                <w:sz w:val="24"/>
              </w:rPr>
            </w:pPr>
          </w:p>
        </w:tc>
        <w:tc>
          <w:tcPr>
            <w:tcW w:w="975" w:type="dxa"/>
            <w:tcBorders>
              <w:top w:val="nil"/>
              <w:left w:val="nil"/>
              <w:bottom w:val="nil"/>
              <w:right w:val="nil"/>
            </w:tcBorders>
            <w:vAlign w:val="bottom"/>
          </w:tcPr>
          <w:p>
            <w:pPr>
              <w:widowControl/>
              <w:jc w:val="left"/>
              <w:rPr>
                <w:rFonts w:ascii="仿宋_GB2312" w:hAnsi="宋体" w:cs="宋体"/>
                <w:kern w:val="0"/>
                <w:sz w:val="24"/>
              </w:rPr>
            </w:pPr>
          </w:p>
        </w:tc>
        <w:tc>
          <w:tcPr>
            <w:tcW w:w="1065" w:type="dxa"/>
            <w:tcBorders>
              <w:top w:val="nil"/>
              <w:left w:val="nil"/>
              <w:bottom w:val="nil"/>
              <w:right w:val="nil"/>
            </w:tcBorders>
            <w:vAlign w:val="bottom"/>
          </w:tcPr>
          <w:p>
            <w:pPr>
              <w:widowControl/>
              <w:jc w:val="left"/>
              <w:rPr>
                <w:rFonts w:ascii="仿宋_GB2312" w:hAnsi="宋体" w:cs="宋体"/>
                <w:kern w:val="0"/>
                <w:sz w:val="24"/>
              </w:rPr>
            </w:pPr>
          </w:p>
        </w:tc>
        <w:tc>
          <w:tcPr>
            <w:tcW w:w="915" w:type="dxa"/>
            <w:tcBorders>
              <w:top w:val="nil"/>
              <w:left w:val="nil"/>
              <w:bottom w:val="nil"/>
              <w:right w:val="nil"/>
            </w:tcBorders>
            <w:vAlign w:val="bottom"/>
          </w:tcPr>
          <w:p>
            <w:pPr>
              <w:widowControl/>
              <w:jc w:val="left"/>
              <w:rPr>
                <w:rFonts w:ascii="仿宋_GB2312" w:hAnsi="宋体" w:cs="宋体"/>
                <w:kern w:val="0"/>
                <w:sz w:val="24"/>
              </w:rPr>
            </w:pPr>
          </w:p>
        </w:tc>
        <w:tc>
          <w:tcPr>
            <w:tcW w:w="90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915"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29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840"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975"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65"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915"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9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285" w:hRule="atLeast"/>
          <w:jc w:val="center"/>
        </w:trPr>
        <w:tc>
          <w:tcPr>
            <w:tcW w:w="26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8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16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16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w:t>
      </w:r>
      <w:r>
        <w:rPr>
          <w:rFonts w:hint="eastAsia"/>
          <w:lang w:val="en-US" w:eastAsia="zh-CN"/>
        </w:rPr>
        <w:t>单位</w:t>
      </w:r>
      <w:r>
        <w:rPr>
          <w:rFonts w:hint="eastAsia"/>
        </w:rPr>
        <w:t>本年度政府性基金预算财政拨款收入支出及结转和结余情况。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eastAsia="仿宋_GB2312" w:cs="仿宋_GB2312"/>
          <w:bCs/>
          <w:kern w:val="0"/>
          <w:sz w:val="32"/>
          <w:szCs w:val="32"/>
          <w:lang w:val="en-US" w:eastAsia="zh-CN"/>
        </w:rPr>
        <w:t>柳江区人民</w:t>
      </w:r>
      <w:r>
        <w:rPr>
          <w:rFonts w:hint="eastAsia" w:ascii="仿宋_GB2312" w:eastAsia="仿宋_GB2312" w:cs="仿宋_GB2312"/>
          <w:bCs/>
          <w:kern w:val="0"/>
          <w:sz w:val="32"/>
          <w:szCs w:val="32"/>
          <w:lang w:eastAsia="zh-CN"/>
        </w:rPr>
        <w:t>法院</w:t>
      </w:r>
      <w:r>
        <w:rPr>
          <w:rFonts w:hint="eastAsia" w:ascii="仿宋_GB2312" w:eastAsia="仿宋_GB2312" w:cs="仿宋_GB2312"/>
          <w:bCs/>
          <w:kern w:val="0"/>
          <w:sz w:val="32"/>
          <w:szCs w:val="32"/>
        </w:rPr>
        <w:t>没</w:t>
      </w:r>
      <w:r>
        <w:rPr>
          <w:rFonts w:hint="eastAsia" w:ascii="仿宋_GB2312" w:hAnsi="Times New Roman" w:eastAsia="仿宋_GB2312" w:cs="仿宋_GB2312"/>
          <w:bCs/>
          <w:kern w:val="0"/>
          <w:sz w:val="32"/>
          <w:szCs w:val="32"/>
        </w:rPr>
        <w:t>有政府性基金预算财政拨款收</w:t>
      </w:r>
      <w:r>
        <w:rPr>
          <w:rFonts w:hint="eastAsia" w:ascii="仿宋_GB2312" w:eastAsia="仿宋_GB2312" w:cs="仿宋_GB2312"/>
          <w:bCs/>
          <w:kern w:val="0"/>
          <w:sz w:val="32"/>
          <w:szCs w:val="32"/>
        </w:rPr>
        <w:t>入，也没有</w:t>
      </w:r>
      <w:r>
        <w:rPr>
          <w:rFonts w:hint="eastAsia" w:ascii="仿宋_GB2312" w:hAnsi="Times New Roman" w:eastAsia="仿宋_GB2312" w:cs="仿宋_GB2312"/>
          <w:bCs/>
          <w:kern w:val="0"/>
          <w:sz w:val="32"/>
          <w:szCs w:val="32"/>
        </w:rPr>
        <w:t>政府性基金预算财政拨款安</w:t>
      </w:r>
      <w:r>
        <w:rPr>
          <w:rFonts w:hint="eastAsia" w:ascii="仿宋_GB2312" w:eastAsia="仿宋_GB2312" w:cs="仿宋_GB2312"/>
          <w:bCs/>
          <w:kern w:val="0"/>
          <w:sz w:val="32"/>
          <w:szCs w:val="32"/>
        </w:rPr>
        <w:t>排的支出，故本表无数据</w:t>
      </w:r>
      <w:r>
        <w:rPr>
          <w:rFonts w:hint="eastAsia" w:ascii="仿宋_GB2312" w:eastAsia="仿宋_GB2312" w:cs="仿宋_GB2312"/>
          <w:bCs/>
          <w:kern w:val="0"/>
          <w:sz w:val="32"/>
          <w:szCs w:val="32"/>
          <w:lang w:eastAsia="zh-CN"/>
        </w:rPr>
        <w:t>。</w:t>
      </w:r>
    </w:p>
    <w:p>
      <w:pPr>
        <w:spacing w:line="560" w:lineRule="exact"/>
        <w:rPr>
          <w:rFonts w:hint="eastAsia"/>
        </w:rPr>
      </w:pPr>
    </w:p>
    <w:tbl>
      <w:tblPr>
        <w:tblStyle w:val="6"/>
        <w:tblW w:w="13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bookmarkStart w:id="0" w:name="_GoBack"/>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jc w:val="center"/>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2"/>
                <w:highlight w:val="none"/>
                <w:lang w:val="en-US" w:eastAsia="zh-CN" w:bidi="ar"/>
              </w:rPr>
              <w:t xml:space="preserve">   </w:t>
            </w:r>
            <w:r>
              <w:rPr>
                <w:rStyle w:val="13"/>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jc w:val="center"/>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w:t>
            </w:r>
            <w:r>
              <w:rPr>
                <w:rFonts w:hint="eastAsia" w:ascii="宋体" w:hAnsi="宋体" w:cs="宋体"/>
                <w:i w:val="0"/>
                <w:color w:val="000000"/>
                <w:kern w:val="0"/>
                <w:sz w:val="24"/>
                <w:szCs w:val="24"/>
                <w:highlight w:val="none"/>
                <w:u w:val="none"/>
                <w:lang w:val="en-US" w:eastAsia="zh-CN" w:bidi="ar"/>
              </w:rPr>
              <w:t>单位</w:t>
            </w:r>
            <w:r>
              <w:rPr>
                <w:rFonts w:hint="eastAsia" w:ascii="宋体" w:hAnsi="宋体" w:eastAsia="宋体" w:cs="宋体"/>
                <w:i w:val="0"/>
                <w:color w:val="000000"/>
                <w:kern w:val="0"/>
                <w:sz w:val="24"/>
                <w:szCs w:val="24"/>
                <w:highlight w:val="none"/>
                <w:u w:val="none"/>
                <w:lang w:val="en-US" w:eastAsia="zh-CN" w:bidi="ar"/>
              </w:rPr>
              <w:t>本年度国有资本经营预算财政拨款支出情况。</w:t>
            </w:r>
          </w:p>
        </w:tc>
      </w:tr>
      <w:bookmarkEnd w:id="0"/>
    </w:tbl>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eastAsia="仿宋_GB2312" w:cs="仿宋_GB2312"/>
          <w:bCs/>
          <w:kern w:val="0"/>
          <w:sz w:val="32"/>
          <w:szCs w:val="32"/>
          <w:lang w:val="en-US" w:eastAsia="zh-CN"/>
        </w:rPr>
        <w:t>柳江区人民</w:t>
      </w:r>
      <w:r>
        <w:rPr>
          <w:rFonts w:hint="eastAsia" w:ascii="仿宋_GB2312" w:eastAsia="仿宋_GB2312" w:cs="仿宋_GB2312"/>
          <w:bCs/>
          <w:kern w:val="0"/>
          <w:sz w:val="32"/>
          <w:szCs w:val="32"/>
          <w:lang w:eastAsia="zh-CN"/>
        </w:rPr>
        <w:t>法院</w:t>
      </w:r>
      <w:r>
        <w:rPr>
          <w:rFonts w:hint="eastAsia" w:ascii="仿宋_GB2312" w:eastAsia="仿宋_GB2312" w:cs="仿宋_GB2312"/>
          <w:bCs/>
          <w:kern w:val="0"/>
          <w:sz w:val="32"/>
          <w:szCs w:val="32"/>
        </w:rPr>
        <w:t>没有</w:t>
      </w:r>
      <w:r>
        <w:rPr>
          <w:rFonts w:hint="eastAsia" w:ascii="仿宋_GB2312" w:eastAsia="仿宋_GB2312" w:cs="仿宋_GB2312"/>
          <w:bCs/>
          <w:kern w:val="0"/>
          <w:sz w:val="32"/>
          <w:szCs w:val="32"/>
          <w:lang w:val="en-US" w:eastAsia="zh-CN"/>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cs="仿宋_GB2312"/>
          <w:bCs/>
          <w:kern w:val="0"/>
          <w:sz w:val="32"/>
          <w:szCs w:val="32"/>
          <w:lang w:val="en-US" w:eastAsia="zh-CN"/>
        </w:rPr>
        <w:t>国有资本经营预算财政拨款</w:t>
      </w:r>
      <w:r>
        <w:rPr>
          <w:rFonts w:hint="eastAsia" w:ascii="仿宋_GB2312" w:eastAsia="仿宋_GB2312" w:cs="仿宋_GB2312"/>
          <w:bCs/>
          <w:kern w:val="0"/>
          <w:sz w:val="32"/>
          <w:szCs w:val="32"/>
        </w:rPr>
        <w:t>安排的支出，故本表无数据</w:t>
      </w:r>
      <w:r>
        <w:rPr>
          <w:rFonts w:hint="eastAsia" w:ascii="仿宋_GB2312" w:eastAsia="仿宋_GB2312" w:cs="仿宋_GB2312"/>
          <w:bCs/>
          <w:kern w:val="0"/>
          <w:sz w:val="32"/>
          <w:szCs w:val="32"/>
          <w:lang w:eastAsia="zh-CN"/>
        </w:rPr>
        <w:t>。</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柳江区人民法院</w:t>
      </w:r>
      <w:r>
        <w:rPr>
          <w:rFonts w:hint="eastAsia" w:ascii="仿宋_GB2312" w:eastAsia="仿宋_GB2312"/>
          <w:b/>
          <w:sz w:val="32"/>
          <w:szCs w:val="32"/>
        </w:rPr>
        <w:t>2020年度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default" w:ascii="仿宋_GB2312" w:eastAsia="仿宋_GB2312" w:cs="仿宋_GB2312"/>
          <w:bCs/>
          <w:color w:val="FF0000"/>
          <w:kern w:val="0"/>
          <w:sz w:val="32"/>
          <w:szCs w:val="32"/>
          <w:lang w:val="en-US" w:eastAsia="zh-CN"/>
        </w:rPr>
      </w:pPr>
      <w:r>
        <w:rPr>
          <w:rFonts w:hint="eastAsia" w:ascii="仿宋_GB2312" w:eastAsia="仿宋_GB2312" w:cs="仿宋_GB2312"/>
          <w:bCs/>
          <w:color w:val="auto"/>
          <w:kern w:val="0"/>
          <w:sz w:val="32"/>
          <w:szCs w:val="32"/>
        </w:rPr>
        <w:t>2020年度收入总计</w:t>
      </w:r>
      <w:r>
        <w:rPr>
          <w:rFonts w:hint="eastAsia" w:ascii="仿宋_GB2312" w:eastAsia="仿宋_GB2312" w:cs="仿宋_GB2312"/>
          <w:bCs/>
          <w:color w:val="auto"/>
          <w:kern w:val="0"/>
          <w:sz w:val="32"/>
          <w:szCs w:val="32"/>
          <w:lang w:val="en-US" w:eastAsia="zh-CN"/>
        </w:rPr>
        <w:t>5436.54</w:t>
      </w:r>
      <w:r>
        <w:rPr>
          <w:rFonts w:hint="eastAsia" w:ascii="仿宋_GB2312" w:eastAsia="仿宋_GB2312" w:cs="仿宋_GB2312"/>
          <w:bCs/>
          <w:color w:val="auto"/>
          <w:kern w:val="0"/>
          <w:sz w:val="32"/>
          <w:szCs w:val="32"/>
        </w:rPr>
        <w:t>万元，支出总计</w:t>
      </w:r>
      <w:r>
        <w:rPr>
          <w:rFonts w:hint="eastAsia" w:ascii="仿宋_GB2312" w:eastAsia="仿宋_GB2312" w:cs="仿宋_GB2312"/>
          <w:bCs/>
          <w:color w:val="auto"/>
          <w:kern w:val="0"/>
          <w:sz w:val="32"/>
          <w:szCs w:val="32"/>
          <w:lang w:val="en-US" w:eastAsia="zh-CN"/>
        </w:rPr>
        <w:t>5552.52</w:t>
      </w:r>
      <w:r>
        <w:rPr>
          <w:rFonts w:hint="eastAsia" w:ascii="仿宋_GB2312" w:eastAsia="仿宋_GB2312" w:cs="仿宋_GB2312"/>
          <w:bCs/>
          <w:color w:val="auto"/>
          <w:kern w:val="0"/>
          <w:sz w:val="32"/>
          <w:szCs w:val="32"/>
        </w:rPr>
        <w:t>万元，与2019年相比，收</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支分别增加1354.49万元、1304.9万元，分别增长33.18%</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30.72</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增长的主要原因是本年有柳江区拨款的新建审判业务法庭项目建设费用。</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5436.54</w:t>
      </w:r>
      <w:r>
        <w:rPr>
          <w:rFonts w:hint="eastAsia" w:ascii="仿宋_GB2312" w:eastAsia="仿宋_GB2312" w:cs="仿宋_GB2312"/>
          <w:bCs/>
          <w:kern w:val="0"/>
          <w:sz w:val="32"/>
          <w:szCs w:val="32"/>
        </w:rPr>
        <w:t>万元，其中：一般公共预算财政拨款收入</w:t>
      </w:r>
      <w:r>
        <w:rPr>
          <w:rFonts w:hint="eastAsia" w:ascii="仿宋_GB2312" w:eastAsia="仿宋_GB2312" w:cs="仿宋_GB2312"/>
          <w:bCs/>
          <w:kern w:val="0"/>
          <w:sz w:val="32"/>
          <w:szCs w:val="32"/>
          <w:lang w:val="en-US" w:eastAsia="zh-CN"/>
        </w:rPr>
        <w:t>3375.73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62.09%</w:t>
      </w:r>
      <w:r>
        <w:rPr>
          <w:rFonts w:hint="eastAsia" w:ascii="仿宋_GB2312" w:eastAsia="仿宋_GB2312" w:cs="仿宋_GB2312"/>
          <w:bCs/>
          <w:kern w:val="0"/>
          <w:sz w:val="32"/>
          <w:szCs w:val="32"/>
        </w:rPr>
        <w:t> ；其他收入</w:t>
      </w:r>
      <w:r>
        <w:rPr>
          <w:rFonts w:hint="eastAsia" w:ascii="仿宋_GB2312" w:eastAsia="仿宋_GB2312" w:cs="仿宋_GB2312"/>
          <w:bCs/>
          <w:kern w:val="0"/>
          <w:sz w:val="32"/>
          <w:szCs w:val="32"/>
          <w:lang w:val="en-US" w:eastAsia="zh-CN"/>
        </w:rPr>
        <w:t>2060.81</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37.91%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5552.52</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2029.48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36.55</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3523.04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63.45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2020年度财政拨款收、支总决算</w:t>
      </w:r>
      <w:r>
        <w:rPr>
          <w:rFonts w:hint="eastAsia" w:ascii="仿宋_GB2312" w:eastAsia="仿宋_GB2312" w:cs="仿宋_GB2312"/>
          <w:bCs/>
          <w:color w:val="auto"/>
          <w:kern w:val="0"/>
          <w:sz w:val="32"/>
          <w:szCs w:val="32"/>
          <w:lang w:val="en-US" w:eastAsia="zh-CN"/>
        </w:rPr>
        <w:t>3375.73</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3642.78</w:t>
      </w:r>
      <w:r>
        <w:rPr>
          <w:rFonts w:hint="eastAsia" w:ascii="仿宋_GB2312" w:eastAsia="仿宋_GB2312" w:cs="仿宋_GB2312"/>
          <w:bCs/>
          <w:color w:val="auto"/>
          <w:kern w:val="0"/>
          <w:sz w:val="32"/>
          <w:szCs w:val="32"/>
        </w:rPr>
        <w:t>万元。与2019年相比，财政拨款收</w:t>
      </w:r>
      <w:r>
        <w:rPr>
          <w:rFonts w:hint="eastAsia" w:ascii="仿宋_GB2312" w:eastAsia="仿宋_GB2312" w:cs="仿宋_GB2312"/>
          <w:bCs/>
          <w:color w:val="auto"/>
          <w:kern w:val="0"/>
          <w:sz w:val="32"/>
          <w:szCs w:val="32"/>
          <w:lang w:val="en-US" w:eastAsia="zh-CN"/>
        </w:rPr>
        <w:t>入减少706.32万元，下降17.30%</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财政拨款支</w:t>
      </w:r>
      <w:r>
        <w:rPr>
          <w:rFonts w:hint="eastAsia" w:ascii="仿宋_GB2312" w:eastAsia="仿宋_GB2312" w:cs="仿宋_GB2312"/>
          <w:bCs/>
          <w:color w:val="auto"/>
          <w:kern w:val="0"/>
          <w:sz w:val="32"/>
          <w:szCs w:val="32"/>
          <w:lang w:val="en-US" w:eastAsia="zh-CN"/>
        </w:rPr>
        <w:t>出减少604.84万元，下降14.24</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3642.78</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65.61</w:t>
      </w:r>
      <w:r>
        <w:rPr>
          <w:rFonts w:hint="eastAsia" w:ascii="仿宋_GB2312" w:eastAsia="仿宋_GB2312" w:cs="仿宋_GB2312"/>
          <w:bCs/>
          <w:kern w:val="0"/>
          <w:sz w:val="32"/>
          <w:szCs w:val="32"/>
        </w:rPr>
        <w:t>%。</w:t>
      </w:r>
      <w:r>
        <w:rPr>
          <w:rFonts w:hint="eastAsia" w:ascii="仿宋_GB2312" w:eastAsia="仿宋_GB2312" w:cs="仿宋_GB2312"/>
          <w:bCs/>
          <w:color w:val="auto"/>
          <w:kern w:val="0"/>
          <w:sz w:val="32"/>
          <w:szCs w:val="32"/>
        </w:rPr>
        <w:t>与2019年相比，财政拨款支</w:t>
      </w:r>
      <w:r>
        <w:rPr>
          <w:rFonts w:hint="eastAsia" w:ascii="仿宋_GB2312" w:eastAsia="仿宋_GB2312" w:cs="仿宋_GB2312"/>
          <w:bCs/>
          <w:color w:val="auto"/>
          <w:kern w:val="0"/>
          <w:sz w:val="32"/>
          <w:szCs w:val="32"/>
          <w:lang w:val="en-US" w:eastAsia="zh-CN"/>
        </w:rPr>
        <w:t>出减少604.84万元，下降14.24</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3642.78</w:t>
      </w:r>
      <w:r>
        <w:rPr>
          <w:rFonts w:hint="eastAsia" w:ascii="仿宋_GB2312" w:eastAsia="仿宋_GB2312" w:cs="仿宋_GB2312"/>
          <w:bCs/>
          <w:kern w:val="0"/>
          <w:sz w:val="32"/>
          <w:szCs w:val="32"/>
        </w:rPr>
        <w:t>万元，主要用于以下方面：</w:t>
      </w:r>
      <w:r>
        <w:rPr>
          <w:rFonts w:hint="eastAsia" w:ascii="仿宋_GB2312" w:eastAsia="仿宋_GB2312" w:cs="仿宋_GB2312"/>
          <w:bCs/>
          <w:kern w:val="0"/>
          <w:sz w:val="32"/>
          <w:szCs w:val="32"/>
          <w:lang w:val="en-US" w:eastAsia="zh-CN"/>
        </w:rPr>
        <w:t>公共安全支出</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3041.43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83.49</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285.82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7.85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187.7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5.15</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127.82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3.51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3642.78</w:t>
      </w:r>
      <w:r>
        <w:rPr>
          <w:rFonts w:hint="eastAsia" w:ascii="仿宋_GB2312" w:eastAsia="仿宋_GB2312" w:cs="仿宋_GB2312"/>
          <w:bCs/>
          <w:kern w:val="0"/>
          <w:sz w:val="32"/>
          <w:szCs w:val="32"/>
        </w:rPr>
        <w:t>万元。决算数大于预算数的主要原因</w:t>
      </w:r>
      <w:r>
        <w:rPr>
          <w:rFonts w:hint="eastAsia" w:ascii="仿宋_GB2312" w:eastAsia="仿宋_GB2312" w:cs="仿宋_GB2312"/>
          <w:bCs/>
          <w:kern w:val="0"/>
          <w:sz w:val="32"/>
          <w:szCs w:val="32"/>
          <w:lang w:val="en-US" w:eastAsia="zh-CN"/>
        </w:rPr>
        <w:t>是</w:t>
      </w:r>
      <w:r>
        <w:rPr>
          <w:rFonts w:hint="eastAsia" w:ascii="仿宋_GB2312" w:eastAsia="仿宋_GB2312" w:cs="仿宋_GB2312"/>
          <w:bCs/>
          <w:kern w:val="0"/>
          <w:sz w:val="32"/>
          <w:szCs w:val="32"/>
        </w:rPr>
        <w:t>部分支出按规定，通过使用以前年度财政拨款结转资金解决。</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（款）行政运行（项）。年初预算为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1397.62</w:t>
      </w:r>
      <w:r>
        <w:rPr>
          <w:rFonts w:hint="eastAsia" w:ascii="仿宋_GB2312" w:eastAsia="仿宋_GB2312" w:cs="仿宋_GB2312"/>
          <w:bCs/>
          <w:kern w:val="0"/>
          <w:sz w:val="32"/>
          <w:szCs w:val="32"/>
        </w:rPr>
        <w:t>元。决算数小于预算数的主要原因是</w:t>
      </w:r>
      <w:r>
        <w:rPr>
          <w:rFonts w:hint="eastAsia" w:ascii="仿宋_GB2312" w:eastAsia="仿宋_GB2312" w:cs="仿宋_GB2312"/>
          <w:bCs/>
          <w:kern w:val="0"/>
          <w:sz w:val="32"/>
          <w:szCs w:val="32"/>
          <w:lang w:val="en-US" w:eastAsia="zh-CN"/>
        </w:rPr>
        <w:t>本年度有人员调动和人员退休使经费支出减少；另一方面是司法绩效本年度还未出考核结果所以司改绩效奖励无法使用完。</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（款）一般行政管理事务（项）。年初预算为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102.86</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val="en-US" w:eastAsia="zh-CN"/>
        </w:rPr>
        <w:t>大于</w:t>
      </w:r>
      <w:r>
        <w:rPr>
          <w:rFonts w:hint="eastAsia" w:ascii="仿宋_GB2312" w:eastAsia="仿宋_GB2312" w:cs="仿宋_GB2312"/>
          <w:bCs/>
          <w:kern w:val="0"/>
          <w:sz w:val="32"/>
          <w:szCs w:val="32"/>
        </w:rPr>
        <w:t>预算数的主要原因是部分支出按规定，通过使用以前年度财政拨款结转资金解决。</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3.</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案件审判</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574.54</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转移支付资金业务装备款项目未安装建设完成所以未能支付全部的项目经费；部分资金因下达时间较晚，按资金使用进度未能使用完。</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sz w:val="32"/>
          <w:szCs w:val="32"/>
          <w:highlight w:val="none"/>
          <w:lang w:val="en-US" w:eastAsia="zh-CN"/>
        </w:rPr>
        <w:t>4.</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案件执行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73.65</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法警工作日之外加班补贴按实际加班天数发放</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sz w:val="32"/>
          <w:szCs w:val="32"/>
          <w:highlight w:val="none"/>
          <w:lang w:val="en-US" w:eastAsia="zh-CN"/>
        </w:rPr>
        <w:t>5.</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两庭</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建设</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329.46</w:t>
      </w:r>
      <w:r>
        <w:rPr>
          <w:rFonts w:hint="eastAsia" w:ascii="仿宋_GB2312" w:eastAsia="仿宋_GB2312" w:cs="仿宋_GB2312"/>
          <w:bCs/>
          <w:kern w:val="0"/>
          <w:sz w:val="32"/>
          <w:szCs w:val="32"/>
        </w:rPr>
        <w:t>万元。决算数大于预算数的主要原因是部分支出按规定，通过使用以前年度财政拨款结转资金解决。</w:t>
      </w:r>
    </w:p>
    <w:p>
      <w:pPr>
        <w:autoSpaceDE w:val="0"/>
        <w:autoSpaceDN w:val="0"/>
        <w:adjustRightInd w:val="0"/>
        <w:spacing w:line="580" w:lineRule="exact"/>
        <w:ind w:firstLine="640" w:firstLineChars="200"/>
        <w:jc w:val="left"/>
        <w:rPr>
          <w:rFonts w:hint="default" w:ascii="仿宋_GB2312" w:hAnsi="Times New Roman"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其他法院支出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563.30</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下半年地方法院诉讼费统筹补助及市级追加的部分经费下达时间较</w:t>
      </w:r>
      <w:r>
        <w:rPr>
          <w:rFonts w:hint="eastAsia" w:ascii="仿宋_GB2312" w:hAnsi="Times New Roman" w:eastAsia="仿宋_GB2312" w:cs="仿宋_GB2312"/>
          <w:bCs/>
          <w:kern w:val="0"/>
          <w:sz w:val="32"/>
          <w:szCs w:val="32"/>
          <w:lang w:val="en-US" w:eastAsia="zh-CN"/>
        </w:rPr>
        <w:t>晚未能使用完。</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sz w:val="32"/>
          <w:szCs w:val="32"/>
          <w:highlight w:val="none"/>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行政单位离退休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16.64</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sz w:val="32"/>
          <w:szCs w:val="32"/>
          <w:highlight w:val="none"/>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机关事业单位基本养老保险缴费支出</w:t>
      </w:r>
      <w:r>
        <w:rPr>
          <w:rFonts w:hint="eastAsia" w:ascii="仿宋_GB2312" w:eastAsia="仿宋_GB2312" w:cs="仿宋_GB2312"/>
          <w:bCs/>
          <w:kern w:val="0"/>
          <w:sz w:val="32"/>
          <w:szCs w:val="32"/>
        </w:rPr>
        <w:t>（项）。年初预算为万元，支出决算为</w:t>
      </w:r>
      <w:r>
        <w:rPr>
          <w:rFonts w:hint="eastAsia" w:ascii="仿宋_GB2312" w:eastAsia="仿宋_GB2312" w:cs="仿宋_GB2312"/>
          <w:bCs/>
          <w:kern w:val="0"/>
          <w:sz w:val="32"/>
          <w:szCs w:val="32"/>
          <w:lang w:val="en-US" w:eastAsia="zh-CN"/>
        </w:rPr>
        <w:t>179.27</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本年度有人员调动和人员退休使经费支出减少。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sz w:val="32"/>
          <w:szCs w:val="32"/>
          <w:highlight w:val="none"/>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89.91</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本年度有人员调动和人员退休使经费支出减少。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10.</w:t>
      </w:r>
      <w:r>
        <w:rPr>
          <w:rFonts w:hint="eastAsia" w:ascii="仿宋_GB2312" w:eastAsia="仿宋_GB2312" w:cs="仿宋_GB2312"/>
          <w:bCs/>
          <w:sz w:val="32"/>
          <w:szCs w:val="32"/>
          <w:highlight w:val="none"/>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行政单位医疗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87.30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11.</w:t>
      </w:r>
      <w:r>
        <w:rPr>
          <w:rFonts w:hint="eastAsia" w:ascii="仿宋_GB2312" w:eastAsia="仿宋_GB2312" w:cs="仿宋_GB2312"/>
          <w:bCs/>
          <w:sz w:val="32"/>
          <w:szCs w:val="32"/>
          <w:highlight w:val="none"/>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公务员医疗补助</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100.41</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本年度有人员调动和人员退休使经费支出减少。</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12.</w:t>
      </w:r>
      <w:r>
        <w:rPr>
          <w:rFonts w:hint="eastAsia" w:ascii="仿宋_GB2312" w:eastAsia="仿宋_GB2312" w:cs="仿宋_GB2312"/>
          <w:bCs/>
          <w:sz w:val="32"/>
          <w:szCs w:val="32"/>
          <w:highlight w:val="none"/>
          <w:lang w:val="en-US"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127.82</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于预算数的主要原是</w:t>
      </w:r>
      <w:r>
        <w:rPr>
          <w:rFonts w:hint="eastAsia" w:ascii="仿宋_GB2312" w:eastAsia="仿宋_GB2312" w:cs="仿宋_GB2312"/>
          <w:bCs/>
          <w:kern w:val="0"/>
          <w:sz w:val="32"/>
          <w:szCs w:val="32"/>
          <w:lang w:val="en-US" w:eastAsia="zh-CN"/>
        </w:rPr>
        <w:t>本年度有人员调动和人员退休使经费支出减少。</w:t>
      </w:r>
    </w:p>
    <w:p>
      <w:pPr>
        <w:autoSpaceDE w:val="0"/>
        <w:autoSpaceDN w:val="0"/>
        <w:adjustRightInd w:val="0"/>
        <w:spacing w:line="580" w:lineRule="exact"/>
        <w:jc w:val="left"/>
        <w:rPr>
          <w:rFonts w:hint="default" w:ascii="仿宋_GB2312" w:eastAsia="仿宋_GB2312" w:cs="仿宋_GB2312"/>
          <w:bCs/>
          <w:kern w:val="0"/>
          <w:sz w:val="32"/>
          <w:szCs w:val="32"/>
          <w:lang w:val="en-US" w:eastAsia="zh-CN"/>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六、2</w:t>
      </w:r>
      <w:r>
        <w:rPr>
          <w:rFonts w:hint="eastAsia" w:ascii="仿宋_GB2312" w:eastAsia="仿宋_GB2312" w:cs="仿宋_GB2312"/>
          <w:b/>
          <w:kern w:val="0"/>
          <w:sz w:val="32"/>
          <w:szCs w:val="32"/>
        </w:rPr>
        <w:t>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1998.96</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1616.07</w:t>
      </w:r>
      <w:r>
        <w:rPr>
          <w:rFonts w:hint="eastAsia" w:ascii="仿宋_GB2312" w:eastAsia="仿宋_GB2312" w:cs="仿宋_GB2312"/>
          <w:bCs/>
          <w:kern w:val="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退休费、生活补助、其他对个人和家庭的补助</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382.54</w:t>
      </w:r>
      <w:r>
        <w:rPr>
          <w:rFonts w:hint="eastAsia" w:ascii="仿宋_GB2312" w:eastAsia="仿宋_GB2312" w:cs="仿宋_GB2312"/>
          <w:bCs/>
          <w:kern w:val="0"/>
          <w:sz w:val="32"/>
          <w:szCs w:val="32"/>
        </w:rPr>
        <w:t>万元，主要包括：办公费、印刷费、手续费、水费、电费、邮电费、物业管理费、差旅费、维修（护）费、培训费、公务接待费、专用材料费、劳务费、委托业务费、工会经费、公务用车运行维护费、其他交通费用、其他商品和服务支出、办公设备购置</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97.34</w:t>
      </w:r>
      <w:r>
        <w:rPr>
          <w:rFonts w:hint="eastAsia" w:ascii="仿宋_GB2312" w:eastAsia="仿宋_GB2312" w:cs="仿宋_GB2312"/>
          <w:bCs/>
          <w:kern w:val="0"/>
          <w:sz w:val="32"/>
          <w:szCs w:val="32"/>
        </w:rPr>
        <w:t>万元，其中：公务用车购置及运行费支出决算为</w:t>
      </w:r>
      <w:r>
        <w:rPr>
          <w:rFonts w:hint="eastAsia" w:ascii="仿宋_GB2312" w:eastAsia="仿宋_GB2312" w:cs="仿宋_GB2312"/>
          <w:bCs/>
          <w:kern w:val="0"/>
          <w:sz w:val="32"/>
          <w:szCs w:val="32"/>
          <w:lang w:val="en-US" w:eastAsia="zh-CN"/>
        </w:rPr>
        <w:t>96.99</w:t>
      </w:r>
      <w:r>
        <w:rPr>
          <w:rFonts w:hint="eastAsia" w:ascii="仿宋_GB2312" w:eastAsia="仿宋_GB2312" w:cs="仿宋_GB2312"/>
          <w:bCs/>
          <w:kern w:val="0"/>
          <w:sz w:val="32"/>
          <w:szCs w:val="32"/>
        </w:rPr>
        <w:t>万元；公务接待费支出决算为</w:t>
      </w:r>
      <w:r>
        <w:rPr>
          <w:rFonts w:hint="eastAsia" w:ascii="仿宋_GB2312" w:eastAsia="仿宋_GB2312" w:cs="仿宋_GB2312"/>
          <w:bCs/>
          <w:kern w:val="0"/>
          <w:sz w:val="32"/>
          <w:szCs w:val="32"/>
          <w:lang w:val="en-US" w:eastAsia="zh-CN"/>
        </w:rPr>
        <w:t>0.35</w:t>
      </w:r>
      <w:r>
        <w:rPr>
          <w:rFonts w:hint="eastAsia" w:ascii="仿宋_GB2312" w:eastAsia="仿宋_GB2312" w:cs="仿宋_GB2312"/>
          <w:bCs/>
          <w:kern w:val="0"/>
          <w:sz w:val="32"/>
          <w:szCs w:val="32"/>
        </w:rPr>
        <w:t>万元。2020年度“三公”经费支出决算数小于预算数的主要原因是认真贯彻落实中央八项规定精神和厉行节约要求，进一步从严控制“三公”经费开支，全年实际支出比预算有所节约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val="en-US" w:eastAsia="zh-CN"/>
        </w:rPr>
        <w:t>增加45.63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增长88.24</w:t>
      </w:r>
      <w:r>
        <w:rPr>
          <w:rFonts w:hint="eastAsia" w:ascii="仿宋_GB2312" w:eastAsia="仿宋_GB2312" w:cs="仿宋_GB2312"/>
          <w:bCs/>
          <w:kern w:val="0"/>
          <w:sz w:val="32"/>
          <w:szCs w:val="32"/>
        </w:rPr>
        <w:t>%，其中：公务用车购置及运行费支出决算</w:t>
      </w:r>
      <w:r>
        <w:rPr>
          <w:rFonts w:hint="eastAsia" w:ascii="仿宋_GB2312" w:eastAsia="仿宋_GB2312" w:cs="仿宋_GB2312"/>
          <w:bCs/>
          <w:kern w:val="0"/>
          <w:sz w:val="32"/>
          <w:szCs w:val="32"/>
          <w:lang w:val="en-US" w:eastAsia="zh-CN"/>
        </w:rPr>
        <w:t>增加45.7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增长89.10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0.07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16.67</w:t>
      </w:r>
      <w:r>
        <w:rPr>
          <w:rFonts w:hint="eastAsia" w:ascii="仿宋_GB2312" w:eastAsia="仿宋_GB2312" w:cs="仿宋_GB2312"/>
          <w:bCs/>
          <w:kern w:val="0"/>
          <w:sz w:val="32"/>
          <w:szCs w:val="32"/>
        </w:rPr>
        <w:t>%。</w:t>
      </w:r>
    </w:p>
    <w:p>
      <w:pPr>
        <w:numPr>
          <w:ilvl w:val="0"/>
          <w:numId w:val="2"/>
        </w:num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“三公”经费财政拨款支出决算具体情况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2020年度“三公”经费财政拨款支出决算中，公务用车购置及运行费支出决算</w:t>
      </w:r>
      <w:r>
        <w:rPr>
          <w:rFonts w:hint="eastAsia" w:ascii="仿宋_GB2312" w:eastAsia="仿宋_GB2312" w:cs="仿宋_GB2312"/>
          <w:bCs/>
          <w:kern w:val="0"/>
          <w:sz w:val="32"/>
          <w:szCs w:val="32"/>
          <w:lang w:val="en-US" w:eastAsia="zh-CN"/>
        </w:rPr>
        <w:t>96.99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99.64</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0.35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0.36</w:t>
      </w:r>
      <w:r>
        <w:rPr>
          <w:rFonts w:hint="eastAsia" w:ascii="仿宋_GB2312" w:eastAsia="仿宋_GB2312" w:cs="仿宋_GB2312"/>
          <w:bCs/>
          <w:kern w:val="0"/>
          <w:sz w:val="32"/>
          <w:szCs w:val="32"/>
        </w:rPr>
        <w:t>%。具体情况如下：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1.因公出国（境）费支出0万元。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96.99</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64.35</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32.64</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val="en-US" w:eastAsia="zh-CN"/>
        </w:rPr>
        <w:t>公务用车的维修、燃料、保险及过桥过路等费用</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17</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0.35</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0.35</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val="en-US" w:eastAsia="zh-CN"/>
        </w:rPr>
        <w:t>接待上级部门及兄弟法院到我院考察、调研等公务活动及开展业务活动需要开支的公务接待费</w:t>
      </w:r>
      <w:r>
        <w:rPr>
          <w:rFonts w:hint="eastAsia" w:ascii="仿宋_GB2312" w:eastAsia="仿宋_GB2312" w:cs="仿宋_GB2312"/>
          <w:bCs/>
          <w:kern w:val="0"/>
          <w:sz w:val="32"/>
          <w:szCs w:val="32"/>
        </w:rPr>
        <w:t>。2020年共接待国内来访</w:t>
      </w:r>
      <w:r>
        <w:rPr>
          <w:rFonts w:hint="eastAsia" w:ascii="仿宋_GB2312" w:eastAsia="仿宋_GB2312" w:cs="仿宋_GB2312"/>
          <w:bCs/>
          <w:kern w:val="0"/>
          <w:sz w:val="32"/>
          <w:szCs w:val="32"/>
          <w:lang w:val="en-US" w:eastAsia="zh-CN"/>
        </w:rPr>
        <w:t>团组6个、</w:t>
      </w:r>
      <w:r>
        <w:rPr>
          <w:rFonts w:hint="eastAsia" w:ascii="仿宋_GB2312" w:eastAsia="仿宋_GB2312" w:cs="仿宋_GB2312"/>
          <w:bCs/>
          <w:kern w:val="0"/>
          <w:sz w:val="32"/>
          <w:szCs w:val="32"/>
        </w:rPr>
        <w:t>来宾</w:t>
      </w:r>
      <w:r>
        <w:rPr>
          <w:rFonts w:hint="eastAsia" w:ascii="仿宋_GB2312" w:eastAsia="仿宋_GB2312" w:cs="仿宋_GB2312"/>
          <w:bCs/>
          <w:kern w:val="0"/>
          <w:sz w:val="32"/>
          <w:szCs w:val="32"/>
          <w:lang w:val="en-US" w:eastAsia="zh-CN"/>
        </w:rPr>
        <w:t>46</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jc w:val="left"/>
        <w:rPr>
          <w:rFonts w:hint="eastAsia" w:ascii="仿宋_GB2312" w:eastAsia="仿宋_GB2312" w:cs="仿宋_GB2312"/>
          <w:b/>
          <w:kern w:val="0"/>
          <w:sz w:val="32"/>
          <w:szCs w:val="32"/>
        </w:rPr>
      </w:pPr>
      <w:r>
        <w:rPr>
          <w:rFonts w:hint="eastAsia" w:ascii="仿宋_GB2312" w:eastAsia="仿宋_GB2312" w:cs="仿宋_GB2312"/>
          <w:b/>
          <w:bCs w:val="0"/>
          <w:kern w:val="0"/>
          <w:sz w:val="32"/>
          <w:szCs w:val="32"/>
        </w:rPr>
        <w:t>八、202</w:t>
      </w:r>
      <w:r>
        <w:rPr>
          <w:rFonts w:hint="eastAsia" w:ascii="仿宋_GB2312" w:eastAsia="仿宋_GB2312" w:cs="仿宋_GB2312"/>
          <w:b/>
          <w:kern w:val="0"/>
          <w:sz w:val="32"/>
          <w:szCs w:val="32"/>
        </w:rPr>
        <w:t>0年度政府性基金预算财政拨款收入支出决算情况说明</w:t>
      </w:r>
    </w:p>
    <w:p>
      <w:pPr>
        <w:autoSpaceDE w:val="0"/>
        <w:autoSpaceDN w:val="0"/>
        <w:adjustRightInd w:val="0"/>
        <w:spacing w:line="580" w:lineRule="exact"/>
        <w:ind w:firstLine="640"/>
        <w:jc w:val="left"/>
        <w:rPr>
          <w:rFonts w:hint="default"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lang w:val="en-US" w:eastAsia="zh-CN"/>
        </w:rPr>
        <w:t>2020年度政府性基金预算财政拨款收入支出0万元。</w:t>
      </w:r>
    </w:p>
    <w:p>
      <w:pPr>
        <w:numPr>
          <w:ilvl w:val="0"/>
          <w:numId w:val="3"/>
        </w:numPr>
        <w:autoSpaceDE w:val="0"/>
        <w:autoSpaceDN w:val="0"/>
        <w:adjustRightInd w:val="0"/>
        <w:spacing w:line="580" w:lineRule="exact"/>
        <w:ind w:left="640" w:leftChars="0" w:firstLine="0" w:firstLineChars="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default"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eastAsia="仿宋_GB2312"/>
          <w:b/>
          <w:kern w:val="0"/>
          <w:sz w:val="32"/>
          <w:szCs w:val="32"/>
          <w:lang w:val="en-US" w:eastAsia="zh-CN"/>
        </w:rPr>
        <w:t>十</w:t>
      </w:r>
      <w:r>
        <w:rPr>
          <w:rFonts w:hint="eastAsia" w:eastAsia="仿宋_GB2312"/>
          <w:b/>
          <w:kern w:val="0"/>
          <w:sz w:val="32"/>
          <w:szCs w:val="32"/>
          <w:lang w:eastAsia="zh-CN"/>
        </w:rPr>
        <w:t>、</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autoSpaceDE w:val="0"/>
        <w:autoSpaceDN w:val="0"/>
        <w:adjustRightInd w:val="0"/>
        <w:spacing w:line="580" w:lineRule="exact"/>
        <w:ind w:firstLine="640" w:firstLineChars="200"/>
        <w:jc w:val="left"/>
        <w:rPr>
          <w:rFonts w:hint="default" w:ascii="仿宋_GB2312" w:eastAsia="仿宋_GB2312" w:cs="仿宋_GB2312"/>
          <w:b/>
          <w:kern w:val="0"/>
          <w:sz w:val="32"/>
          <w:szCs w:val="32"/>
          <w:lang w:val="en-US"/>
        </w:rPr>
      </w:pPr>
      <w:r>
        <w:rPr>
          <w:rFonts w:hint="eastAsia" w:ascii="仿宋_GB2312" w:hAnsi="仿宋_GB2312" w:eastAsia="仿宋_GB2312"/>
          <w:sz w:val="32"/>
          <w:szCs w:val="22"/>
          <w:lang w:eastAsia="zh-CN"/>
        </w:rPr>
        <w:t>我院为广西法院检察院财物统一管理改革试点单位，从</w:t>
      </w:r>
      <w:r>
        <w:rPr>
          <w:rFonts w:hint="eastAsia" w:ascii="仿宋_GB2312" w:hAnsi="仿宋_GB2312" w:eastAsia="仿宋_GB2312"/>
          <w:sz w:val="32"/>
          <w:szCs w:val="22"/>
          <w:lang w:val="en-US" w:eastAsia="zh-CN"/>
        </w:rPr>
        <w:t>2020年起我</w:t>
      </w:r>
      <w:r>
        <w:rPr>
          <w:rFonts w:hint="eastAsia" w:ascii="仿宋_GB2312" w:hAnsi="仿宋_GB2312" w:eastAsia="仿宋_GB2312"/>
          <w:sz w:val="32"/>
          <w:szCs w:val="22"/>
        </w:rPr>
        <w:t>院作为市中级</w:t>
      </w:r>
      <w:r>
        <w:rPr>
          <w:rFonts w:hint="eastAsia" w:ascii="仿宋_GB2312" w:hAnsi="仿宋_GB2312" w:eastAsia="仿宋_GB2312"/>
          <w:sz w:val="32"/>
          <w:szCs w:val="22"/>
          <w:lang w:val="en-US" w:eastAsia="zh-CN"/>
        </w:rPr>
        <w:t>人民</w:t>
      </w:r>
      <w:r>
        <w:rPr>
          <w:rFonts w:hint="eastAsia" w:ascii="仿宋_GB2312" w:hAnsi="仿宋_GB2312" w:eastAsia="仿宋_GB2312"/>
          <w:sz w:val="32"/>
          <w:szCs w:val="22"/>
        </w:rPr>
        <w:t>法院二级预算单位</w:t>
      </w:r>
      <w:r>
        <w:rPr>
          <w:rFonts w:hint="eastAsia" w:ascii="仿宋_GB2312" w:hAnsi="仿宋_GB2312" w:eastAsia="仿宋_GB2312"/>
          <w:sz w:val="32"/>
          <w:szCs w:val="22"/>
          <w:lang w:eastAsia="zh-CN"/>
        </w:rPr>
        <w:t>进行管理，</w:t>
      </w:r>
      <w:r>
        <w:rPr>
          <w:rFonts w:hint="eastAsia" w:ascii="仿宋_GB2312" w:hAnsi="仿宋_GB2312" w:eastAsia="仿宋_GB2312"/>
          <w:sz w:val="32"/>
          <w:szCs w:val="22"/>
          <w:lang w:val="en-US" w:eastAsia="zh-CN"/>
        </w:rPr>
        <w:t>当年相关经费以预留形式编入市本级预算，故2020年未开展预算绩效工作。</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val="en-US" w:eastAsia="zh-CN"/>
        </w:rPr>
        <w:t>十一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（一）机关运行经费支出情况。2020年度机关运行经费支出</w:t>
      </w:r>
      <w:r>
        <w:rPr>
          <w:rFonts w:hint="eastAsia" w:ascii="仿宋_GB2312" w:eastAsia="仿宋_GB2312" w:cs="仿宋_GB2312"/>
          <w:kern w:val="0"/>
          <w:sz w:val="32"/>
          <w:szCs w:val="32"/>
          <w:lang w:val="en-US" w:eastAsia="zh-CN"/>
        </w:rPr>
        <w:t>382.89</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129.33</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51.01</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val="en-US" w:eastAsia="zh-CN"/>
        </w:rPr>
        <w:t>加</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val="en-US" w:eastAsia="zh-CN"/>
        </w:rPr>
        <w:t>是原归县区管理的时候司法绩效作为追加项目资金下达，</w:t>
      </w:r>
      <w:r>
        <w:rPr>
          <w:rFonts w:hint="eastAsia" w:ascii="仿宋_GB2312" w:hAnsi="仿宋_GB2312" w:eastAsia="仿宋_GB2312"/>
          <w:sz w:val="32"/>
          <w:szCs w:val="22"/>
          <w:lang w:eastAsia="zh-CN"/>
        </w:rPr>
        <w:t>财物统一管理</w:t>
      </w:r>
      <w:r>
        <w:rPr>
          <w:rFonts w:hint="eastAsia" w:ascii="仿宋_GB2312" w:hAnsi="仿宋_GB2312" w:eastAsia="仿宋_GB2312"/>
          <w:sz w:val="32"/>
          <w:szCs w:val="22"/>
          <w:lang w:val="en-US" w:eastAsia="zh-CN"/>
        </w:rPr>
        <w:t>后，司改绩效在下达在基本支出中，所以该支出较上年有增加</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（二）政府采购支出情况。2020年度政府采购支出总额</w:t>
      </w:r>
      <w:r>
        <w:rPr>
          <w:rFonts w:hint="eastAsia" w:ascii="仿宋_GB2312" w:eastAsia="仿宋_GB2312" w:cs="仿宋_GB2312"/>
          <w:kern w:val="0"/>
          <w:sz w:val="32"/>
          <w:szCs w:val="32"/>
          <w:lang w:val="en-US" w:eastAsia="zh-CN"/>
        </w:rPr>
        <w:t>3361.57</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304.53</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2689.80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367.24</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（三）国有资产占用情况。截至年末共有车辆</w:t>
      </w:r>
      <w:r>
        <w:rPr>
          <w:rFonts w:hint="eastAsia" w:ascii="仿宋_GB2312" w:eastAsia="仿宋_GB2312" w:cs="仿宋_GB2312"/>
          <w:kern w:val="0"/>
          <w:sz w:val="32"/>
          <w:szCs w:val="32"/>
          <w:lang w:val="en-US" w:eastAsia="zh-CN"/>
        </w:rPr>
        <w:t>17</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17</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bCs/>
          <w:sz w:val="32"/>
          <w:szCs w:val="32"/>
          <w:highlight w:val="none"/>
        </w:rPr>
        <w:t>。主要是：</w:t>
      </w:r>
      <w:r>
        <w:rPr>
          <w:rFonts w:hint="eastAsia" w:ascii="仿宋_GB2312" w:hAnsi="仿宋" w:eastAsia="仿宋_GB2312" w:cs="仿宋"/>
          <w:color w:val="auto"/>
          <w:spacing w:val="6"/>
          <w:sz w:val="32"/>
          <w:szCs w:val="32"/>
          <w:highlight w:val="none"/>
          <w:u w:val="none"/>
        </w:rPr>
        <w:t>基层法院由县区财政负担的二次创业绩效奖及配套的</w:t>
      </w:r>
      <w:r>
        <w:rPr>
          <w:rFonts w:hint="eastAsia" w:ascii="仿宋_GB2312" w:hAnsi="仿宋" w:eastAsia="仿宋_GB2312" w:cs="仿宋"/>
          <w:color w:val="auto"/>
          <w:spacing w:val="6"/>
          <w:sz w:val="32"/>
          <w:szCs w:val="32"/>
          <w:highlight w:val="none"/>
          <w:u w:val="none"/>
          <w:lang w:eastAsia="zh-CN"/>
        </w:rPr>
        <w:t>四</w:t>
      </w:r>
      <w:r>
        <w:rPr>
          <w:rFonts w:hint="eastAsia" w:ascii="仿宋_GB2312" w:hAnsi="仿宋" w:eastAsia="仿宋_GB2312" w:cs="仿宋"/>
          <w:color w:val="auto"/>
          <w:spacing w:val="6"/>
          <w:sz w:val="32"/>
          <w:szCs w:val="32"/>
          <w:highlight w:val="none"/>
          <w:u w:val="none"/>
        </w:rPr>
        <w:t>险二金、退休</w:t>
      </w:r>
      <w:r>
        <w:rPr>
          <w:rFonts w:hint="eastAsia" w:ascii="仿宋_GB2312" w:hAnsi="仿宋" w:eastAsia="仿宋_GB2312" w:cs="仿宋"/>
          <w:color w:val="auto"/>
          <w:spacing w:val="6"/>
          <w:sz w:val="32"/>
          <w:szCs w:val="32"/>
          <w:u w:val="none"/>
        </w:rPr>
        <w:t>人员生活补助，新审判楼工程款、抚恤金以及补发</w:t>
      </w:r>
      <w:r>
        <w:rPr>
          <w:rFonts w:ascii="仿宋_GB2312" w:hAnsi="仿宋" w:eastAsia="仿宋_GB2312" w:cs="仿宋"/>
          <w:color w:val="auto"/>
          <w:spacing w:val="6"/>
          <w:sz w:val="32"/>
          <w:szCs w:val="32"/>
          <w:u w:val="none"/>
        </w:rPr>
        <w:t>19年在职人员工资</w:t>
      </w:r>
      <w:r>
        <w:rPr>
          <w:rFonts w:hint="eastAsia" w:ascii="仿宋_GB2312" w:hAnsi="仿宋" w:eastAsia="仿宋_GB2312" w:cs="仿宋"/>
          <w:color w:val="auto"/>
          <w:sz w:val="32"/>
          <w:szCs w:val="32"/>
          <w:u w:val="none"/>
        </w:rPr>
        <w:t>。</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EF53"/>
    <w:multiLevelType w:val="singleLevel"/>
    <w:tmpl w:val="8558EF53"/>
    <w:lvl w:ilvl="0" w:tentative="0">
      <w:start w:val="9"/>
      <w:numFmt w:val="chineseCounting"/>
      <w:suff w:val="nothing"/>
      <w:lvlText w:val="%1、"/>
      <w:lvlJc w:val="left"/>
      <w:pPr>
        <w:ind w:left="640" w:leftChars="0" w:firstLine="0" w:firstLineChars="0"/>
      </w:pPr>
      <w:rPr>
        <w:rFonts w:hint="eastAsia"/>
      </w:rPr>
    </w:lvl>
  </w:abstractNum>
  <w:abstractNum w:abstractNumId="1">
    <w:nsid w:val="ACD495CE"/>
    <w:multiLevelType w:val="singleLevel"/>
    <w:tmpl w:val="ACD495CE"/>
    <w:lvl w:ilvl="0" w:tentative="0">
      <w:start w:val="1"/>
      <w:numFmt w:val="decimal"/>
      <w:lvlText w:val="%1."/>
      <w:lvlJc w:val="left"/>
      <w:pPr>
        <w:tabs>
          <w:tab w:val="left" w:pos="312"/>
        </w:tabs>
      </w:pPr>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6303AB4B"/>
    <w:multiLevelType w:val="singleLevel"/>
    <w:tmpl w:val="6303AB4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0D66F0"/>
    <w:rsid w:val="006C1367"/>
    <w:rsid w:val="00715385"/>
    <w:rsid w:val="008E2234"/>
    <w:rsid w:val="00F66C5B"/>
    <w:rsid w:val="01145956"/>
    <w:rsid w:val="016413F3"/>
    <w:rsid w:val="02043766"/>
    <w:rsid w:val="033A224C"/>
    <w:rsid w:val="03754D2F"/>
    <w:rsid w:val="044C6DBB"/>
    <w:rsid w:val="05B97EFA"/>
    <w:rsid w:val="05FD7638"/>
    <w:rsid w:val="06893BC8"/>
    <w:rsid w:val="06CA6BFD"/>
    <w:rsid w:val="07A219BB"/>
    <w:rsid w:val="07C00339"/>
    <w:rsid w:val="08200E31"/>
    <w:rsid w:val="085056AB"/>
    <w:rsid w:val="08733EA4"/>
    <w:rsid w:val="09026AA1"/>
    <w:rsid w:val="09B76CA0"/>
    <w:rsid w:val="09FF0698"/>
    <w:rsid w:val="0A1B72F9"/>
    <w:rsid w:val="0AEC7683"/>
    <w:rsid w:val="0B88114A"/>
    <w:rsid w:val="0C47494C"/>
    <w:rsid w:val="0C4B62A6"/>
    <w:rsid w:val="0CFE39BC"/>
    <w:rsid w:val="0DA37F0E"/>
    <w:rsid w:val="0E074DDF"/>
    <w:rsid w:val="0E4C6E9F"/>
    <w:rsid w:val="0E7159DE"/>
    <w:rsid w:val="0EA16FBE"/>
    <w:rsid w:val="0EB67E60"/>
    <w:rsid w:val="0FFB6374"/>
    <w:rsid w:val="10165A66"/>
    <w:rsid w:val="10710111"/>
    <w:rsid w:val="10F343C5"/>
    <w:rsid w:val="11517FDB"/>
    <w:rsid w:val="11C94965"/>
    <w:rsid w:val="11FA0CC4"/>
    <w:rsid w:val="124204B5"/>
    <w:rsid w:val="12BC09D9"/>
    <w:rsid w:val="136915EC"/>
    <w:rsid w:val="13C4173A"/>
    <w:rsid w:val="140B20F4"/>
    <w:rsid w:val="14B042FF"/>
    <w:rsid w:val="15E24C90"/>
    <w:rsid w:val="168A360C"/>
    <w:rsid w:val="175E6B28"/>
    <w:rsid w:val="177E4739"/>
    <w:rsid w:val="181967FB"/>
    <w:rsid w:val="182962AB"/>
    <w:rsid w:val="184065F7"/>
    <w:rsid w:val="18D1391D"/>
    <w:rsid w:val="191E6998"/>
    <w:rsid w:val="198A4A57"/>
    <w:rsid w:val="19B7664E"/>
    <w:rsid w:val="19D073EB"/>
    <w:rsid w:val="19F32CBC"/>
    <w:rsid w:val="1B6F5565"/>
    <w:rsid w:val="1BD20434"/>
    <w:rsid w:val="1CC31F67"/>
    <w:rsid w:val="1CEA61C8"/>
    <w:rsid w:val="1D5D1810"/>
    <w:rsid w:val="1E1E2CD7"/>
    <w:rsid w:val="1E470005"/>
    <w:rsid w:val="1FC171C9"/>
    <w:rsid w:val="20974403"/>
    <w:rsid w:val="20B16579"/>
    <w:rsid w:val="21332F0A"/>
    <w:rsid w:val="215764E9"/>
    <w:rsid w:val="21FF18D6"/>
    <w:rsid w:val="22CB4D00"/>
    <w:rsid w:val="242063F6"/>
    <w:rsid w:val="24431BDE"/>
    <w:rsid w:val="246A211C"/>
    <w:rsid w:val="249F49BD"/>
    <w:rsid w:val="24D337DC"/>
    <w:rsid w:val="24DF49F5"/>
    <w:rsid w:val="253F153F"/>
    <w:rsid w:val="254B3DC4"/>
    <w:rsid w:val="259C1DD0"/>
    <w:rsid w:val="25C967A2"/>
    <w:rsid w:val="26460DBA"/>
    <w:rsid w:val="26664124"/>
    <w:rsid w:val="26924A41"/>
    <w:rsid w:val="282355A9"/>
    <w:rsid w:val="28391B75"/>
    <w:rsid w:val="28DE5730"/>
    <w:rsid w:val="28E508A9"/>
    <w:rsid w:val="295C4495"/>
    <w:rsid w:val="297C68F5"/>
    <w:rsid w:val="2A16142E"/>
    <w:rsid w:val="2AF260F8"/>
    <w:rsid w:val="2B6F74EB"/>
    <w:rsid w:val="2C4219FE"/>
    <w:rsid w:val="2C5C383D"/>
    <w:rsid w:val="2C832C7D"/>
    <w:rsid w:val="2C9B2CB5"/>
    <w:rsid w:val="2D83533C"/>
    <w:rsid w:val="2E271C28"/>
    <w:rsid w:val="2FD37E8E"/>
    <w:rsid w:val="30880F6C"/>
    <w:rsid w:val="30A04D34"/>
    <w:rsid w:val="310405CB"/>
    <w:rsid w:val="334B2D10"/>
    <w:rsid w:val="33B67BBA"/>
    <w:rsid w:val="34020F86"/>
    <w:rsid w:val="34143C54"/>
    <w:rsid w:val="34681DE7"/>
    <w:rsid w:val="3509714D"/>
    <w:rsid w:val="3514467B"/>
    <w:rsid w:val="354D381E"/>
    <w:rsid w:val="35BB4440"/>
    <w:rsid w:val="35EA7290"/>
    <w:rsid w:val="3876296B"/>
    <w:rsid w:val="38C30B54"/>
    <w:rsid w:val="38F45A14"/>
    <w:rsid w:val="39A63F06"/>
    <w:rsid w:val="39FD28CC"/>
    <w:rsid w:val="3A793D14"/>
    <w:rsid w:val="3A99590C"/>
    <w:rsid w:val="3ABC3D01"/>
    <w:rsid w:val="3B194FEF"/>
    <w:rsid w:val="3B1C07D0"/>
    <w:rsid w:val="3CFA04C4"/>
    <w:rsid w:val="3D223265"/>
    <w:rsid w:val="3E92059E"/>
    <w:rsid w:val="3ED1439F"/>
    <w:rsid w:val="3EF36814"/>
    <w:rsid w:val="3F5614E1"/>
    <w:rsid w:val="3F854208"/>
    <w:rsid w:val="3F9D1A02"/>
    <w:rsid w:val="3FCB56D5"/>
    <w:rsid w:val="3FD7433C"/>
    <w:rsid w:val="41BA739A"/>
    <w:rsid w:val="43240297"/>
    <w:rsid w:val="4362742F"/>
    <w:rsid w:val="45275286"/>
    <w:rsid w:val="452E7A17"/>
    <w:rsid w:val="45B6078E"/>
    <w:rsid w:val="469C7200"/>
    <w:rsid w:val="4771545F"/>
    <w:rsid w:val="47A0018D"/>
    <w:rsid w:val="47C60AA8"/>
    <w:rsid w:val="48374EDC"/>
    <w:rsid w:val="4858078B"/>
    <w:rsid w:val="48AC5A0A"/>
    <w:rsid w:val="48B210C8"/>
    <w:rsid w:val="48BB398C"/>
    <w:rsid w:val="49001758"/>
    <w:rsid w:val="4973737B"/>
    <w:rsid w:val="49C80E93"/>
    <w:rsid w:val="4AC07465"/>
    <w:rsid w:val="4B996A97"/>
    <w:rsid w:val="4C256E3D"/>
    <w:rsid w:val="4C732CA3"/>
    <w:rsid w:val="4CB52F0F"/>
    <w:rsid w:val="4CF30365"/>
    <w:rsid w:val="4D4415E8"/>
    <w:rsid w:val="4DE873CB"/>
    <w:rsid w:val="4E53087E"/>
    <w:rsid w:val="4E845A47"/>
    <w:rsid w:val="4FC22C61"/>
    <w:rsid w:val="501974F3"/>
    <w:rsid w:val="5033328F"/>
    <w:rsid w:val="50615CD3"/>
    <w:rsid w:val="509364E1"/>
    <w:rsid w:val="52225C59"/>
    <w:rsid w:val="52E451FD"/>
    <w:rsid w:val="532F1F9A"/>
    <w:rsid w:val="535A5C69"/>
    <w:rsid w:val="5384335E"/>
    <w:rsid w:val="53DF04F9"/>
    <w:rsid w:val="53FF3B3E"/>
    <w:rsid w:val="54007683"/>
    <w:rsid w:val="54733667"/>
    <w:rsid w:val="547C5AE1"/>
    <w:rsid w:val="54E16C9C"/>
    <w:rsid w:val="54FE6BD5"/>
    <w:rsid w:val="557538B8"/>
    <w:rsid w:val="55793471"/>
    <w:rsid w:val="55F840AD"/>
    <w:rsid w:val="56266141"/>
    <w:rsid w:val="5712196E"/>
    <w:rsid w:val="57122321"/>
    <w:rsid w:val="57201A26"/>
    <w:rsid w:val="584A0D7E"/>
    <w:rsid w:val="58525A35"/>
    <w:rsid w:val="58B66908"/>
    <w:rsid w:val="590B6AF7"/>
    <w:rsid w:val="59FF46E7"/>
    <w:rsid w:val="5BA74225"/>
    <w:rsid w:val="5CEE4888"/>
    <w:rsid w:val="5D665A1A"/>
    <w:rsid w:val="5DCF5374"/>
    <w:rsid w:val="5E041A0E"/>
    <w:rsid w:val="5E995A3E"/>
    <w:rsid w:val="5ED03A93"/>
    <w:rsid w:val="60402385"/>
    <w:rsid w:val="60A54AAB"/>
    <w:rsid w:val="61595CFD"/>
    <w:rsid w:val="61AE453E"/>
    <w:rsid w:val="62163194"/>
    <w:rsid w:val="621C490C"/>
    <w:rsid w:val="6237243E"/>
    <w:rsid w:val="623D637D"/>
    <w:rsid w:val="624D024D"/>
    <w:rsid w:val="6309633A"/>
    <w:rsid w:val="642A5D53"/>
    <w:rsid w:val="650E086A"/>
    <w:rsid w:val="658D5B1E"/>
    <w:rsid w:val="65F75DA9"/>
    <w:rsid w:val="65FF5BCC"/>
    <w:rsid w:val="67754B03"/>
    <w:rsid w:val="67D65EA0"/>
    <w:rsid w:val="68400E46"/>
    <w:rsid w:val="69D40AB6"/>
    <w:rsid w:val="6B114787"/>
    <w:rsid w:val="6B741C4A"/>
    <w:rsid w:val="6BAA0708"/>
    <w:rsid w:val="6BF570AD"/>
    <w:rsid w:val="6C744FF7"/>
    <w:rsid w:val="6D162FB8"/>
    <w:rsid w:val="6E697118"/>
    <w:rsid w:val="6EBB0DE5"/>
    <w:rsid w:val="704E1350"/>
    <w:rsid w:val="705E1E2D"/>
    <w:rsid w:val="70E422C6"/>
    <w:rsid w:val="70FF69B5"/>
    <w:rsid w:val="71A8470B"/>
    <w:rsid w:val="71FF4217"/>
    <w:rsid w:val="72192C03"/>
    <w:rsid w:val="72EB09FB"/>
    <w:rsid w:val="741102C2"/>
    <w:rsid w:val="75610B49"/>
    <w:rsid w:val="75F32BF2"/>
    <w:rsid w:val="76294D12"/>
    <w:rsid w:val="762B1157"/>
    <w:rsid w:val="767E783B"/>
    <w:rsid w:val="77846582"/>
    <w:rsid w:val="77F05D40"/>
    <w:rsid w:val="77FE1A2E"/>
    <w:rsid w:val="79C773E8"/>
    <w:rsid w:val="79F3115A"/>
    <w:rsid w:val="7A086A75"/>
    <w:rsid w:val="7A6A0017"/>
    <w:rsid w:val="7B3329E6"/>
    <w:rsid w:val="7BB977CE"/>
    <w:rsid w:val="7C474414"/>
    <w:rsid w:val="7C963392"/>
    <w:rsid w:val="7CCA51DF"/>
    <w:rsid w:val="7D41748A"/>
    <w:rsid w:val="7DBD7C1D"/>
    <w:rsid w:val="7E392041"/>
    <w:rsid w:val="7E6365D4"/>
    <w:rsid w:val="7F7D0234"/>
    <w:rsid w:val="7F8F010E"/>
    <w:rsid w:val="7FDB71DD"/>
    <w:rsid w:val="7FF80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bCs/>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批注框文本 Char"/>
    <w:basedOn w:val="7"/>
    <w:link w:val="2"/>
    <w:qFormat/>
    <w:uiPriority w:val="0"/>
    <w:rPr>
      <w:kern w:val="2"/>
      <w:sz w:val="18"/>
      <w:szCs w:val="18"/>
    </w:rPr>
  </w:style>
  <w:style w:type="character" w:customStyle="1" w:styleId="12">
    <w:name w:val="font1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4"/>
      <w:szCs w:val="24"/>
      <w:u w:val="none"/>
    </w:rPr>
  </w:style>
  <w:style w:type="paragraph" w:customStyle="1" w:styleId="14">
    <w:name w:val="正文1"/>
    <w:basedOn w:val="15"/>
    <w:qFormat/>
    <w:uiPriority w:val="3"/>
    <w:pPr>
      <w:widowControl/>
      <w:jc w:val="both"/>
    </w:pPr>
    <w:rPr>
      <w:rFonts w:ascii="Times New Roman" w:hAnsi="Times New Roman" w:eastAsia="Times New Roman"/>
      <w:sz w:val="21"/>
    </w:rPr>
  </w:style>
  <w:style w:type="paragraph" w:customStyle="1" w:styleId="15">
    <w:name w:val="[Normal]"/>
    <w:qFormat/>
    <w:uiPriority w:val="6"/>
    <w:rPr>
      <w:rFonts w:ascii="宋体" w:hAnsi="宋体" w:eastAsia="宋体" w:cs="Times New Roman"/>
      <w:color w:val="auto"/>
      <w:position w:val="0"/>
      <w:sz w:val="24"/>
      <w:u w:val="none"/>
      <w:shd w:val="clear" w:color="auto" w:fill="auto"/>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7794</Words>
  <Characters>10237</Characters>
  <Lines>60</Lines>
  <Paragraphs>17</Paragraphs>
  <TotalTime>18</TotalTime>
  <ScaleCrop>false</ScaleCrop>
  <LinksUpToDate>false</LinksUpToDate>
  <CharactersWithSpaces>10527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2022-11-01T08:12:37Z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F9E7D283516944D59CA60D1716677AEE</vt:lpwstr>
  </property>
</Properties>
</file>