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融安县</w:t>
      </w:r>
      <w:r>
        <w:rPr>
          <w:rFonts w:hint="eastAsia" w:ascii="黑体" w:hAnsi="黑体" w:eastAsia="黑体"/>
          <w:bCs/>
          <w:color w:val="000000"/>
          <w:sz w:val="52"/>
          <w:szCs w:val="52"/>
        </w:rPr>
        <w:t>人民法院</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黑体" w:eastAsia="黑体" w:cs="黑体"/>
          <w:kern w:val="0"/>
          <w:sz w:val="44"/>
          <w:szCs w:val="44"/>
        </w:rPr>
      </w:pPr>
    </w:p>
    <w:p>
      <w:pP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第一部分：融安县人民法院概况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二、决算单位构成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第二部分：融安县人民法院2020年决算报表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表一：收入支出决算总表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表二：收入决算表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表三：支出决算表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表四：财政拨款收入支出决算总表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表五：一般公共预算财政拨款支出决算表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表六：一般公共预算财政拨款基本支出决算表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表七：一般公共预算财政拨款安排的“三公”经费支出决算表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表八：政府性基金预算财政拨款收入支出决算表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表九：国有资本经营预算财政拨款支出决算表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第三部分：融安县人民法院2020年度决算情况说明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一、</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年度收入支出决算总体情况。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二、</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年度收入决算情况。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三、</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四、</w:t>
      </w:r>
      <w:r>
        <w:rPr>
          <w:rFonts w:hint="eastAsia" w:ascii="宋体" w:hAnsi="宋体" w:eastAsia="宋体" w:cs="宋体"/>
          <w:i w:val="0"/>
          <w:iCs w:val="0"/>
          <w:caps w:val="0"/>
          <w:color w:val="000000"/>
          <w:spacing w:val="0"/>
          <w:sz w:val="24"/>
          <w:szCs w:val="24"/>
          <w:shd w:val="clear" w:fill="FFFFFF"/>
        </w:rPr>
        <w:t>2020</w:t>
      </w:r>
      <w:r>
        <w:rPr>
          <w:rFonts w:hint="eastAsia" w:ascii="仿宋_GB2312" w:hAnsi="宋体" w:eastAsia="仿宋_GB2312" w:cs="仿宋_GB2312"/>
          <w:i w:val="0"/>
          <w:iCs w:val="0"/>
          <w:caps w:val="0"/>
          <w:color w:val="000000"/>
          <w:spacing w:val="0"/>
          <w:sz w:val="31"/>
          <w:szCs w:val="31"/>
          <w:shd w:val="clear" w:fill="FFFFFF"/>
        </w:rPr>
        <w:t>年度财政拨款收入支出决算情况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五、</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年度一般公共预算财政拨款支出决算情况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六、</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年度一般公共预算财政拨款基本支出决算情况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七、</w:t>
      </w:r>
      <w:r>
        <w:rPr>
          <w:rFonts w:hint="eastAsia" w:ascii="宋体" w:hAnsi="宋体" w:eastAsia="宋体" w:cs="宋体"/>
          <w:i w:val="0"/>
          <w:iCs w:val="0"/>
          <w:caps w:val="0"/>
          <w:color w:val="000000"/>
          <w:spacing w:val="0"/>
          <w:sz w:val="24"/>
          <w:szCs w:val="24"/>
          <w:shd w:val="clear" w:fill="FFFFFF"/>
        </w:rPr>
        <w:t>2020 </w:t>
      </w:r>
      <w:r>
        <w:rPr>
          <w:rFonts w:hint="eastAsia" w:ascii="仿宋_GB2312" w:hAnsi="宋体" w:eastAsia="仿宋_GB2312" w:cs="仿宋_GB2312"/>
          <w:i w:val="0"/>
          <w:iCs w:val="0"/>
          <w:caps w:val="0"/>
          <w:color w:val="000000"/>
          <w:spacing w:val="0"/>
          <w:sz w:val="31"/>
          <w:szCs w:val="31"/>
          <w:shd w:val="clear" w:fill="FFFFFF"/>
        </w:rPr>
        <w:t>年度一般公共预算财政拨款“三公”经费支出决算情况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八、</w:t>
      </w:r>
      <w:r>
        <w:rPr>
          <w:rFonts w:hint="eastAsia" w:ascii="宋体" w:hAnsi="宋体" w:eastAsia="宋体" w:cs="宋体"/>
          <w:i w:val="0"/>
          <w:iCs w:val="0"/>
          <w:caps w:val="0"/>
          <w:color w:val="000000"/>
          <w:spacing w:val="0"/>
          <w:sz w:val="24"/>
          <w:szCs w:val="24"/>
          <w:shd w:val="clear" w:fill="FFFFFF"/>
        </w:rPr>
        <w:t>2020</w:t>
      </w:r>
      <w:r>
        <w:rPr>
          <w:rFonts w:hint="eastAsia" w:ascii="仿宋_GB2312" w:hAnsi="宋体" w:eastAsia="仿宋_GB2312" w:cs="仿宋_GB2312"/>
          <w:i w:val="0"/>
          <w:iCs w:val="0"/>
          <w:caps w:val="0"/>
          <w:color w:val="000000"/>
          <w:spacing w:val="0"/>
          <w:sz w:val="31"/>
          <w:szCs w:val="31"/>
          <w:shd w:val="clear" w:fill="FFFFFF"/>
        </w:rPr>
        <w:t> 年度政府性基金预算财政拨款收入支出决算情况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45" w:right="0" w:firstLine="0"/>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九、国有资本经营预算财政拨款支出决算情况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十、</w:t>
      </w:r>
      <w:r>
        <w:rPr>
          <w:rFonts w:hint="eastAsia" w:ascii="宋体" w:hAnsi="宋体" w:eastAsia="宋体" w:cs="宋体"/>
          <w:i w:val="0"/>
          <w:iCs w:val="0"/>
          <w:caps w:val="0"/>
          <w:color w:val="000000"/>
          <w:spacing w:val="0"/>
          <w:sz w:val="24"/>
          <w:szCs w:val="24"/>
          <w:shd w:val="clear" w:fill="FFFFFF"/>
        </w:rPr>
        <w:t>2020</w:t>
      </w:r>
      <w:r>
        <w:rPr>
          <w:rFonts w:hint="eastAsia" w:ascii="仿宋_GB2312" w:hAnsi="宋体" w:eastAsia="仿宋_GB2312" w:cs="仿宋_GB2312"/>
          <w:i w:val="0"/>
          <w:iCs w:val="0"/>
          <w:caps w:val="0"/>
          <w:color w:val="000000"/>
          <w:spacing w:val="0"/>
          <w:sz w:val="31"/>
          <w:szCs w:val="31"/>
          <w:shd w:val="clear" w:fill="FFFFFF"/>
        </w:rPr>
        <w:t> 年度预算绩效情况说明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十一、其他重要事项的情况说明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第四部分：名词解释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center"/>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br w:type="textWrapping"/>
      </w:r>
      <w:r>
        <w:rPr>
          <w:rStyle w:val="8"/>
          <w:rFonts w:hint="eastAsia" w:ascii="仿宋_GB2312" w:hAnsi="宋体" w:eastAsia="仿宋_GB2312" w:cs="仿宋_GB2312"/>
          <w:b/>
          <w:bCs/>
          <w:i w:val="0"/>
          <w:iCs w:val="0"/>
          <w:caps w:val="0"/>
          <w:color w:val="000000"/>
          <w:spacing w:val="0"/>
          <w:sz w:val="31"/>
          <w:szCs w:val="31"/>
          <w:shd w:val="clear" w:fill="FFFFFF"/>
        </w:rPr>
        <w:t>第一部分：融安县人民法院概况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融安县人民法院的主要职能是依法审判本院管辖的刑事、民事、行政案件和上级人民法院交由审判的案件;依法受理国家赔偿案件和决定国家赔偿;依法执行已发生法律效力的判决、裁定以及国家行政机关依法申请执行的案件;调查研究审判工作中适用法律、执行政策的疑难问题，提出解决问题的办法、意见和司法建议；开展司法统计工作，参与地方立法和综合治理工作;负责有关办案经费和物质装备的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本单位的主要工作任务是始终坚持学习贯彻习近平法治思想，坚持党对法院工作的领导；始终坚持聚焦审判执行中心工作，在执法办案中服务经济社会高质量发展大局；始终坚持以人民为中心，努力满足新时代人民群众对公正司法的新需求；始终坚持改革创新，努力推进审判体系和审判能力现代化；始终坚持全面从严治党，着力培养高素质法官队伍；始终坚持主动接受监督，加强和改进法院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二、决算单位构成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我院为广西法院检察院财物统一管理改革试点单位，从2020年起我院作为市中级</w:t>
      </w:r>
      <w:r>
        <w:rPr>
          <w:rFonts w:hint="eastAsia" w:ascii="仿宋_GB2312" w:hAnsi="宋体" w:eastAsia="仿宋_GB2312" w:cs="仿宋_GB2312"/>
          <w:i w:val="0"/>
          <w:iCs w:val="0"/>
          <w:caps w:val="0"/>
          <w:color w:val="000000"/>
          <w:spacing w:val="0"/>
          <w:sz w:val="31"/>
          <w:szCs w:val="31"/>
          <w:shd w:val="clear" w:fill="FFFFFF"/>
          <w:lang w:val="en-US" w:eastAsia="zh-CN"/>
        </w:rPr>
        <w:t>人民</w:t>
      </w:r>
      <w:r>
        <w:rPr>
          <w:rFonts w:hint="eastAsia" w:ascii="仿宋_GB2312" w:hAnsi="宋体" w:eastAsia="仿宋_GB2312" w:cs="仿宋_GB2312"/>
          <w:i w:val="0"/>
          <w:iCs w:val="0"/>
          <w:caps w:val="0"/>
          <w:color w:val="000000"/>
          <w:spacing w:val="0"/>
          <w:sz w:val="31"/>
          <w:szCs w:val="31"/>
          <w:shd w:val="clear" w:fill="FFFFFF"/>
        </w:rPr>
        <w:t>法院二级预算单位进行管理，此次决算为单位本级决算。单位现有11个内设机构，分别为：综合办公室、政治部、刑事审判庭、综合审判庭、民事审判庭、立案庭（诉讼服务中心）、审判管理办公室（研究室）、司法警察大队、大将人民法庭、大良人民法庭、泗顶人民法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本单位2020年年末编制人数为74人，其中行政人员编制数为74人，参照公务员法管理人员编制数为0人。2020年年末实有人数76人，其中在职人员74人，离休人员2人。</w:t>
      </w:r>
    </w:p>
    <w:p>
      <w:pPr>
        <w:ind w:firstLine="640" w:firstLineChars="200"/>
        <w:rPr>
          <w:rFonts w:ascii="仿宋_GB2312" w:hAnsi="仿宋_GB2312" w:eastAsia="仿宋_GB2312"/>
          <w:sz w:val="32"/>
          <w:szCs w:val="2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rPr>
          <w:rFonts w:ascii="仿宋_GB2312" w:eastAsia="仿宋_GB2312"/>
          <w:b/>
          <w:sz w:val="32"/>
          <w:szCs w:val="32"/>
        </w:rPr>
      </w:pPr>
      <w:r>
        <w:rPr>
          <w:rFonts w:hint="eastAsia" w:ascii="仿宋_GB2312" w:eastAsia="仿宋_GB2312"/>
          <w:b/>
          <w:sz w:val="32"/>
          <w:szCs w:val="32"/>
        </w:rPr>
        <w:t>第二部分：融安县</w:t>
      </w:r>
      <w:r>
        <w:rPr>
          <w:rFonts w:hint="eastAsia" w:ascii="仿宋_GB2312" w:hAnsi="黑体" w:eastAsia="仿宋_GB2312"/>
          <w:b/>
          <w:bCs/>
          <w:color w:val="000000"/>
          <w:sz w:val="32"/>
          <w:szCs w:val="32"/>
        </w:rPr>
        <w:t>人民法院</w:t>
      </w:r>
      <w:r>
        <w:rPr>
          <w:rFonts w:ascii="仿宋_GB2312" w:eastAsia="仿宋_GB2312"/>
          <w:b/>
          <w:sz w:val="32"/>
          <w:szCs w:val="32"/>
        </w:rPr>
        <w:t>2020</w:t>
      </w:r>
      <w:r>
        <w:rPr>
          <w:rFonts w:hint="eastAsia" w:ascii="仿宋_GB2312" w:eastAsia="仿宋_GB2312"/>
          <w:b/>
          <w:sz w:val="32"/>
          <w:szCs w:val="32"/>
        </w:rPr>
        <w:t>年决算报表</w:t>
      </w:r>
    </w:p>
    <w:p/>
    <w:tbl>
      <w:tblPr>
        <w:tblStyle w:val="6"/>
        <w:tblW w:w="8873" w:type="dxa"/>
        <w:jc w:val="center"/>
        <w:tblLayout w:type="fixed"/>
        <w:tblCellMar>
          <w:top w:w="0" w:type="dxa"/>
          <w:left w:w="108" w:type="dxa"/>
          <w:bottom w:w="0" w:type="dxa"/>
          <w:right w:w="108" w:type="dxa"/>
        </w:tblCellMar>
      </w:tblPr>
      <w:tblGrid>
        <w:gridCol w:w="3315"/>
        <w:gridCol w:w="1290"/>
        <w:gridCol w:w="2498"/>
        <w:gridCol w:w="1770"/>
      </w:tblGrid>
      <w:tr>
        <w:tblPrEx>
          <w:tblCellMar>
            <w:top w:w="0" w:type="dxa"/>
            <w:left w:w="108" w:type="dxa"/>
            <w:bottom w:w="0" w:type="dxa"/>
            <w:right w:w="108" w:type="dxa"/>
          </w:tblCellMar>
        </w:tblPrEx>
        <w:trPr>
          <w:wAfter w:w="0" w:type="auto"/>
          <w:trHeight w:val="570" w:hRule="atLeast"/>
          <w:jc w:val="center"/>
        </w:trPr>
        <w:tc>
          <w:tcPr>
            <w:tcW w:w="8873"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cs="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46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s="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268"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29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c>
          <w:tcPr>
            <w:tcW w:w="249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7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2156.70</w:t>
            </w: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一、一般公共服务支出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二、公共安全支出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2147.16</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三、上级补助收入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三、社会保障和就业支出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294.34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四、事业收入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四、卫生健康支出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190.61</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五、经营收入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五、城乡社区支出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六、附属单位上缴收入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六、住房保障支出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101.73</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七、其他收入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583.16</w:t>
            </w: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七、其他支出</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77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本年收入合计</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b/>
                <w:color w:val="000000"/>
                <w:kern w:val="0"/>
                <w:sz w:val="22"/>
                <w:szCs w:val="22"/>
              </w:rPr>
            </w:pPr>
            <w:r>
              <w:rPr>
                <w:rFonts w:ascii="宋体" w:cs="宋体"/>
                <w:b/>
                <w:color w:val="000000"/>
                <w:kern w:val="0"/>
                <w:sz w:val="22"/>
                <w:szCs w:val="22"/>
              </w:rPr>
              <w:t>2739.85</w:t>
            </w:r>
          </w:p>
        </w:tc>
        <w:tc>
          <w:tcPr>
            <w:tcW w:w="2498"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本年支出合计</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b/>
                <w:color w:val="000000"/>
                <w:kern w:val="0"/>
                <w:sz w:val="22"/>
                <w:szCs w:val="22"/>
              </w:rPr>
            </w:pPr>
            <w:r>
              <w:rPr>
                <w:rFonts w:ascii="宋体" w:cs="宋体"/>
                <w:b/>
                <w:color w:val="000000"/>
                <w:kern w:val="0"/>
                <w:sz w:val="22"/>
                <w:szCs w:val="22"/>
              </w:rPr>
              <w:t>2733.84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使用非财政拨款结余</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结余分配</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年初结转和结余</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2.21</w:t>
            </w: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年末结转与结余</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color w:val="000000"/>
                <w:kern w:val="0"/>
                <w:sz w:val="22"/>
                <w:szCs w:val="22"/>
              </w:rPr>
            </w:pPr>
            <w:r>
              <w:rPr>
                <w:rFonts w:ascii="宋体" w:cs="宋体"/>
                <w:color w:val="000000"/>
                <w:kern w:val="0"/>
                <w:sz w:val="22"/>
                <w:szCs w:val="22"/>
              </w:rPr>
              <w:t>8.22</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jc w:val="right"/>
              <w:rPr>
                <w:rFonts w:ascii="宋体" w:cs="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770" w:type="dxa"/>
            <w:tcBorders>
              <w:top w:val="nil"/>
              <w:left w:val="nil"/>
              <w:bottom w:val="single" w:color="auto" w:sz="4" w:space="0"/>
              <w:right w:val="single" w:color="auto" w:sz="4" w:space="0"/>
            </w:tcBorders>
            <w:vAlign w:val="center"/>
          </w:tcPr>
          <w:p>
            <w:pPr>
              <w:jc w:val="left"/>
              <w:rPr>
                <w:rFonts w:asci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收入总计</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宋体"/>
                <w:b/>
                <w:color w:val="000000"/>
                <w:kern w:val="0"/>
                <w:sz w:val="22"/>
                <w:szCs w:val="22"/>
              </w:rPr>
            </w:pPr>
            <w:r>
              <w:rPr>
                <w:rFonts w:ascii="宋体" w:cs="宋体"/>
                <w:b/>
                <w:color w:val="000000"/>
                <w:kern w:val="0"/>
                <w:sz w:val="22"/>
                <w:szCs w:val="22"/>
              </w:rPr>
              <w:t>2742.07</w:t>
            </w:r>
          </w:p>
        </w:tc>
        <w:tc>
          <w:tcPr>
            <w:tcW w:w="2498"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支出总计</w:t>
            </w:r>
          </w:p>
        </w:tc>
        <w:tc>
          <w:tcPr>
            <w:tcW w:w="1770" w:type="dxa"/>
            <w:tcBorders>
              <w:top w:val="nil"/>
              <w:left w:val="nil"/>
              <w:bottom w:val="single" w:color="auto" w:sz="4" w:space="0"/>
              <w:right w:val="single" w:color="auto" w:sz="4" w:space="0"/>
            </w:tcBorders>
            <w:vAlign w:val="center"/>
          </w:tcPr>
          <w:p>
            <w:pPr>
              <w:widowControl/>
              <w:jc w:val="right"/>
              <w:textAlignment w:val="center"/>
              <w:rPr>
                <w:rFonts w:ascii="宋体" w:cs="宋体"/>
                <w:b/>
                <w:color w:val="000000"/>
                <w:kern w:val="0"/>
                <w:sz w:val="22"/>
                <w:szCs w:val="22"/>
              </w:rPr>
            </w:pPr>
            <w:r>
              <w:rPr>
                <w:rFonts w:ascii="宋体" w:cs="宋体"/>
                <w:b/>
                <w:color w:val="000000"/>
                <w:kern w:val="0"/>
                <w:sz w:val="22"/>
                <w:szCs w:val="22"/>
              </w:rPr>
              <w:t>2742.07</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单位：万元</w:t>
      </w:r>
      <w:r>
        <w:rPr>
          <w:sz w:val="22"/>
          <w:szCs w:val="22"/>
        </w:rPr>
        <w:t xml:space="preserve">                     </w:t>
      </w:r>
    </w:p>
    <w:tbl>
      <w:tblPr>
        <w:tblStyle w:val="6"/>
        <w:tblW w:w="14140" w:type="dxa"/>
        <w:jc w:val="center"/>
        <w:tblLayout w:type="fixed"/>
        <w:tblCellMar>
          <w:top w:w="0" w:type="dxa"/>
          <w:left w:w="108" w:type="dxa"/>
          <w:bottom w:w="0" w:type="dxa"/>
          <w:right w:w="108" w:type="dxa"/>
        </w:tblCellMar>
      </w:tblPr>
      <w:tblGrid>
        <w:gridCol w:w="1085"/>
        <w:gridCol w:w="2865"/>
        <w:gridCol w:w="1440"/>
        <w:gridCol w:w="1635"/>
        <w:gridCol w:w="1245"/>
        <w:gridCol w:w="1250"/>
        <w:gridCol w:w="1540"/>
        <w:gridCol w:w="1540"/>
        <w:gridCol w:w="1540"/>
      </w:tblGrid>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s="Arial"/>
                <w:color w:val="000000"/>
                <w:kern w:val="0"/>
                <w:sz w:val="22"/>
                <w:szCs w:val="22"/>
              </w:rPr>
            </w:pPr>
            <w:r>
              <w:rPr>
                <w:rFonts w:hint="eastAsia" w:ascii="宋体" w:hAnsi="宋体" w:cs="Arial"/>
                <w:kern w:val="0"/>
                <w:sz w:val="22"/>
                <w:szCs w:val="22"/>
              </w:rPr>
              <w:t>支出功能项</w:t>
            </w:r>
            <w:r>
              <w:rPr>
                <w:rFonts w:ascii="宋体" w:hAnsi="宋体" w:cs="Arial"/>
                <w:kern w:val="0"/>
                <w:sz w:val="22"/>
                <w:szCs w:val="22"/>
              </w:rPr>
              <w:t xml:space="preserve"> </w:t>
            </w:r>
            <w:r>
              <w:rPr>
                <w:rFonts w:hint="eastAsia" w:ascii="宋体" w:hAnsi="宋体" w:cs="Arial"/>
                <w:kern w:val="0"/>
                <w:sz w:val="22"/>
                <w:szCs w:val="22"/>
              </w:rPr>
              <w:t>目</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本年收入合计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上级补助收入</w:t>
            </w:r>
          </w:p>
        </w:tc>
        <w:tc>
          <w:tcPr>
            <w:tcW w:w="1250" w:type="dxa"/>
            <w:vMerge w:val="restart"/>
            <w:tcBorders>
              <w:top w:val="single" w:color="auto" w:sz="4" w:space="0"/>
              <w:left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事业收入</w:t>
            </w:r>
          </w:p>
          <w:p>
            <w:pPr>
              <w:widowControl/>
              <w:jc w:val="left"/>
              <w:rPr>
                <w:rFonts w:asci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085" w:type="dxa"/>
            <w:tcBorders>
              <w:top w:val="nil"/>
              <w:left w:val="single" w:color="auto" w:sz="4" w:space="0"/>
              <w:bottom w:val="single" w:color="auto" w:sz="4" w:space="0"/>
              <w:right w:val="single" w:color="auto" w:sz="4" w:space="0"/>
            </w:tcBorders>
          </w:tcPr>
          <w:p>
            <w:pPr>
              <w:widowControl/>
              <w:jc w:val="left"/>
              <w:rPr>
                <w:rFonts w:ascii="宋体" w:cs="Arial"/>
                <w:kern w:val="0"/>
                <w:sz w:val="22"/>
                <w:szCs w:val="22"/>
              </w:rPr>
            </w:pPr>
            <w:r>
              <w:rPr>
                <w:rFonts w:hint="eastAsia" w:ascii="宋体" w:hAnsi="宋体" w:cs="Arial"/>
                <w:kern w:val="0"/>
                <w:sz w:val="22"/>
                <w:szCs w:val="22"/>
              </w:rPr>
              <w:t>支出功能分类科目编码</w:t>
            </w:r>
          </w:p>
        </w:tc>
        <w:tc>
          <w:tcPr>
            <w:tcW w:w="286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250" w:type="dxa"/>
            <w:vMerge w:val="continue"/>
            <w:tcBorders>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b/>
                <w:bCs/>
                <w:kern w:val="0"/>
                <w:sz w:val="22"/>
                <w:szCs w:val="22"/>
              </w:rPr>
              <w:t>栏次</w:t>
            </w:r>
          </w:p>
        </w:tc>
        <w:tc>
          <w:tcPr>
            <w:tcW w:w="14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1</w:t>
            </w:r>
          </w:p>
        </w:tc>
        <w:tc>
          <w:tcPr>
            <w:tcW w:w="163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2</w:t>
            </w:r>
          </w:p>
        </w:tc>
        <w:tc>
          <w:tcPr>
            <w:tcW w:w="12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3</w:t>
            </w:r>
          </w:p>
        </w:tc>
        <w:tc>
          <w:tcPr>
            <w:tcW w:w="12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cs="Arial"/>
                <w:color w:val="000000"/>
                <w:kern w:val="0"/>
                <w:sz w:val="22"/>
                <w:szCs w:val="22"/>
              </w:rPr>
            </w:pPr>
            <w:r>
              <w:rPr>
                <w:rFonts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cs="Arial"/>
                <w:color w:val="000000"/>
                <w:kern w:val="0"/>
                <w:sz w:val="22"/>
                <w:szCs w:val="22"/>
              </w:rPr>
            </w:pPr>
            <w:r>
              <w:rPr>
                <w:rFonts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2739.85</w:t>
            </w:r>
          </w:p>
        </w:tc>
        <w:tc>
          <w:tcPr>
            <w:tcW w:w="1635"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583.16</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2019999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公共安全支出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2147.16</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1732.95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414.21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法院</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2147.16</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1732.95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414.21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1296.63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952.73</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343.90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86.22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15.92</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70.31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355.83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355.83</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7.34</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7.34</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401.14</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401.14</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社会保障和就业支出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300.35</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200.51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99.85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行政事业单位养老支出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300.14</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200.51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99.64</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74.37</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37.24</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37.13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143.35</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108.84</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34.51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82.42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54.42</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28.00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抚恤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20827</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财政对其他社会保险基金的补助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2082702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财政对工伤保险基金的补助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卫生健康支出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141.61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49.00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行政事业单位医疗</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141.61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49.00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98.41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70.22</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28.19</w:t>
            </w:r>
          </w:p>
        </w:tc>
      </w:tr>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92.20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71.39</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20.81</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城乡社区管理事务</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2120199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其他城乡社区管理事务支出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城乡社区公共设施</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国有土地使用权出让收入安排的支出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2120803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城市建设支出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住房保障支出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81.63</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20.10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住房改革支出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81.63</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20.10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81.63</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20.10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2290200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2299901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bl>
    <w:p/>
    <w:p>
      <w:r>
        <w:rPr>
          <w:rFonts w:hint="eastAsia"/>
        </w:rPr>
        <w:t>注：本表反映本年度取得的各项收入情况。</w:t>
      </w:r>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3040"/>
        <w:gridCol w:w="1620"/>
        <w:gridCol w:w="1605"/>
        <w:gridCol w:w="1455"/>
        <w:gridCol w:w="1695"/>
        <w:gridCol w:w="1469"/>
        <w:gridCol w:w="1985"/>
      </w:tblGrid>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支出功能项</w:t>
            </w:r>
            <w:r>
              <w:rPr>
                <w:rFonts w:ascii="宋体" w:hAnsi="宋体" w:cs="Arial"/>
                <w:kern w:val="0"/>
                <w:sz w:val="22"/>
                <w:szCs w:val="22"/>
              </w:rPr>
              <w:t xml:space="preserve"> </w:t>
            </w:r>
            <w:r>
              <w:rPr>
                <w:rFonts w:hint="eastAsia" w:ascii="宋体" w:hAnsi="宋体" w:cs="Arial"/>
                <w:kern w:val="0"/>
                <w:sz w:val="22"/>
                <w:szCs w:val="22"/>
              </w:rPr>
              <w:t>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本年支出合计</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基本支出</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项目支出</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上缴上级支出</w:t>
            </w:r>
          </w:p>
        </w:tc>
        <w:tc>
          <w:tcPr>
            <w:tcW w:w="14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支出功能分类科目编码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c>
          <w:tcPr>
            <w:tcW w:w="14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2"/>
                <w:szCs w:val="22"/>
              </w:rPr>
            </w:pP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s="Arial"/>
                <w:color w:val="000000"/>
                <w:kern w:val="0"/>
                <w:sz w:val="22"/>
                <w:szCs w:val="22"/>
              </w:rPr>
            </w:pPr>
            <w:r>
              <w:rPr>
                <w:rFonts w:hint="eastAsia" w:ascii="宋体" w:hAnsi="宋体" w:cs="Arial"/>
                <w:kern w:val="0"/>
                <w:sz w:val="22"/>
                <w:szCs w:val="22"/>
              </w:rPr>
              <w:t>栏次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1</w:t>
            </w:r>
          </w:p>
        </w:tc>
        <w:tc>
          <w:tcPr>
            <w:tcW w:w="160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2</w:t>
            </w:r>
          </w:p>
        </w:tc>
        <w:tc>
          <w:tcPr>
            <w:tcW w:w="145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3</w:t>
            </w:r>
          </w:p>
        </w:tc>
        <w:tc>
          <w:tcPr>
            <w:tcW w:w="1695" w:type="dxa"/>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kern w:val="0"/>
                <w:sz w:val="22"/>
                <w:szCs w:val="22"/>
              </w:rPr>
              <w:t>4</w:t>
            </w:r>
          </w:p>
        </w:tc>
        <w:tc>
          <w:tcPr>
            <w:tcW w:w="1469"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5</w:t>
            </w:r>
          </w:p>
        </w:tc>
        <w:tc>
          <w:tcPr>
            <w:tcW w:w="198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s="Arial"/>
                <w:color w:val="000000"/>
                <w:kern w:val="0"/>
                <w:sz w:val="22"/>
                <w:szCs w:val="22"/>
              </w:rPr>
            </w:pPr>
            <w:r>
              <w:rPr>
                <w:rFonts w:hint="eastAsia" w:ascii="宋体" w:hAnsi="宋体" w:cs="Arial"/>
                <w:kern w:val="0"/>
                <w:sz w:val="22"/>
                <w:szCs w:val="22"/>
              </w:rPr>
              <w:t>合计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　</w:t>
            </w:r>
            <w:r>
              <w:rPr>
                <w:rFonts w:ascii="宋体" w:hAnsi="宋体" w:cs="Arial"/>
                <w:color w:val="000000"/>
                <w:kern w:val="0"/>
                <w:sz w:val="22"/>
                <w:szCs w:val="22"/>
              </w:rPr>
              <w:t>2733.84</w:t>
            </w:r>
          </w:p>
        </w:tc>
        <w:tc>
          <w:tcPr>
            <w:tcW w:w="1605" w:type="dxa"/>
            <w:tcBorders>
              <w:top w:val="single" w:color="auto" w:sz="4" w:space="0"/>
              <w:left w:val="single" w:color="auto" w:sz="4" w:space="0"/>
              <w:bottom w:val="single" w:color="auto" w:sz="4" w:space="0"/>
              <w:right w:val="single" w:color="auto" w:sz="4" w:space="0"/>
            </w:tcBorders>
          </w:tcPr>
          <w:p>
            <w:pPr>
              <w:widowControl/>
              <w:ind w:firstLine="550" w:firstLineChars="250"/>
              <w:jc w:val="left"/>
              <w:rPr>
                <w:rFonts w:ascii="宋体" w:cs="Arial"/>
                <w:color w:val="000000"/>
                <w:kern w:val="0"/>
                <w:sz w:val="22"/>
                <w:szCs w:val="22"/>
              </w:rPr>
            </w:pPr>
            <w:r>
              <w:rPr>
                <w:rFonts w:ascii="宋体" w:hAnsi="宋体" w:cs="Arial"/>
                <w:color w:val="000000"/>
                <w:kern w:val="0"/>
                <w:sz w:val="22"/>
                <w:szCs w:val="22"/>
              </w:rPr>
              <w:t>1883.32</w:t>
            </w:r>
          </w:p>
        </w:tc>
        <w:tc>
          <w:tcPr>
            <w:tcW w:w="1455" w:type="dxa"/>
            <w:tcBorders>
              <w:top w:val="single" w:color="auto" w:sz="4" w:space="0"/>
              <w:left w:val="single" w:color="auto" w:sz="4" w:space="0"/>
              <w:bottom w:val="single" w:color="auto" w:sz="4" w:space="0"/>
              <w:right w:val="single" w:color="auto" w:sz="4" w:space="0"/>
            </w:tcBorders>
          </w:tcPr>
          <w:p>
            <w:pPr>
              <w:widowControl/>
              <w:ind w:firstLine="550" w:firstLineChars="250"/>
              <w:jc w:val="left"/>
              <w:rPr>
                <w:rFonts w:ascii="宋体" w:cs="Arial"/>
                <w:color w:val="000000"/>
                <w:kern w:val="0"/>
                <w:sz w:val="22"/>
                <w:szCs w:val="22"/>
              </w:rPr>
            </w:pPr>
            <w:r>
              <w:rPr>
                <w:rFonts w:ascii="宋体" w:hAnsi="宋体" w:cs="Arial"/>
                <w:color w:val="000000"/>
                <w:kern w:val="0"/>
                <w:sz w:val="22"/>
                <w:szCs w:val="22"/>
              </w:rPr>
              <w:t>850.53</w:t>
            </w:r>
          </w:p>
        </w:tc>
        <w:tc>
          <w:tcPr>
            <w:tcW w:w="169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s="Arial"/>
                <w:color w:val="000000"/>
                <w:kern w:val="0"/>
                <w:sz w:val="22"/>
                <w:szCs w:val="22"/>
              </w:rPr>
            </w:pPr>
            <w:r>
              <w:rPr>
                <w:rFonts w:hint="eastAsia" w:ascii="宋体" w:hAnsi="宋体" w:cs="Arial"/>
                <w:color w:val="000000"/>
                <w:kern w:val="0"/>
                <w:sz w:val="22"/>
                <w:szCs w:val="22"/>
              </w:rPr>
              <w:t>　</w:t>
            </w:r>
          </w:p>
        </w:tc>
        <w:tc>
          <w:tcPr>
            <w:tcW w:w="1469"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2019999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公共安全支出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2147.16</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1296.63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850.53</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法院</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2147.16</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1296.63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850.53</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1296.63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1296.63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86.22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86.22</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2040504</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355.83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355.83</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7.34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7.34</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2040506</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401.14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401.14</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社会保障和就业支出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294.34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294.34</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行政事业单位养老支出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294.13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294.13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68.36</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68.36</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143.35</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143.35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2080506</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82.42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82.42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抚恤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20827</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财政对其他社会保险基金的补助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2082702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财政对工伤保险基金的补助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0.21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卫生健康支出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行政事业单位医疗</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190.61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98.41</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98.41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92.20</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92.20</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其他行政事业单位医疗支出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城乡社区管理事务</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其他城乡社区管理事务支出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城乡社区公共设施</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国有土地使用权出让收入安排的支出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2120803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城市建设支出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住房保障支出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住房改革支出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101.73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2210203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2290200</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2299901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bl>
    <w:p/>
    <w:p>
      <w:r>
        <w:rPr>
          <w:rFonts w:hint="eastAsia"/>
        </w:rPr>
        <w:t>注：本表反映本年度各项支出情况。</w:t>
      </w:r>
    </w:p>
    <w:p/>
    <w:p/>
    <w:p/>
    <w:p/>
    <w:p/>
    <w:p/>
    <w:p/>
    <w:p>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12540" w:firstLineChars="5700"/>
      </w:pPr>
      <w:r>
        <w:rPr>
          <w:rFonts w:hint="eastAsia"/>
          <w:sz w:val="22"/>
          <w:szCs w:val="22"/>
        </w:rPr>
        <w:t>单位：万元</w:t>
      </w:r>
    </w:p>
    <w:tbl>
      <w:tblPr>
        <w:tblStyle w:val="6"/>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255"/>
        <w:gridCol w:w="645"/>
        <w:gridCol w:w="1290"/>
        <w:gridCol w:w="2790"/>
        <w:gridCol w:w="750"/>
        <w:gridCol w:w="1410"/>
        <w:gridCol w:w="1309"/>
        <w:gridCol w:w="1316"/>
      </w:tblGrid>
      <w:tr>
        <w:tblPrEx>
          <w:tblCellMar>
            <w:top w:w="0" w:type="dxa"/>
            <w:left w:w="108" w:type="dxa"/>
            <w:bottom w:w="0" w:type="dxa"/>
            <w:right w:w="108" w:type="dxa"/>
          </w:tblCellMar>
        </w:tblPrEx>
        <w:trPr>
          <w:trHeight w:val="300" w:hRule="atLeast"/>
          <w:jc w:val="center"/>
        </w:trPr>
        <w:tc>
          <w:tcPr>
            <w:tcW w:w="61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收</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入</w:t>
            </w:r>
          </w:p>
        </w:tc>
        <w:tc>
          <w:tcPr>
            <w:tcW w:w="75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支</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出</w:t>
            </w:r>
          </w:p>
        </w:tc>
      </w:tr>
      <w:tr>
        <w:tblPrEx>
          <w:tblCellMar>
            <w:top w:w="0" w:type="dxa"/>
            <w:left w:w="108" w:type="dxa"/>
            <w:bottom w:w="0" w:type="dxa"/>
            <w:right w:w="108" w:type="dxa"/>
          </w:tblCellMar>
        </w:tblPrEx>
        <w:trPr>
          <w:trHeight w:val="732" w:hRule="atLeast"/>
          <w:jc w:val="center"/>
        </w:trPr>
        <w:tc>
          <w:tcPr>
            <w:tcW w:w="4255"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645"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29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金额</w:t>
            </w:r>
          </w:p>
        </w:tc>
        <w:tc>
          <w:tcPr>
            <w:tcW w:w="279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750"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309"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645"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29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2790"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30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一、公共安全支出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1732.95</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1732.95</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二、社会保障和就业支出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194.50</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194.50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三、卫生健康支出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141.61</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141.61</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四、城乡社区支出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五、住房保障支出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81.63</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81.63</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六、社会保障和就业支出</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410"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1410" w:type="dxa"/>
            <w:tcBorders>
              <w:top w:val="single" w:color="auto" w:sz="4" w:space="0"/>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660" w:firstLineChars="3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本年收入合计</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279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2150.69</w:t>
            </w: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2150.69</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年初财政拨款结转和结余</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6.01</w:t>
            </w: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6.01</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kern w:val="0"/>
                <w:sz w:val="22"/>
                <w:szCs w:val="22"/>
              </w:rPr>
            </w:pPr>
            <w:r>
              <w:rPr>
                <w:rFonts w:hint="eastAsia" w:ascii="宋体" w:hAnsi="宋体" w:cs="Arial"/>
                <w:kern w:val="0"/>
                <w:sz w:val="22"/>
                <w:szCs w:val="22"/>
              </w:rPr>
              <w:t>一般公共预算财政拨款</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政府性基金预算财政拨款</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64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279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r>
              <w:rPr>
                <w:rFonts w:ascii="宋体" w:cs="Arial"/>
                <w:color w:val="000000"/>
                <w:kern w:val="0"/>
                <w:sz w:val="22"/>
                <w:szCs w:val="22"/>
              </w:rPr>
              <w:t>2156.70</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Arial"/>
                <w:color w:val="000000"/>
                <w:kern w:val="0"/>
                <w:sz w:val="22"/>
                <w:szCs w:val="22"/>
              </w:rPr>
            </w:pPr>
          </w:p>
        </w:tc>
      </w:tr>
    </w:tbl>
    <w:p>
      <w:pPr>
        <w:jc w:val="right"/>
        <w:rPr>
          <w:sz w:val="22"/>
          <w:szCs w:val="22"/>
        </w:rPr>
      </w:pPr>
    </w:p>
    <w:p>
      <w:r>
        <w:rPr>
          <w:rFonts w:hint="eastAsia"/>
        </w:rPr>
        <w:t>注：本表反映本年度一般公共预算财政拨款和政府性基金预算财政拨款的总收支和年末结转结余情况。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cs="宋体"/>
          <w:kern w:val="0"/>
          <w:sz w:val="22"/>
          <w:szCs w:val="22"/>
        </w:rPr>
      </w:pPr>
      <w:r>
        <w:rPr>
          <w:rFonts w:hint="eastAsia" w:ascii="宋体" w:hAnsi="宋体" w:cs="宋体"/>
          <w:kern w:val="0"/>
          <w:sz w:val="22"/>
          <w:szCs w:val="22"/>
        </w:rPr>
        <w:t>单位：万元</w:t>
      </w:r>
    </w:p>
    <w:tbl>
      <w:tblPr>
        <w:tblStyle w:val="6"/>
        <w:tblW w:w="13479" w:type="dxa"/>
        <w:tblInd w:w="0" w:type="dxa"/>
        <w:tblLayout w:type="fixed"/>
        <w:tblCellMar>
          <w:top w:w="0" w:type="dxa"/>
          <w:left w:w="108" w:type="dxa"/>
          <w:bottom w:w="0" w:type="dxa"/>
          <w:right w:w="108" w:type="dxa"/>
        </w:tblCellMar>
      </w:tblPr>
      <w:tblGrid>
        <w:gridCol w:w="1283"/>
        <w:gridCol w:w="4032"/>
        <w:gridCol w:w="2445"/>
        <w:gridCol w:w="3060"/>
        <w:gridCol w:w="2659"/>
      </w:tblGrid>
      <w:tr>
        <w:tblPrEx>
          <w:tblCellMar>
            <w:top w:w="0" w:type="dxa"/>
            <w:left w:w="108" w:type="dxa"/>
            <w:bottom w:w="0" w:type="dxa"/>
            <w:right w:w="108" w:type="dxa"/>
          </w:tblCellMar>
        </w:tblPrEx>
        <w:trPr>
          <w:trHeight w:val="300" w:hRule="atLeast"/>
        </w:trPr>
        <w:tc>
          <w:tcPr>
            <w:tcW w:w="53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cs="Arial"/>
                <w:kern w:val="0"/>
                <w:sz w:val="22"/>
                <w:szCs w:val="22"/>
              </w:rPr>
              <w:t>支出功能</w:t>
            </w:r>
            <w:r>
              <w:rPr>
                <w:rFonts w:hint="eastAsia" w:ascii="MingLiUfalt" w:hAnsi="MingLiUfalt" w:eastAsia="MingLiUfalt" w:cs="Arial"/>
                <w:kern w:val="0"/>
                <w:sz w:val="22"/>
                <w:szCs w:val="22"/>
              </w:rPr>
              <w:t>项</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目</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合计</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基本支出</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项目支出</w:t>
            </w:r>
          </w:p>
        </w:tc>
      </w:tr>
      <w:tr>
        <w:tblPrEx>
          <w:tblCellMar>
            <w:top w:w="0" w:type="dxa"/>
            <w:left w:w="108" w:type="dxa"/>
            <w:bottom w:w="0" w:type="dxa"/>
            <w:right w:w="108" w:type="dxa"/>
          </w:tblCellMar>
        </w:tblPrEx>
        <w:trPr>
          <w:trHeight w:val="300"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rPr>
                <w:rFonts w:ascii="MingLiUfalt" w:hAnsi="MingLiUfalt" w:eastAsia="MingLiUfalt" w:cs="Arial"/>
                <w:kern w:val="0"/>
                <w:sz w:val="22"/>
                <w:szCs w:val="22"/>
              </w:rPr>
            </w:pPr>
            <w:r>
              <w:rPr>
                <w:rFonts w:hint="eastAsia" w:ascii="MingLiUfalt" w:hAnsi="MingLiUfalt" w:cs="Arial"/>
                <w:kern w:val="0"/>
                <w:sz w:val="22"/>
                <w:szCs w:val="22"/>
              </w:rPr>
              <w:t>支出功能分类</w:t>
            </w:r>
            <w:r>
              <w:rPr>
                <w:rFonts w:hint="eastAsia" w:ascii="MingLiUfalt" w:hAnsi="MingLiUfalt" w:eastAsia="MingLiUfalt" w:cs="Arial"/>
                <w:kern w:val="0"/>
                <w:sz w:val="22"/>
                <w:szCs w:val="22"/>
              </w:rPr>
              <w:t>科目编码</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科目名称</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Arial"/>
                <w:b/>
                <w:bCs/>
                <w:kern w:val="0"/>
                <w:sz w:val="18"/>
                <w:szCs w:val="18"/>
              </w:rPr>
              <w:t>栏次</w:t>
            </w:r>
          </w:p>
        </w:tc>
        <w:tc>
          <w:tcPr>
            <w:tcW w:w="2445"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060"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2150.69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1370.47</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780.22</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公共安全支出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1732.95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952.73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780.22</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法院</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1732.95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952.73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780.22</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952.73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952.73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15.92</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15.92</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2040504</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355.83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355.83</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7.34</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7.34</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2040506</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2040599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401.14</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401.14</w:t>
            </w: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社会保障和就业支出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194.50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194.50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行政事业单位养老支出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194.50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194.50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31.23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31.23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108.84</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108.84</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2080506</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54.42</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54.42</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抚恤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2080801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卫生健康支出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141.61</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141.61</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行政事业单位医疗</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141.61</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141.61</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70.22</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70.22</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71.39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71.39</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2101199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其他行政事业单位医疗支出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城乡社区支出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城乡社区公共设施</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2120399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88"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ascii="宋体" w:hAnsi="宋体" w:cs="宋体"/>
                <w:color w:val="000000"/>
                <w:kern w:val="0"/>
                <w:sz w:val="22"/>
                <w:szCs w:val="22"/>
              </w:rPr>
              <w:t>221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住房保障支出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住房改革支出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81.63</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r>
    </w:tbl>
    <w:p/>
    <w:p>
      <w:r>
        <w:rPr>
          <w:rFonts w:hint="eastAsia"/>
        </w:rPr>
        <w:t>注：本表反映本年度一般公共预算财政拨款实际支出情况。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cs="宋体"/>
          <w:kern w:val="0"/>
          <w:sz w:val="22"/>
          <w:szCs w:val="22"/>
        </w:rPr>
      </w:pPr>
      <w:r>
        <w:rPr>
          <w:rFonts w:hint="eastAsia" w:ascii="宋体" w:hAnsi="宋体" w:cs="宋体"/>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1231"/>
        <w:gridCol w:w="2805"/>
        <w:gridCol w:w="1230"/>
        <w:gridCol w:w="945"/>
        <w:gridCol w:w="1785"/>
        <w:gridCol w:w="1155"/>
      </w:tblGrid>
      <w:tr>
        <w:tblPrEx>
          <w:tblCellMar>
            <w:top w:w="0" w:type="dxa"/>
            <w:left w:w="108" w:type="dxa"/>
            <w:bottom w:w="0" w:type="dxa"/>
            <w:right w:w="108" w:type="dxa"/>
          </w:tblCellMar>
        </w:tblPrEx>
        <w:trPr>
          <w:trHeight w:val="564" w:hRule="atLeast"/>
          <w:jc w:val="center"/>
        </w:trPr>
        <w:tc>
          <w:tcPr>
            <w:tcW w:w="52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w:t>
            </w:r>
          </w:p>
        </w:tc>
        <w:tc>
          <w:tcPr>
            <w:tcW w:w="3885"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231" w:type="dxa"/>
            <w:tcBorders>
              <w:top w:val="nil"/>
              <w:left w:val="single" w:color="auto" w:sz="4" w:space="0"/>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支出经济分类科目编码</w:t>
            </w:r>
          </w:p>
        </w:tc>
        <w:tc>
          <w:tcPr>
            <w:tcW w:w="280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230"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94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178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155" w:type="dxa"/>
            <w:tcBorders>
              <w:top w:val="nil"/>
              <w:left w:val="nil"/>
              <w:bottom w:val="single" w:color="auto" w:sz="4" w:space="0"/>
              <w:right w:val="single" w:color="auto" w:sz="4" w:space="0"/>
            </w:tcBorders>
            <w:vAlign w:val="bottom"/>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369"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ascii="宋体" w:hAnsi="宋体" w:cs="Arial"/>
                <w:b/>
                <w:bCs/>
                <w:color w:val="000000"/>
                <w:kern w:val="0"/>
                <w:sz w:val="22"/>
                <w:szCs w:val="22"/>
              </w:rPr>
              <w:t>301</w:t>
            </w:r>
          </w:p>
        </w:tc>
        <w:tc>
          <w:tcPr>
            <w:tcW w:w="280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工资福利支出</w:t>
            </w:r>
          </w:p>
        </w:tc>
        <w:tc>
          <w:tcPr>
            <w:tcW w:w="1230" w:type="dxa"/>
            <w:tcBorders>
              <w:top w:val="nil"/>
              <w:left w:val="nil"/>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ascii="宋体" w:cs="Arial"/>
                <w:b/>
                <w:bCs/>
                <w:color w:val="000000"/>
                <w:kern w:val="0"/>
                <w:sz w:val="22"/>
                <w:szCs w:val="22"/>
              </w:rPr>
              <w:t>1068.54</w:t>
            </w:r>
          </w:p>
        </w:tc>
        <w:tc>
          <w:tcPr>
            <w:tcW w:w="94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ascii="宋体" w:hAnsi="宋体" w:cs="Arial"/>
                <w:b/>
                <w:bCs/>
                <w:color w:val="000000"/>
                <w:kern w:val="0"/>
                <w:sz w:val="22"/>
                <w:szCs w:val="22"/>
              </w:rPr>
              <w:t>302</w:t>
            </w:r>
          </w:p>
        </w:tc>
        <w:tc>
          <w:tcPr>
            <w:tcW w:w="178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商品和服务支出</w:t>
            </w:r>
          </w:p>
        </w:tc>
        <w:tc>
          <w:tcPr>
            <w:tcW w:w="1155" w:type="dxa"/>
            <w:tcBorders>
              <w:top w:val="nil"/>
              <w:left w:val="nil"/>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ascii="宋体" w:cs="Arial"/>
                <w:b/>
                <w:bCs/>
                <w:color w:val="000000"/>
                <w:kern w:val="0"/>
                <w:sz w:val="22"/>
                <w:szCs w:val="22"/>
              </w:rPr>
              <w:t>234.54</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30101</w:t>
            </w:r>
          </w:p>
        </w:tc>
        <w:tc>
          <w:tcPr>
            <w:tcW w:w="280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基本工资</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324.30</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30201</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办公费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20.98</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30102</w:t>
            </w:r>
          </w:p>
        </w:tc>
        <w:tc>
          <w:tcPr>
            <w:tcW w:w="280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津贴补贴</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254.52</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30202</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印刷费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30103</w:t>
            </w:r>
          </w:p>
        </w:tc>
        <w:tc>
          <w:tcPr>
            <w:tcW w:w="280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奖金</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119</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30203</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咨询费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伙食补助费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30204</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手续费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绩效工资</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30205</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水费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1.04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30108</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108.84</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30206</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电费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20.72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职业年金缴费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54.42</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30207</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邮电费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28.99</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30110</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职工基本医疗保险缴费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51.02</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30209</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物业管理费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4.18</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公务员医疗补助缴费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71.39</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30211</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差旅费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5.32</w:t>
            </w:r>
          </w:p>
        </w:tc>
      </w:tr>
      <w:tr>
        <w:tblPrEx>
          <w:tblCellMar>
            <w:top w:w="0" w:type="dxa"/>
            <w:left w:w="108" w:type="dxa"/>
            <w:bottom w:w="0" w:type="dxa"/>
            <w:right w:w="108" w:type="dxa"/>
          </w:tblCellMar>
        </w:tblPrEx>
        <w:trPr>
          <w:trHeight w:val="41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其他社会保障缴费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3.40</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30213</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维修（护）费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13.50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30113</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住房公积金</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81.63</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30214</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租赁费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宋体"/>
                <w:color w:val="000000"/>
                <w:kern w:val="0"/>
                <w:sz w:val="20"/>
                <w:szCs w:val="20"/>
              </w:rPr>
              <w:t>其他工资福利支出</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30215</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会议费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ascii="宋体" w:hAnsi="宋体" w:cs="Arial"/>
                <w:b/>
                <w:bCs/>
                <w:color w:val="000000"/>
                <w:kern w:val="0"/>
                <w:sz w:val="22"/>
                <w:szCs w:val="22"/>
              </w:rPr>
              <w:t>303</w:t>
            </w:r>
          </w:p>
        </w:tc>
        <w:tc>
          <w:tcPr>
            <w:tcW w:w="280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ascii="宋体" w:cs="Arial"/>
                <w:b/>
                <w:bCs/>
                <w:color w:val="000000"/>
                <w:kern w:val="0"/>
                <w:sz w:val="22"/>
                <w:szCs w:val="22"/>
              </w:rPr>
              <w:t>50.43</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30216</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培训费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离休费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22.71</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30217</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公务接待费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1.59</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退休费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7.64</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30218</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专用材料费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30304</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抚恤金</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30224</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被装购置费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30305</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生活补助</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30226</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劳务费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救济费</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30227</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委托业务费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医疗费补助</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19.20</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30228</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工会经费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13.61</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奖励金</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0.88</w:t>
            </w: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30229</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福利费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3.32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r>
              <w:rPr>
                <w:rFonts w:hint="eastAsia" w:ascii="宋体" w:hAnsi="宋体" w:cs="Arial"/>
                <w:color w:val="000000"/>
                <w:kern w:val="0"/>
                <w:sz w:val="22"/>
                <w:szCs w:val="22"/>
              </w:rPr>
              <w:t>其他对个人和家庭的补助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30231</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公务用车运行维护费</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6.53</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30239</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其他交通费用</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63.52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textAlignment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30299</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其他商品和服务支出</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51.25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ascii="宋体" w:hAnsi="宋体" w:cs="Arial"/>
                <w:b/>
                <w:bCs/>
                <w:color w:val="000000"/>
                <w:kern w:val="0"/>
                <w:sz w:val="22"/>
                <w:szCs w:val="22"/>
              </w:rPr>
              <w:t>310</w:t>
            </w:r>
          </w:p>
        </w:tc>
        <w:tc>
          <w:tcPr>
            <w:tcW w:w="1785" w:type="dxa"/>
            <w:tcBorders>
              <w:top w:val="nil"/>
              <w:left w:val="nil"/>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资本性支出</w:t>
            </w:r>
          </w:p>
        </w:tc>
        <w:tc>
          <w:tcPr>
            <w:tcW w:w="1155" w:type="dxa"/>
            <w:tcBorders>
              <w:top w:val="nil"/>
              <w:left w:val="nil"/>
              <w:bottom w:val="single" w:color="auto" w:sz="4" w:space="0"/>
              <w:right w:val="single" w:color="auto" w:sz="4" w:space="0"/>
            </w:tcBorders>
            <w:vAlign w:val="center"/>
          </w:tcPr>
          <w:p>
            <w:pPr>
              <w:widowControl/>
              <w:jc w:val="right"/>
              <w:rPr>
                <w:rFonts w:ascii="宋体" w:cs="Arial"/>
                <w:b/>
                <w:bCs/>
                <w:color w:val="000000"/>
                <w:kern w:val="0"/>
                <w:sz w:val="22"/>
                <w:szCs w:val="22"/>
              </w:rPr>
            </w:pPr>
            <w:r>
              <w:rPr>
                <w:rFonts w:ascii="宋体" w:cs="Arial"/>
                <w:b/>
                <w:bCs/>
                <w:color w:val="000000"/>
                <w:kern w:val="0"/>
                <w:sz w:val="22"/>
                <w:szCs w:val="22"/>
              </w:rPr>
              <w:t>16.96</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31002</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办公设备购置</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13.20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31013</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0.89</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31099</w:t>
            </w:r>
          </w:p>
        </w:tc>
        <w:tc>
          <w:tcPr>
            <w:tcW w:w="1785"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其他资本性支出</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2.87</w:t>
            </w:r>
          </w:p>
        </w:tc>
      </w:tr>
      <w:tr>
        <w:tblPrEx>
          <w:tblCellMar>
            <w:top w:w="0" w:type="dxa"/>
            <w:left w:w="108" w:type="dxa"/>
            <w:bottom w:w="0" w:type="dxa"/>
            <w:right w:w="108" w:type="dxa"/>
          </w:tblCellMar>
        </w:tblPrEx>
        <w:trPr>
          <w:trHeight w:val="98" w:hRule="atLeast"/>
          <w:jc w:val="center"/>
        </w:trPr>
        <w:tc>
          <w:tcPr>
            <w:tcW w:w="4036" w:type="dxa"/>
            <w:gridSpan w:val="2"/>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人员经费合计</w:t>
            </w:r>
          </w:p>
        </w:tc>
        <w:tc>
          <w:tcPr>
            <w:tcW w:w="123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1118.97</w:t>
            </w:r>
          </w:p>
        </w:tc>
        <w:tc>
          <w:tcPr>
            <w:tcW w:w="2730"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公用经费合计</w:t>
            </w:r>
          </w:p>
        </w:tc>
        <w:tc>
          <w:tcPr>
            <w:tcW w:w="1155"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251.50</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1096"/>
        <w:gridCol w:w="1200"/>
        <w:gridCol w:w="1170"/>
        <w:gridCol w:w="1036"/>
        <w:gridCol w:w="1242"/>
        <w:gridCol w:w="1216"/>
        <w:gridCol w:w="1066"/>
        <w:gridCol w:w="1300"/>
        <w:gridCol w:w="995"/>
        <w:gridCol w:w="1209"/>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10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20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448"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c>
          <w:tcPr>
            <w:tcW w:w="10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30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20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03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公务用车购置费</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0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30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0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6"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20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7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03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0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300"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995"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0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54.65</w:t>
            </w:r>
          </w:p>
        </w:tc>
        <w:tc>
          <w:tcPr>
            <w:tcW w:w="120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53.06</w:t>
            </w:r>
          </w:p>
        </w:tc>
        <w:tc>
          <w:tcPr>
            <w:tcW w:w="103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14.20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38.86</w:t>
            </w:r>
          </w:p>
        </w:tc>
        <w:tc>
          <w:tcPr>
            <w:tcW w:w="121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1.59</w:t>
            </w:r>
          </w:p>
        </w:tc>
        <w:tc>
          <w:tcPr>
            <w:tcW w:w="106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54.65</w:t>
            </w:r>
          </w:p>
        </w:tc>
        <w:tc>
          <w:tcPr>
            <w:tcW w:w="130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p>
        </w:tc>
        <w:tc>
          <w:tcPr>
            <w:tcW w:w="995"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53.06</w:t>
            </w:r>
          </w:p>
        </w:tc>
        <w:tc>
          <w:tcPr>
            <w:tcW w:w="1209"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14.20</w:t>
            </w:r>
          </w:p>
        </w:tc>
        <w:tc>
          <w:tcPr>
            <w:tcW w:w="120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38.86</w:t>
            </w:r>
          </w:p>
        </w:tc>
        <w:tc>
          <w:tcPr>
            <w:tcW w:w="118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1.59</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注：本表反映本年度“三公”经费支出预决算情况。其中，</w:t>
      </w:r>
      <w:r>
        <w:t>2020</w:t>
      </w:r>
      <w:r>
        <w:rPr>
          <w:rFonts w:hint="eastAsia"/>
        </w:rPr>
        <w:t>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615"/>
        <w:gridCol w:w="840"/>
        <w:gridCol w:w="975"/>
        <w:gridCol w:w="1065"/>
        <w:gridCol w:w="915"/>
        <w:gridCol w:w="90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615" w:type="dxa"/>
            <w:tcBorders>
              <w:top w:val="nil"/>
              <w:left w:val="nil"/>
              <w:bottom w:val="nil"/>
              <w:right w:val="nil"/>
            </w:tcBorders>
            <w:vAlign w:val="bottom"/>
          </w:tcPr>
          <w:p>
            <w:pPr>
              <w:widowControl/>
              <w:jc w:val="left"/>
              <w:rPr>
                <w:rFonts w:ascii="仿宋_GB2312" w:hAnsi="宋体" w:cs="宋体"/>
                <w:kern w:val="0"/>
                <w:sz w:val="24"/>
              </w:rPr>
            </w:pPr>
          </w:p>
        </w:tc>
        <w:tc>
          <w:tcPr>
            <w:tcW w:w="840" w:type="dxa"/>
            <w:tcBorders>
              <w:top w:val="nil"/>
              <w:left w:val="nil"/>
              <w:bottom w:val="nil"/>
              <w:right w:val="nil"/>
            </w:tcBorders>
            <w:vAlign w:val="bottom"/>
          </w:tcPr>
          <w:p>
            <w:pPr>
              <w:widowControl/>
              <w:jc w:val="left"/>
              <w:rPr>
                <w:rFonts w:ascii="仿宋_GB2312" w:hAnsi="宋体" w:cs="宋体"/>
                <w:kern w:val="0"/>
                <w:sz w:val="24"/>
              </w:rPr>
            </w:pPr>
          </w:p>
        </w:tc>
        <w:tc>
          <w:tcPr>
            <w:tcW w:w="975" w:type="dxa"/>
            <w:tcBorders>
              <w:top w:val="nil"/>
              <w:left w:val="nil"/>
              <w:bottom w:val="nil"/>
              <w:right w:val="nil"/>
            </w:tcBorders>
            <w:vAlign w:val="bottom"/>
          </w:tcPr>
          <w:p>
            <w:pPr>
              <w:widowControl/>
              <w:jc w:val="left"/>
              <w:rPr>
                <w:rFonts w:ascii="仿宋_GB2312" w:hAnsi="宋体" w:cs="宋体"/>
                <w:kern w:val="0"/>
                <w:sz w:val="24"/>
              </w:rPr>
            </w:pPr>
          </w:p>
        </w:tc>
        <w:tc>
          <w:tcPr>
            <w:tcW w:w="1065" w:type="dxa"/>
            <w:tcBorders>
              <w:top w:val="nil"/>
              <w:left w:val="nil"/>
              <w:bottom w:val="nil"/>
              <w:right w:val="nil"/>
            </w:tcBorders>
            <w:vAlign w:val="bottom"/>
          </w:tcPr>
          <w:p>
            <w:pPr>
              <w:widowControl/>
              <w:jc w:val="left"/>
              <w:rPr>
                <w:rFonts w:ascii="仿宋_GB2312" w:hAnsi="宋体" w:cs="宋体"/>
                <w:kern w:val="0"/>
                <w:sz w:val="24"/>
              </w:rPr>
            </w:pPr>
          </w:p>
        </w:tc>
        <w:tc>
          <w:tcPr>
            <w:tcW w:w="915" w:type="dxa"/>
            <w:tcBorders>
              <w:top w:val="nil"/>
              <w:left w:val="nil"/>
              <w:bottom w:val="nil"/>
              <w:right w:val="nil"/>
            </w:tcBorders>
            <w:vAlign w:val="bottom"/>
          </w:tcPr>
          <w:p>
            <w:pPr>
              <w:widowControl/>
              <w:jc w:val="left"/>
              <w:rPr>
                <w:rFonts w:ascii="仿宋_GB2312" w:hAnsi="宋体" w:cs="宋体"/>
                <w:kern w:val="0"/>
                <w:sz w:val="24"/>
              </w:rPr>
            </w:pPr>
          </w:p>
        </w:tc>
        <w:tc>
          <w:tcPr>
            <w:tcW w:w="90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cs="宋体"/>
                <w:kern w:val="0"/>
                <w:sz w:val="22"/>
                <w:szCs w:val="22"/>
              </w:rPr>
            </w:pPr>
            <w:r>
              <w:rPr>
                <w:rFonts w:hint="eastAsia" w:ascii="宋体" w:hAnsi="宋体" w:cs="宋体"/>
                <w:kern w:val="0"/>
                <w:sz w:val="22"/>
                <w:szCs w:val="22"/>
              </w:rPr>
              <w:t>支出功能分类科目编码</w:t>
            </w:r>
          </w:p>
        </w:tc>
        <w:tc>
          <w:tcPr>
            <w:tcW w:w="16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科目名称</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9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29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840" w:type="dxa"/>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975" w:type="dxa"/>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1065" w:type="dxa"/>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c>
          <w:tcPr>
            <w:tcW w:w="915" w:type="dxa"/>
            <w:vMerge w:val="continue"/>
            <w:tcBorders>
              <w:left w:val="single" w:color="auto" w:sz="4" w:space="0"/>
              <w:right w:val="single" w:color="auto" w:sz="4" w:space="0"/>
            </w:tcBorders>
            <w:vAlign w:val="center"/>
          </w:tcPr>
          <w:p>
            <w:pPr>
              <w:widowControl/>
              <w:jc w:val="left"/>
              <w:rPr>
                <w:rFonts w:ascii="宋体" w:cs="宋体"/>
                <w:color w:val="000000"/>
                <w:kern w:val="0"/>
                <w:sz w:val="22"/>
                <w:szCs w:val="22"/>
              </w:rPr>
            </w:pPr>
          </w:p>
        </w:tc>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28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84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7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1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szCs w:val="22"/>
              </w:rPr>
            </w:pPr>
          </w:p>
        </w:tc>
        <w:tc>
          <w:tcPr>
            <w:tcW w:w="1615"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szCs w:val="22"/>
              </w:rPr>
            </w:pPr>
          </w:p>
        </w:tc>
        <w:tc>
          <w:tcPr>
            <w:tcW w:w="8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6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1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cs="宋体"/>
                <w:kern w:val="0"/>
                <w:sz w:val="22"/>
                <w:szCs w:val="22"/>
              </w:rPr>
            </w:pPr>
          </w:p>
        </w:tc>
        <w:tc>
          <w:tcPr>
            <w:tcW w:w="1615" w:type="dxa"/>
            <w:tcBorders>
              <w:top w:val="nil"/>
              <w:left w:val="nil"/>
              <w:bottom w:val="single" w:color="auto" w:sz="4" w:space="0"/>
              <w:right w:val="single" w:color="auto" w:sz="4" w:space="0"/>
            </w:tcBorders>
            <w:vAlign w:val="center"/>
          </w:tcPr>
          <w:p>
            <w:pPr>
              <w:widowControl/>
              <w:jc w:val="left"/>
              <w:textAlignment w:val="center"/>
              <w:rPr>
                <w:rFonts w:ascii="宋体" w:cs="宋体"/>
                <w:kern w:val="0"/>
                <w:sz w:val="22"/>
                <w:szCs w:val="22"/>
              </w:rPr>
            </w:pPr>
          </w:p>
        </w:tc>
        <w:tc>
          <w:tcPr>
            <w:tcW w:w="8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7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6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15"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注：本表反映本年度政府性基金预算财政拨款收入支出及结转和结余情况。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eastAsia="仿宋_GB2312" w:cs="仿宋_GB2312"/>
          <w:bCs/>
          <w:kern w:val="0"/>
          <w:sz w:val="32"/>
          <w:szCs w:val="32"/>
        </w:rPr>
        <w:t>融安县人民法院没有政府性基金预算财政拨款收入，也没有政府性基金预算财政拨款安排的支出，故本表无数据。</w:t>
      </w:r>
    </w:p>
    <w:p>
      <w:pPr>
        <w:spacing w:line="560" w:lineRule="exact"/>
      </w:pPr>
    </w:p>
    <w:tbl>
      <w:tblPr>
        <w:tblStyle w:val="6"/>
        <w:tblW w:w="13520" w:type="dxa"/>
        <w:jc w:val="center"/>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 xml:space="preserve">    </w:t>
            </w:r>
          </w:p>
        </w:tc>
        <w:tc>
          <w:tcPr>
            <w:tcW w:w="1292" w:type="dxa"/>
            <w:shd w:val="clear" w:color="auto" w:fill="FFFFFF"/>
            <w:vAlign w:val="center"/>
          </w:tcPr>
          <w:p>
            <w:pPr>
              <w:jc w:val="center"/>
              <w:rPr>
                <w:rFonts w:ascii="宋体" w:cs="宋体"/>
                <w:color w:val="000000"/>
                <w:sz w:val="20"/>
                <w:szCs w:val="20"/>
              </w:rPr>
            </w:pPr>
          </w:p>
        </w:tc>
        <w:tc>
          <w:tcPr>
            <w:tcW w:w="2249" w:type="dxa"/>
            <w:shd w:val="clear" w:color="auto" w:fill="FFFFFF"/>
            <w:vAlign w:val="center"/>
          </w:tcPr>
          <w:p>
            <w:pPr>
              <w:jc w:val="center"/>
              <w:rPr>
                <w:rFonts w:ascii="宋体" w:cs="宋体"/>
                <w:color w:val="000000"/>
                <w:sz w:val="20"/>
                <w:szCs w:val="20"/>
              </w:rPr>
            </w:pPr>
          </w:p>
        </w:tc>
        <w:tc>
          <w:tcPr>
            <w:tcW w:w="3242" w:type="dxa"/>
            <w:tcBorders>
              <w:bottom w:val="single" w:color="000000" w:sz="12" w:space="0"/>
            </w:tcBorders>
            <w:shd w:val="clear" w:color="auto" w:fill="FFFFFF"/>
            <w:vAlign w:val="center"/>
          </w:tcPr>
          <w:p>
            <w:pPr>
              <w:rPr>
                <w:rFonts w:ascii="宋体" w:cs="宋体"/>
                <w:color w:val="000000"/>
                <w:sz w:val="20"/>
                <w:szCs w:val="20"/>
              </w:rPr>
            </w:pPr>
          </w:p>
        </w:tc>
        <w:tc>
          <w:tcPr>
            <w:tcW w:w="1344" w:type="dxa"/>
            <w:tcBorders>
              <w:bottom w:val="single" w:color="000000" w:sz="12" w:space="0"/>
            </w:tcBorders>
            <w:shd w:val="clear" w:color="auto" w:fill="FFFFFF"/>
            <w:vAlign w:val="center"/>
          </w:tcPr>
          <w:p>
            <w:pPr>
              <w:rPr>
                <w:rFonts w:ascii="宋体" w:cs="宋体"/>
                <w:color w:val="000000"/>
                <w:sz w:val="20"/>
                <w:szCs w:val="20"/>
              </w:rPr>
            </w:pPr>
          </w:p>
        </w:tc>
        <w:tc>
          <w:tcPr>
            <w:tcW w:w="4075" w:type="dxa"/>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13"/>
              </w:rPr>
              <w:t xml:space="preserve">   </w:t>
            </w:r>
            <w:r>
              <w:rPr>
                <w:rStyle w:val="14"/>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基本支出</w:t>
            </w:r>
            <w:r>
              <w:rPr>
                <w:rFonts w:ascii="宋体" w:hAnsi="宋体" w:cs="宋体"/>
                <w:color w:val="000000"/>
                <w:kern w:val="0"/>
                <w:sz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r>
      <w:tr>
        <w:tblPrEx>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528" w:hRule="atLeast"/>
          <w:jc w:val="center"/>
        </w:trPr>
        <w:tc>
          <w:tcPr>
            <w:tcW w:w="13520" w:type="dxa"/>
            <w:gridSpan w:val="6"/>
            <w:tcBorders>
              <w:top w:val="single" w:color="000000" w:sz="12" w:space="0"/>
            </w:tcBorders>
            <w:vAlign w:val="center"/>
          </w:tcPr>
          <w:p>
            <w:pPr>
              <w:widowControl/>
              <w:jc w:val="left"/>
              <w:textAlignment w:val="center"/>
              <w:rPr>
                <w:rFonts w:ascii="宋体" w:cs="宋体"/>
                <w:color w:val="000000"/>
                <w:sz w:val="24"/>
              </w:rPr>
            </w:pPr>
            <w:r>
              <w:rPr>
                <w:rFonts w:hint="eastAsia" w:ascii="宋体" w:hAnsi="宋体" w:cs="宋体"/>
                <w:color w:val="000000"/>
                <w:kern w:val="0"/>
                <w:sz w:val="24"/>
              </w:rPr>
              <w:t>注：本表反映本院本年度国有资本经营预算财政拨款支出情况。</w:t>
            </w:r>
          </w:p>
        </w:tc>
      </w:tr>
    </w:tbl>
    <w:p>
      <w:pPr>
        <w:autoSpaceDE w:val="0"/>
        <w:autoSpaceDN w:val="0"/>
        <w:adjustRightInd w:val="0"/>
        <w:spacing w:line="580" w:lineRule="exact"/>
        <w:ind w:firstLine="640" w:firstLineChars="200"/>
        <w:jc w:val="left"/>
        <w:rPr>
          <w:rFonts w:ascii="仿宋_GB2312" w:eastAsia="仿宋_GB2312" w:cs="仿宋_GB2312"/>
          <w:bCs/>
          <w:kern w:val="0"/>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eastAsia="仿宋_GB2312" w:cs="仿宋_GB2312"/>
          <w:bCs/>
          <w:kern w:val="0"/>
          <w:sz w:val="32"/>
          <w:szCs w:val="32"/>
        </w:rPr>
        <w:t>融安县人民法院没有国有资本经营预算财政拨款收入，也没有国有资本经营预算财政拨款安排的支出，故本表无数据。</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第三部分：融安县人民法院2020年度决算情况说明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一、</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年度收入支出决算总体情况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2020年度收入总计2742.07万元，支出总计2742.07万元，与2019年相比，收、支分别增加415.58万元、415.58万元；分别增长17.86%、17.86%。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二、</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年度收入决算情况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本年收入总计2739.85万元 ，其中：一般公共预算财政拨款收入2156.69万元；占比78.72%</w:t>
      </w:r>
      <w:r>
        <w:rPr>
          <w:rFonts w:hint="default" w:ascii="Times New Roman" w:hAnsi="Times New Roman" w:eastAsia="仿宋_GB2312" w:cs="Times New Roman"/>
          <w:i w:val="0"/>
          <w:iCs w:val="0"/>
          <w:caps w:val="0"/>
          <w:color w:val="000000"/>
          <w:spacing w:val="0"/>
          <w:sz w:val="31"/>
          <w:szCs w:val="31"/>
          <w:shd w:val="clear" w:fill="FFFFFF"/>
        </w:rPr>
        <w:t> </w:t>
      </w:r>
      <w:r>
        <w:rPr>
          <w:rFonts w:hint="eastAsia" w:ascii="仿宋_GB2312" w:hAnsi="宋体" w:eastAsia="仿宋_GB2312" w:cs="仿宋_GB2312"/>
          <w:i w:val="0"/>
          <w:iCs w:val="0"/>
          <w:caps w:val="0"/>
          <w:color w:val="000000"/>
          <w:spacing w:val="0"/>
          <w:sz w:val="31"/>
          <w:szCs w:val="31"/>
          <w:shd w:val="clear" w:fill="FFFFFF"/>
        </w:rPr>
        <w:t>；其他收入583.16万元，占比21.28%。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三、</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本年支出合计2733.85万元，其中：基本支出1883.32万元，占68.89%；项目支出850.53万元，占31.11%。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四、</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年度财政拨款收入支出决算情况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本院2020年度财政拨款收、支总决算2156.69万元、2156.69万元。与2019年相比，财政拨款收、支总计各减少167.59万元，下降7.21%。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五、</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年度一般公共预算财政拨款支出决算情况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（一）财政拨款支出决算情况。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本院2020年度财政拨款支出2150.69万元，占本年支出合计的78.67%。与2019年相比，财政拨款支出减少167.59万元，下降7.21%。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（二）财政拨款支出决算结构情况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财政拨款支出2150.69万元，主要用于以下方面：公共安全支出（类）支出1732.95万元，占80.58%；社会保障和就业支出（类）支出194.50万元，占9.04%；卫生健康支出（类）支出141.61万元，占6.58%；住房保障支出（类）支出81.63万元，占3.80%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（三）财政拨款支出决算具体情况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财政拨款支出年初预算为0万元，支出决算为2150.69万元，完成年初预算的100%。决算数大于预算数的主要原因：一是年中追加安排财政拨款支出预算，涉及项目有政法转移支付经费、统筹诉讼费补助资金、遗属补助、公务用车购置、“六专四室”建设经费、聘用人员工资、物业管理费、办案业务费、体检费、多元化纠纷解决机制经费、下乡科技法庭设备、法警法定工作日之外加班补贴、已故人员傅有禄同志抚恤金、基本支出人员经费的调整；二是部分支出按规定，通过使用以前年度财政拨款结转资金解决。其中包括：政法转移支付经费、统筹诉讼费补助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1. 公共安全支出（类）法院（款）行政运行（项）。年初预算为0万元，支出决算为952.73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 公共安全支出（类）法院（款）一般行政管理事务（项）。年初预算为0万元，支出决算为15.92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3. 公共安全支出（类）法院（款）案件审判（项）。年初预算为0万元，支出决算为355.83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4. 公共安全支出（类）法院（款）案件执行（项）。年初预算为0万元，支出决算为7.34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5. 公共安全支出（类）法院（款）其他法院支出（项）。年初预算为0万元，支出决算为401.14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6.社会保障和就业支出（类）行政事业单位养老支出（款）行政单位离退休（项）。年初预算为0万元，支出决算为31.23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7.社会保障和就业支出（类）行政事业单位养老支出（款）机关事业单位基本养老保险缴费支出（项）。年初预算为0万元，支出决算为108.84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8.社会保障和就业支出（类）行政事业单位养老支出（款）机关事业单位职业年金缴费支出（项）。年初预算为0万元，支出决算为54.42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9. 卫生健康支出（类）行政事业单位医疗（款）行政单位医疗（项）。年初预算为0万元，支出决算为70.22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10. 卫生健康支出（类）行政事业单位医疗（款）公务员医疗补助（项）。年初预算为0万元，支出决算为71.39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11.住房保障支出（类）住房改革支出（款）住房公积金（项）。年初预算为0万元，支出决算为81.63万元，完成年初预算的100%。决算数大于预算数的主要原因是我院为广西法院检察院财物统一管理改革试点单位，从2020年起我院作为市</w:t>
      </w:r>
      <w:r>
        <w:rPr>
          <w:rFonts w:hint="eastAsia" w:ascii="仿宋_GB2312" w:hAnsi="宋体" w:eastAsia="仿宋_GB2312" w:cs="仿宋_GB2312"/>
          <w:i w:val="0"/>
          <w:iCs w:val="0"/>
          <w:caps w:val="0"/>
          <w:color w:val="000000"/>
          <w:spacing w:val="0"/>
          <w:sz w:val="31"/>
          <w:szCs w:val="31"/>
          <w:shd w:val="clear" w:fill="FFFFFF"/>
          <w:lang w:eastAsia="zh-CN"/>
        </w:rPr>
        <w:t>中级人民法院</w:t>
      </w:r>
      <w:r>
        <w:rPr>
          <w:rFonts w:hint="eastAsia" w:ascii="仿宋_GB2312" w:hAnsi="宋体" w:eastAsia="仿宋_GB2312" w:cs="仿宋_GB2312"/>
          <w:i w:val="0"/>
          <w:iCs w:val="0"/>
          <w:caps w:val="0"/>
          <w:color w:val="000000"/>
          <w:spacing w:val="0"/>
          <w:sz w:val="31"/>
          <w:szCs w:val="31"/>
          <w:shd w:val="clear" w:fill="FFFFFF"/>
        </w:rPr>
        <w:t>二级预算单位进行管理，此次本院决算为单位本级决算，并统一年初预算为0。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六、2020年度一般公共预算财政拨款基本支出决算情况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2020年度财政拨款基本支出1370.47万元，其中：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人员经费1118.97万元，主要包括：基本工资、津贴补贴、奖金、机关事业单位基本养老保险缴费、职业年金缴费、职工基本医疗保险缴费、公务员医疗补助缴费、其他社会保障缴费、住房公积金、离休费、退休费、医疗费补助、奖励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公用经费251.50万元，主要包括：办公费、水费、电费、邮电费、物业管理费、差旅费、维修（护）费、公务接待费、工会经费、福利费、公务用车运行维护费、其他交通费用、其他商品和服务支出、办公设备购置、公务用车购置、其他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Style w:val="8"/>
          <w:rFonts w:hint="eastAsia" w:ascii="仿宋_GB2312" w:hAnsi="宋体" w:eastAsia="仿宋_GB2312" w:cs="仿宋_GB2312"/>
          <w:b/>
          <w:bCs/>
          <w:i w:val="0"/>
          <w:iCs w:val="0"/>
          <w:caps w:val="0"/>
          <w:color w:val="000000"/>
          <w:spacing w:val="0"/>
          <w:sz w:val="31"/>
          <w:szCs w:val="31"/>
          <w:shd w:val="clear" w:fill="FFFFFF"/>
        </w:rPr>
        <w:t>七、2020年度一般公共预算财政拨款“三公”经费支出决算情况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（一）“三公”经费财政拨款支出决算总体情况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三公”经费财政拨款支出预算为54.65万元，支出决算为54.65万元，完成预算的100%，其中：因公出国（境）费支出决算为0万元，完成预算的100%；公务用车购置及运行费支出决算为53.06万元，完成预算的100%；公务接待费支出决算为1.59万元，完成预算的100%。2020年度“三公”经费支出决算数等于预算数的主要原因是认真贯彻落实中央八项规定精神和厉行节约要求，进一步从严控制“三公”经费开支，全年实际支出与预算持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2020年度“三公”经费财政拨款支出决算数比2019年减少45.35万元，下降45.35%，其中：因公出国（境）费支出决算与上年持平；公务用车购置及运行费支出决算减少42.99万元，下降44.76%；公务接待费支出决算减少2.36万元，下降59.75%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1"/>
          <w:szCs w:val="31"/>
          <w:shd w:val="clear" w:fill="FFFFFF"/>
        </w:rPr>
        <w:t>因公出国（境）费支出与上年持平；公务用车购置及运行费支出减少的主要原因是今年较去年公务用车购置费减少；公务接待费支出减少的主要原因是</w:t>
      </w:r>
      <w:r>
        <w:rPr>
          <w:rFonts w:hint="eastAsia" w:ascii="仿宋_GB2312" w:hAnsi="宋体" w:eastAsia="仿宋_GB2312" w:cs="仿宋_GB2312"/>
          <w:i w:val="0"/>
          <w:iCs w:val="0"/>
          <w:caps w:val="0"/>
          <w:color w:val="000000"/>
          <w:spacing w:val="0"/>
          <w:sz w:val="31"/>
          <w:szCs w:val="31"/>
          <w:shd w:val="clear" w:fill="FFFFFF"/>
          <w:lang w:eastAsia="zh-CN"/>
        </w:rPr>
        <w:t>厉行节约</w:t>
      </w:r>
      <w:r>
        <w:rPr>
          <w:rFonts w:hint="eastAsia" w:ascii="仿宋_GB2312" w:hAnsi="宋体" w:eastAsia="仿宋_GB2312" w:cs="仿宋_GB2312"/>
          <w:i w:val="0"/>
          <w:iCs w:val="0"/>
          <w:caps w:val="0"/>
          <w:color w:val="000000"/>
          <w:spacing w:val="0"/>
          <w:sz w:val="31"/>
          <w:szCs w:val="31"/>
          <w:shd w:val="clear" w:fill="FFFFFF"/>
        </w:rPr>
        <w:t>再加上疫情期间根据规定减少接待支出。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“三公”经费财政拨款支出决算具体情况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2020年度“三公”经费财政拨款支出决算中，因公出国（境）费支出决算0万元，占0%；公务用车购置及运行费支出决算53.06万元，占97.09%；公务接待费支出决算1.59万元，占2.91%。具体情况如下：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    1.因公出国（境）费支出0万元。全年安排机关和所属单位因公出国（境）团组0个，累计0人次。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    2.公务用车购置及运行费支出53.06万元。其中：公务用车购置支出为14.20万元。公务用车运行支出38.86万元。主要用于公务用车购置、车辆燃油费以及车辆运行维护费等。2020年，机关所属单位开支财政拨款的公务用车保有量为11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    3.公务接待费支出1.59万元。其中：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    外宾接待支出0万元。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国内公务接待支出1.59万元。主要用于单位日常业务工作交流学习以及上级检查接待。2020年共接待国内来访团组27个、来宾178人次。</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Style w:val="8"/>
          <w:rFonts w:hint="eastAsia" w:ascii="仿宋_GB2312" w:hAnsi="宋体" w:eastAsia="仿宋_GB2312" w:cs="仿宋_GB2312"/>
          <w:b/>
          <w:bCs/>
          <w:i w:val="0"/>
          <w:iCs w:val="0"/>
          <w:caps w:val="0"/>
          <w:color w:val="000000"/>
          <w:spacing w:val="0"/>
          <w:sz w:val="31"/>
          <w:szCs w:val="31"/>
          <w:shd w:val="clear" w:fill="FFFFFF"/>
        </w:rPr>
        <w:t>八、2020年度政府性基金预算财政拨款收入支出决算情况说明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20" w:firstLineChars="200"/>
        <w:jc w:val="left"/>
        <w:rPr>
          <w:color w:val="000000"/>
        </w:rPr>
      </w:pPr>
      <w:r>
        <w:rPr>
          <w:rFonts w:hint="eastAsia" w:ascii="仿宋_GB2312" w:hAnsi="宋体" w:eastAsia="仿宋_GB2312" w:cs="仿宋_GB2312"/>
          <w:i w:val="0"/>
          <w:iCs w:val="0"/>
          <w:caps w:val="0"/>
          <w:color w:val="000000"/>
          <w:spacing w:val="0"/>
          <w:sz w:val="31"/>
          <w:szCs w:val="31"/>
          <w:shd w:val="clear" w:fill="FFFFFF"/>
        </w:rPr>
        <w:t>我单位没有政府性基金预算财政拨款收入，也没有政府性基金预算财政拨款安排的支出。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Style w:val="8"/>
          <w:rFonts w:hint="eastAsia" w:ascii="仿宋_GB2312" w:hAnsi="宋体" w:eastAsia="仿宋_GB2312" w:cs="仿宋_GB2312"/>
          <w:b/>
          <w:bCs/>
          <w:i w:val="0"/>
          <w:iCs w:val="0"/>
          <w:caps w:val="0"/>
          <w:color w:val="000000"/>
          <w:spacing w:val="0"/>
          <w:sz w:val="31"/>
          <w:szCs w:val="31"/>
          <w:shd w:val="clear" w:fill="FFFFFF"/>
          <w:lang w:eastAsia="zh-CN"/>
        </w:rPr>
        <w:t>九、</w:t>
      </w:r>
      <w:r>
        <w:rPr>
          <w:rStyle w:val="8"/>
          <w:rFonts w:hint="eastAsia" w:ascii="仿宋_GB2312" w:hAnsi="宋体" w:eastAsia="仿宋_GB2312" w:cs="仿宋_GB2312"/>
          <w:b/>
          <w:bCs/>
          <w:i w:val="0"/>
          <w:iCs w:val="0"/>
          <w:caps w:val="0"/>
          <w:color w:val="000000"/>
          <w:spacing w:val="0"/>
          <w:sz w:val="31"/>
          <w:szCs w:val="31"/>
          <w:shd w:val="clear" w:fill="FFFFFF"/>
        </w:rPr>
        <w:t>国有资本经营预算财政拨款支出情况说明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Style w:val="8"/>
          <w:rFonts w:hint="eastAsia" w:ascii="仿宋_GB2312" w:hAnsi="宋体" w:eastAsia="仿宋_GB2312" w:cs="仿宋_GB2312"/>
          <w:b/>
          <w:bCs/>
          <w:i w:val="0"/>
          <w:iCs w:val="0"/>
          <w:caps w:val="0"/>
          <w:color w:val="000000"/>
          <w:spacing w:val="0"/>
          <w:sz w:val="31"/>
          <w:szCs w:val="31"/>
          <w:shd w:val="clear" w:fill="FFFFFF"/>
        </w:rPr>
        <w:t> </w:t>
      </w:r>
      <w:r>
        <w:rPr>
          <w:rFonts w:hint="eastAsia" w:ascii="仿宋_GB2312" w:hAnsi="宋体" w:eastAsia="仿宋_GB2312" w:cs="仿宋_GB2312"/>
          <w:i w:val="0"/>
          <w:iCs w:val="0"/>
          <w:caps w:val="0"/>
          <w:color w:val="000000"/>
          <w:spacing w:val="0"/>
          <w:sz w:val="31"/>
          <w:szCs w:val="31"/>
          <w:shd w:val="clear" w:fill="FFFFFF"/>
        </w:rPr>
        <w:t>我单位没有国有资本经营预算财政拨款支出。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Style w:val="8"/>
          <w:rFonts w:hint="eastAsia" w:ascii="仿宋_GB2312" w:hAnsi="宋体" w:eastAsia="仿宋_GB2312" w:cs="仿宋_GB2312"/>
          <w:b/>
          <w:bCs/>
          <w:i w:val="0"/>
          <w:iCs w:val="0"/>
          <w:caps w:val="0"/>
          <w:color w:val="000000"/>
          <w:spacing w:val="0"/>
          <w:sz w:val="31"/>
          <w:szCs w:val="31"/>
          <w:shd w:val="clear" w:fill="FFFFFF"/>
        </w:rPr>
        <w:t>十、</w:t>
      </w:r>
      <w:r>
        <w:rPr>
          <w:rStyle w:val="8"/>
          <w:rFonts w:hint="eastAsia" w:ascii="宋体" w:hAnsi="宋体" w:eastAsia="宋体" w:cs="宋体"/>
          <w:b/>
          <w:bCs/>
          <w:i w:val="0"/>
          <w:iCs w:val="0"/>
          <w:caps w:val="0"/>
          <w:color w:val="000000"/>
          <w:spacing w:val="0"/>
          <w:sz w:val="24"/>
          <w:szCs w:val="24"/>
          <w:shd w:val="clear" w:fill="FFFFFF"/>
        </w:rPr>
        <w:t>2020</w:t>
      </w:r>
      <w:r>
        <w:rPr>
          <w:rStyle w:val="8"/>
          <w:rFonts w:hint="eastAsia" w:ascii="仿宋_GB2312" w:hAnsi="宋体" w:eastAsia="仿宋_GB2312" w:cs="仿宋_GB2312"/>
          <w:b/>
          <w:bCs/>
          <w:i w:val="0"/>
          <w:iCs w:val="0"/>
          <w:caps w:val="0"/>
          <w:color w:val="000000"/>
          <w:spacing w:val="0"/>
          <w:sz w:val="31"/>
          <w:szCs w:val="31"/>
          <w:shd w:val="clear" w:fill="FFFFFF"/>
        </w:rPr>
        <w:t>年度预算绩效情况说明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Fonts w:hint="eastAsia" w:ascii="仿宋_GB2312" w:hAnsi="宋体" w:eastAsia="仿宋_GB2312" w:cs="仿宋_GB2312"/>
          <w:i w:val="0"/>
          <w:iCs w:val="0"/>
          <w:caps w:val="0"/>
          <w:color w:val="000000"/>
          <w:spacing w:val="0"/>
          <w:sz w:val="31"/>
          <w:szCs w:val="31"/>
          <w:shd w:val="clear" w:fill="FFFFFF"/>
        </w:rPr>
        <w:t> </w:t>
      </w:r>
      <w:r>
        <w:rPr>
          <w:rFonts w:hint="eastAsia" w:ascii="仿宋_GB2312" w:hAnsi="宋体" w:eastAsia="仿宋_GB2312" w:cs="仿宋_GB2312"/>
          <w:i w:val="0"/>
          <w:iCs w:val="0"/>
          <w:caps w:val="0"/>
          <w:color w:val="000000"/>
          <w:spacing w:val="0"/>
          <w:sz w:val="31"/>
          <w:szCs w:val="31"/>
          <w:shd w:val="clear" w:fill="FFFFFF"/>
          <w:lang w:val="en-US" w:eastAsia="zh-CN"/>
        </w:rPr>
        <w:t xml:space="preserve"> </w:t>
      </w:r>
      <w:r>
        <w:rPr>
          <w:rFonts w:hint="eastAsia" w:ascii="仿宋_GB2312" w:hAnsi="宋体" w:eastAsia="仿宋_GB2312" w:cs="仿宋_GB2312"/>
          <w:i w:val="0"/>
          <w:iCs w:val="0"/>
          <w:caps w:val="0"/>
          <w:color w:val="000000"/>
          <w:spacing w:val="0"/>
          <w:sz w:val="31"/>
          <w:szCs w:val="31"/>
          <w:shd w:val="clear" w:fill="FFFFFF"/>
        </w:rPr>
        <w:t>根据财政预算管理要求，市中院组织对2020年度一般公共预算整体支出全面开展绩效自评。各县（区）法院当年相关经费以预留形式编入市本级预算，故2020年未开展预算绩效工作。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left"/>
        <w:rPr>
          <w:color w:val="000000"/>
        </w:rPr>
      </w:pPr>
      <w:r>
        <w:rPr>
          <w:rStyle w:val="8"/>
          <w:rFonts w:hint="eastAsia" w:ascii="仿宋_GB2312" w:hAnsi="宋体" w:eastAsia="仿宋_GB2312" w:cs="仿宋_GB2312"/>
          <w:b/>
          <w:bCs/>
          <w:i w:val="0"/>
          <w:iCs w:val="0"/>
          <w:caps w:val="0"/>
          <w:color w:val="000000"/>
          <w:spacing w:val="0"/>
          <w:sz w:val="31"/>
          <w:szCs w:val="31"/>
          <w:shd w:val="clear" w:fill="FFFFFF"/>
        </w:rPr>
        <w:t>十一、其他重要事项的情况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310" w:firstLineChars="100"/>
        <w:jc w:val="left"/>
        <w:rPr>
          <w:color w:val="000000"/>
        </w:rPr>
      </w:pPr>
      <w:r>
        <w:rPr>
          <w:rFonts w:hint="eastAsia" w:ascii="仿宋_GB2312" w:hAnsi="宋体" w:eastAsia="仿宋_GB2312" w:cs="仿宋_GB2312"/>
          <w:i w:val="0"/>
          <w:iCs w:val="0"/>
          <w:caps w:val="0"/>
          <w:color w:val="000000"/>
          <w:spacing w:val="0"/>
          <w:sz w:val="31"/>
          <w:szCs w:val="31"/>
          <w:shd w:val="clear" w:fill="FFFFFF"/>
        </w:rPr>
        <w:t>（一）机关运行经费支出情况。2020年度本院机关运行经费支出251.50万元，比2019年增加43.42万元，增长20.87%，增加原因随着案件数的增多，日常运行经费随之增加。</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310" w:firstLineChars="100"/>
        <w:jc w:val="left"/>
        <w:rPr>
          <w:color w:val="000000"/>
        </w:rPr>
      </w:pPr>
      <w:r>
        <w:rPr>
          <w:rFonts w:hint="eastAsia" w:ascii="仿宋_GB2312" w:hAnsi="宋体" w:eastAsia="仿宋_GB2312" w:cs="仿宋_GB2312"/>
          <w:i w:val="0"/>
          <w:iCs w:val="0"/>
          <w:caps w:val="0"/>
          <w:color w:val="000000"/>
          <w:spacing w:val="0"/>
          <w:sz w:val="31"/>
          <w:szCs w:val="31"/>
          <w:shd w:val="clear" w:fill="FFFFFF"/>
        </w:rPr>
        <w:t>（二）政府采购支出情况。2020年度本院政府采购支出总额159.07万元，其中：货物支出85.32万元、工程支出42.72万元、服务支出31.03万元。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310" w:firstLineChars="100"/>
        <w:jc w:val="left"/>
        <w:rPr>
          <w:color w:val="000000"/>
        </w:rPr>
      </w:pPr>
      <w:r>
        <w:rPr>
          <w:rFonts w:hint="eastAsia" w:ascii="仿宋_GB2312" w:hAnsi="宋体" w:eastAsia="仿宋_GB2312" w:cs="仿宋_GB2312"/>
          <w:i w:val="0"/>
          <w:iCs w:val="0"/>
          <w:caps w:val="0"/>
          <w:color w:val="000000"/>
          <w:spacing w:val="0"/>
          <w:sz w:val="31"/>
          <w:szCs w:val="31"/>
          <w:shd w:val="clear" w:fill="FFFFFF"/>
        </w:rPr>
        <w:t>（三）国有资产占用情况。截至年末本院共有车辆11辆，其中：公务用车0辆；执法执勤用车11辆；专业技术用车0辆；单价50万元以上通用设备0台（套），单价100万元以上专用设备0台（套）。</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Style w:val="8"/>
          <w:rFonts w:hint="eastAsia" w:ascii="仿宋_GB2312" w:hAnsi="宋体" w:eastAsia="仿宋_GB2312" w:cs="仿宋_GB2312"/>
          <w:b/>
          <w:bCs/>
          <w:i w:val="0"/>
          <w:iCs w:val="0"/>
          <w:caps w:val="0"/>
          <w:color w:val="000000"/>
          <w:spacing w:val="0"/>
          <w:sz w:val="31"/>
          <w:szCs w:val="31"/>
          <w:shd w:val="clear" w:fill="FFFFFF"/>
        </w:rPr>
        <w:t>第四部分：名词解释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财政拨款收入：指市本级财政当年拨付的资金。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其他收入：指除上述“财政拨款收入”、“事业收入”、“经营收入”等以外的收入。主要是：基层法院由县区财政负担的二次创业绩效奖及配套的四险二金、退休人员生活补助，新审判楼工程款、抚恤金以及补发19年在职人员工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年初结转和结余：指以前年度尚未完成、结转到本年按规定继续使用的资金。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年末结转和结余：指本年度或以前年度预算安排、因客观条件发生变化无法按原计划实施，需延迟到以后年度按有关规定继续使用的资金。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基本支出：指为保障机构正常运转、完成日常工作任务而发生的人员支出和公用支出。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项目支出：指在基本支出之外为完成特定行政任务和事业发展目标所发生的支出。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color w:val="000000"/>
        </w:rPr>
      </w:pPr>
      <w:r>
        <w:rPr>
          <w:rFonts w:hint="eastAsia" w:ascii="仿宋_GB2312" w:hAnsi="宋体" w:eastAsia="仿宋_GB2312" w:cs="仿宋_GB2312"/>
          <w:i w:val="0"/>
          <w:iCs w:val="0"/>
          <w:caps w:val="0"/>
          <w:color w:val="000000"/>
          <w:spacing w:val="0"/>
          <w:sz w:val="31"/>
          <w:szCs w:val="31"/>
          <w:shd w:val="clear" w:fill="FFFFFF"/>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MingLiUfalt">
    <w:altName w:val="QIJIC"/>
    <w:panose1 w:val="00000000000000000000"/>
    <w:charset w:val="88"/>
    <w:family w:val="modern"/>
    <w:pitch w:val="default"/>
    <w:sig w:usb0="00000000" w:usb1="00000000" w:usb2="00000010" w:usb3="00000000" w:csb0="00100000" w:csb1="00000000"/>
  </w:font>
  <w:font w:name="QIJIC">
    <w:panose1 w:val="02000509000000000000"/>
    <w:charset w:val="88"/>
    <w:family w:val="auto"/>
    <w:pitch w:val="default"/>
    <w:sig w:usb0="00000000" w:usb1="0A01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rStyle w:val="9"/>
        <w:sz w:val="30"/>
        <w:szCs w:val="30"/>
      </w:rPr>
      <w:fldChar w:fldCharType="begin"/>
    </w:r>
    <w:r>
      <w:rPr>
        <w:rStyle w:val="9"/>
        <w:sz w:val="30"/>
        <w:szCs w:val="30"/>
      </w:rPr>
      <w:instrText xml:space="preserve">PAGE  </w:instrText>
    </w:r>
    <w:r>
      <w:rPr>
        <w:rStyle w:val="9"/>
        <w:sz w:val="30"/>
        <w:szCs w:val="30"/>
      </w:rPr>
      <w:fldChar w:fldCharType="separate"/>
    </w:r>
    <w:r>
      <w:rPr>
        <w:rStyle w:val="9"/>
        <w:sz w:val="30"/>
        <w:szCs w:val="30"/>
      </w:rPr>
      <w:t>- 19 -</w:t>
    </w:r>
    <w:r>
      <w:rPr>
        <w:rStyle w:val="9"/>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12596"/>
    <w:multiLevelType w:val="multilevel"/>
    <w:tmpl w:val="FB61259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52EA2"/>
    <w:rsid w:val="00066CA3"/>
    <w:rsid w:val="000C3F5E"/>
    <w:rsid w:val="000D66F0"/>
    <w:rsid w:val="0010188E"/>
    <w:rsid w:val="00114B4E"/>
    <w:rsid w:val="001813C5"/>
    <w:rsid w:val="00182BEB"/>
    <w:rsid w:val="00203981"/>
    <w:rsid w:val="00262AB7"/>
    <w:rsid w:val="002C3CA7"/>
    <w:rsid w:val="002E4C14"/>
    <w:rsid w:val="0030074A"/>
    <w:rsid w:val="00302A43"/>
    <w:rsid w:val="003437E9"/>
    <w:rsid w:val="00387972"/>
    <w:rsid w:val="003963B5"/>
    <w:rsid w:val="00414082"/>
    <w:rsid w:val="00441EDF"/>
    <w:rsid w:val="00462C2D"/>
    <w:rsid w:val="00487FB7"/>
    <w:rsid w:val="004B4787"/>
    <w:rsid w:val="004B5C84"/>
    <w:rsid w:val="004C3593"/>
    <w:rsid w:val="004D2C79"/>
    <w:rsid w:val="00526A53"/>
    <w:rsid w:val="00567306"/>
    <w:rsid w:val="00577656"/>
    <w:rsid w:val="005C42AF"/>
    <w:rsid w:val="005D2669"/>
    <w:rsid w:val="005D5181"/>
    <w:rsid w:val="00601AA6"/>
    <w:rsid w:val="00670034"/>
    <w:rsid w:val="00693595"/>
    <w:rsid w:val="006B79CA"/>
    <w:rsid w:val="006C1367"/>
    <w:rsid w:val="00715385"/>
    <w:rsid w:val="00716144"/>
    <w:rsid w:val="00734EFB"/>
    <w:rsid w:val="00781D79"/>
    <w:rsid w:val="007C1E0F"/>
    <w:rsid w:val="007C5E62"/>
    <w:rsid w:val="00807DBE"/>
    <w:rsid w:val="00820284"/>
    <w:rsid w:val="00837AA2"/>
    <w:rsid w:val="00841D6A"/>
    <w:rsid w:val="00871333"/>
    <w:rsid w:val="008C088C"/>
    <w:rsid w:val="00902626"/>
    <w:rsid w:val="009027BF"/>
    <w:rsid w:val="00906514"/>
    <w:rsid w:val="00906B9D"/>
    <w:rsid w:val="00955033"/>
    <w:rsid w:val="00973A23"/>
    <w:rsid w:val="00A14D55"/>
    <w:rsid w:val="00A43D8B"/>
    <w:rsid w:val="00A726D2"/>
    <w:rsid w:val="00AA1C7F"/>
    <w:rsid w:val="00AD31B9"/>
    <w:rsid w:val="00B37929"/>
    <w:rsid w:val="00B4608C"/>
    <w:rsid w:val="00B502C7"/>
    <w:rsid w:val="00BB2E5B"/>
    <w:rsid w:val="00BE28C7"/>
    <w:rsid w:val="00BE6E00"/>
    <w:rsid w:val="00C10132"/>
    <w:rsid w:val="00C42C2E"/>
    <w:rsid w:val="00C87A7F"/>
    <w:rsid w:val="00D10DED"/>
    <w:rsid w:val="00D350D6"/>
    <w:rsid w:val="00D81F07"/>
    <w:rsid w:val="00DE5EC2"/>
    <w:rsid w:val="00DF3F7E"/>
    <w:rsid w:val="00E22767"/>
    <w:rsid w:val="00E37352"/>
    <w:rsid w:val="00E37529"/>
    <w:rsid w:val="00E60217"/>
    <w:rsid w:val="00EA02D6"/>
    <w:rsid w:val="00EA208F"/>
    <w:rsid w:val="00ED5CA9"/>
    <w:rsid w:val="00ED7DC5"/>
    <w:rsid w:val="00F27379"/>
    <w:rsid w:val="00F66C5B"/>
    <w:rsid w:val="00F878FA"/>
    <w:rsid w:val="00FD39E6"/>
    <w:rsid w:val="00FE75E5"/>
    <w:rsid w:val="00FE7E23"/>
    <w:rsid w:val="01D408F4"/>
    <w:rsid w:val="03D075D4"/>
    <w:rsid w:val="05D709B3"/>
    <w:rsid w:val="06CA6BFD"/>
    <w:rsid w:val="085056AB"/>
    <w:rsid w:val="08733EA4"/>
    <w:rsid w:val="09026AA1"/>
    <w:rsid w:val="0A1B72F9"/>
    <w:rsid w:val="0C47494C"/>
    <w:rsid w:val="0C4B62A6"/>
    <w:rsid w:val="0CCA00CC"/>
    <w:rsid w:val="0E074DDF"/>
    <w:rsid w:val="0E4C6E9F"/>
    <w:rsid w:val="0EB67E60"/>
    <w:rsid w:val="124204B5"/>
    <w:rsid w:val="13916645"/>
    <w:rsid w:val="13C4173A"/>
    <w:rsid w:val="168F4FC6"/>
    <w:rsid w:val="182962AB"/>
    <w:rsid w:val="19D073EB"/>
    <w:rsid w:val="1CC31F67"/>
    <w:rsid w:val="1D5D1810"/>
    <w:rsid w:val="1E1E2CD7"/>
    <w:rsid w:val="21332F0A"/>
    <w:rsid w:val="21871088"/>
    <w:rsid w:val="21FF18D6"/>
    <w:rsid w:val="242063F6"/>
    <w:rsid w:val="24D337DC"/>
    <w:rsid w:val="259C1DD0"/>
    <w:rsid w:val="26460DBA"/>
    <w:rsid w:val="2B6F74EB"/>
    <w:rsid w:val="2C4219FE"/>
    <w:rsid w:val="2C832C7D"/>
    <w:rsid w:val="2D83533C"/>
    <w:rsid w:val="31EC7411"/>
    <w:rsid w:val="34020F86"/>
    <w:rsid w:val="34143C54"/>
    <w:rsid w:val="35E93C67"/>
    <w:rsid w:val="35EA7290"/>
    <w:rsid w:val="36806379"/>
    <w:rsid w:val="39A63F06"/>
    <w:rsid w:val="3A3F02FA"/>
    <w:rsid w:val="3ED1439F"/>
    <w:rsid w:val="453F5652"/>
    <w:rsid w:val="474E7DCE"/>
    <w:rsid w:val="4771545F"/>
    <w:rsid w:val="48374EDC"/>
    <w:rsid w:val="48945CB4"/>
    <w:rsid w:val="48AC5A0A"/>
    <w:rsid w:val="48B210C8"/>
    <w:rsid w:val="4AC07465"/>
    <w:rsid w:val="4C15710C"/>
    <w:rsid w:val="4C256E3D"/>
    <w:rsid w:val="4CB52F0F"/>
    <w:rsid w:val="4DB36BDD"/>
    <w:rsid w:val="4E53087E"/>
    <w:rsid w:val="532F1F9A"/>
    <w:rsid w:val="535A5C69"/>
    <w:rsid w:val="56E322E1"/>
    <w:rsid w:val="58421289"/>
    <w:rsid w:val="584A0D7E"/>
    <w:rsid w:val="5E995A3E"/>
    <w:rsid w:val="61595CFD"/>
    <w:rsid w:val="62163194"/>
    <w:rsid w:val="621C490C"/>
    <w:rsid w:val="624D024D"/>
    <w:rsid w:val="650E086A"/>
    <w:rsid w:val="65FF5BCC"/>
    <w:rsid w:val="67754B03"/>
    <w:rsid w:val="68400E46"/>
    <w:rsid w:val="6B114787"/>
    <w:rsid w:val="6BAA0708"/>
    <w:rsid w:val="7A5C5D83"/>
    <w:rsid w:val="7A6A0017"/>
    <w:rsid w:val="7AF20495"/>
    <w:rsid w:val="7D41748A"/>
    <w:rsid w:val="7F2257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locked/>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99"/>
    <w:rPr>
      <w:rFonts w:cs="Times New Roman"/>
    </w:rPr>
  </w:style>
  <w:style w:type="character" w:customStyle="1" w:styleId="10">
    <w:name w:val="批注框文本 Char"/>
    <w:basedOn w:val="7"/>
    <w:link w:val="2"/>
    <w:qFormat/>
    <w:locked/>
    <w:uiPriority w:val="99"/>
    <w:rPr>
      <w:rFonts w:cs="Times New Roman"/>
      <w:kern w:val="2"/>
      <w:sz w:val="18"/>
      <w:szCs w:val="18"/>
    </w:rPr>
  </w:style>
  <w:style w:type="character" w:customStyle="1" w:styleId="11">
    <w:name w:val="页脚 Char"/>
    <w:basedOn w:val="7"/>
    <w:link w:val="3"/>
    <w:semiHidden/>
    <w:qFormat/>
    <w:locked/>
    <w:uiPriority w:val="99"/>
    <w:rPr>
      <w:rFonts w:cs="Times New Roman"/>
      <w:sz w:val="18"/>
      <w:szCs w:val="18"/>
    </w:rPr>
  </w:style>
  <w:style w:type="character" w:customStyle="1" w:styleId="12">
    <w:name w:val="页眉 Char"/>
    <w:basedOn w:val="7"/>
    <w:link w:val="4"/>
    <w:semiHidden/>
    <w:qFormat/>
    <w:locked/>
    <w:uiPriority w:val="99"/>
    <w:rPr>
      <w:rFonts w:cs="Times New Roman"/>
      <w:sz w:val="18"/>
      <w:szCs w:val="18"/>
    </w:rPr>
  </w:style>
  <w:style w:type="character" w:customStyle="1" w:styleId="13">
    <w:name w:val="font11"/>
    <w:basedOn w:val="7"/>
    <w:qFormat/>
    <w:uiPriority w:val="99"/>
    <w:rPr>
      <w:rFonts w:ascii="宋体" w:hAnsi="宋体" w:eastAsia="宋体" w:cs="宋体"/>
      <w:color w:val="000000"/>
      <w:sz w:val="22"/>
      <w:szCs w:val="22"/>
      <w:u w:val="none"/>
    </w:rPr>
  </w:style>
  <w:style w:type="character" w:customStyle="1" w:styleId="14">
    <w:name w:val="font01"/>
    <w:basedOn w:val="7"/>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8267</Words>
  <Characters>10629</Characters>
  <Lines>91</Lines>
  <Paragraphs>25</Paragraphs>
  <TotalTime>8</TotalTime>
  <ScaleCrop>false</ScaleCrop>
  <LinksUpToDate>false</LinksUpToDate>
  <CharactersWithSpaces>10940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2021-09-29T02:54:00Z</dcterms:created>
  <dc:creator>陈冬雪</dc:creator>
  <cp:lastModifiedBy>哒哒陳</cp:lastModifiedBy>
  <cp:lastPrinted>2021-07-07T01:10:00Z</cp:lastPrinted>
  <dcterms:modified xsi:type="dcterms:W3CDTF">2022-11-01T07:47:41Z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FA03F11E911C49D183DAB784673E447E</vt:lpwstr>
  </property>
</Properties>
</file>