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hAnsi="黑体" w:eastAsia="黑体"/>
          <w:bCs/>
          <w:color w:val="000000"/>
          <w:sz w:val="52"/>
          <w:szCs w:val="52"/>
          <w:u w:val="none"/>
          <w:lang w:eastAsia="zh-CN"/>
        </w:rPr>
        <w:t>融水苗族自治县人民法院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融水苗族自治县</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融水苗族自治县</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融水苗族自治县</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融水苗族自治县</w:t>
      </w:r>
      <w:r>
        <w:rPr>
          <w:rFonts w:hint="eastAsia" w:ascii="仿宋_GB2312" w:hAnsi="黑体" w:eastAsia="仿宋_GB2312"/>
          <w:b/>
          <w:bCs/>
          <w:color w:val="000000"/>
          <w:sz w:val="32"/>
          <w:szCs w:val="32"/>
          <w:u w:val="none"/>
          <w:lang w:eastAsia="zh-CN"/>
        </w:rPr>
        <w:t>人民法院</w:t>
      </w:r>
      <w:r>
        <w:rPr>
          <w:rFonts w:hint="eastAsia" w:ascii="仿宋_GB2312" w:eastAsia="仿宋_GB2312"/>
          <w:b/>
          <w:sz w:val="32"/>
          <w:szCs w:val="32"/>
        </w:rPr>
        <w:t>概况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融水苗族自治县</w:t>
      </w:r>
      <w:r>
        <w:rPr>
          <w:rFonts w:hint="eastAsia" w:ascii="仿宋_GB2312" w:eastAsia="仿宋_GB2312"/>
          <w:sz w:val="32"/>
          <w:szCs w:val="32"/>
        </w:rPr>
        <w:t>人民法院</w:t>
      </w:r>
      <w:r>
        <w:rPr>
          <w:rFonts w:hint="eastAsia" w:ascii="仿宋_GB2312" w:eastAsia="仿宋_GB2312"/>
          <w:sz w:val="32"/>
          <w:szCs w:val="32"/>
          <w:lang w:eastAsia="zh-CN"/>
        </w:rPr>
        <w:t>的主要职能</w:t>
      </w:r>
      <w:r>
        <w:rPr>
          <w:rFonts w:hint="eastAsia" w:ascii="仿宋_GB2312" w:eastAsia="仿宋_GB2312"/>
          <w:sz w:val="32"/>
          <w:szCs w:val="32"/>
        </w:rPr>
        <w:t>是</w:t>
      </w:r>
      <w:r>
        <w:rPr>
          <w:rFonts w:hint="eastAsia" w:ascii="仿宋_GB2312" w:eastAsia="仿宋_GB2312"/>
          <w:sz w:val="32"/>
          <w:szCs w:val="32"/>
          <w:lang w:eastAsia="zh-CN"/>
        </w:rPr>
        <w:t>：</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（一）依法审理法律规定应由其管辖的第一审刑事、民事、行政诉讼案件以及法律规定的其他案件。</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（二）审理上级人民法院指定再审的案件；审理本院发生法律效力的判决、裁定提起再审的案件。</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（三）依法审理上级人民法院交由其审理的刑事、民事、行政案件。</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（四）依法行使司法决定权和司法执行权，执行由其作为一审法院的终审裁决或行政机关申请执行的非诉行政案件。</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（五）负责对人民调解委员会的调解工作进行业务指导。</w:t>
      </w:r>
    </w:p>
    <w:p>
      <w:pPr>
        <w:pStyle w:val="15"/>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（六）负责本院的政治思想、内部监督、教育培训、法制宣传、司法行政事务、司法警察等工作。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val="0"/>
          <w:bCs w:val="0"/>
          <w:sz w:val="32"/>
          <w:lang w:val="en-US" w:eastAsia="zh-CN"/>
        </w:rPr>
        <w:t>（七）承办其他应由本院负责的工作。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highlight w:val="none"/>
        </w:rPr>
        <w:t>本单位的主要工作任务是</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32"/>
          <w:szCs w:val="22"/>
          <w:lang w:val="en-US" w:eastAsia="zh-CN" w:bidi="ar-SA"/>
        </w:rPr>
        <w:t>深入贯彻落实党的十九届五中全会精神以及习近平总书记系列重要讲话精神，紧紧围绕司法为民公正司法工作主线，坚持执法办案第一要务，推进疫情联防联控，坚持扫黑除恶工作常态化开展，坚持新发展理念，全面加强队伍建设，努力打造少数民族特色司法服务，认真接受各方监督，为维护融水安全稳定、服务融水经济社会发展、优化融水营商环境、确保人民群众安居乐业提供坚强的司法保障。重点抓好七个方面的工作：</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（一）坚持党的领导，以更高标准把牢政治方向。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（二）坚持服务大局，统筹抓好疫情下的审判执行工作。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（三）以审判质效为抓手，提升审判执行工作质量效率。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（四）坚持司法为民，回应群众期待。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（五）加快基础建设，改善办公环境。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（六）强化队伍建设，打造过硬队伍。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lang w:val="en-US" w:eastAsia="zh-CN"/>
        </w:rPr>
        <w:t xml:space="preserve">（七）全面接受监督，促进工作良性发展。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二、决算单位构成</w:t>
      </w:r>
    </w:p>
    <w:p>
      <w:pPr>
        <w:adjustRightInd w:val="0"/>
        <w:snapToGrid w:val="0"/>
        <w:spacing w:line="560" w:lineRule="exact"/>
        <w:ind w:right="-218" w:rightChars="-104" w:firstLine="640" w:firstLineChars="200"/>
        <w:rPr>
          <w:rFonts w:ascii="仿宋_GB2312" w:eastAsia="仿宋_GB2312"/>
          <w:sz w:val="32"/>
          <w:szCs w:val="32"/>
        </w:rPr>
      </w:pPr>
      <w:r>
        <w:rPr>
          <w:rFonts w:hint="eastAsia" w:ascii="仿宋_GB2312" w:hAnsi="仿宋_GB2312" w:eastAsia="仿宋_GB2312"/>
          <w:sz w:val="32"/>
          <w:szCs w:val="22"/>
          <w:lang w:eastAsia="zh-CN"/>
        </w:rPr>
        <w:t>我院为广西法院检察院财物统一管理改革试点单位，从</w:t>
      </w:r>
      <w:r>
        <w:rPr>
          <w:rFonts w:hint="eastAsia" w:ascii="仿宋_GB2312" w:hAnsi="仿宋_GB2312" w:eastAsia="仿宋_GB2312"/>
          <w:sz w:val="32"/>
          <w:szCs w:val="22"/>
          <w:lang w:val="en-US" w:eastAsia="zh-CN"/>
        </w:rPr>
        <w:t>2020年起我</w:t>
      </w:r>
      <w:r>
        <w:rPr>
          <w:rFonts w:hint="eastAsia" w:ascii="仿宋_GB2312" w:hAnsi="仿宋_GB2312" w:eastAsia="仿宋_GB2312"/>
          <w:sz w:val="32"/>
          <w:szCs w:val="22"/>
        </w:rPr>
        <w:t>院作为市中级</w:t>
      </w:r>
      <w:r>
        <w:rPr>
          <w:rFonts w:hint="eastAsia" w:ascii="仿宋_GB2312" w:hAnsi="仿宋_GB2312" w:eastAsia="仿宋_GB2312"/>
          <w:sz w:val="32"/>
          <w:szCs w:val="22"/>
          <w:lang w:val="en-US" w:eastAsia="zh-CN"/>
        </w:rPr>
        <w:t>人民</w:t>
      </w:r>
      <w:r>
        <w:rPr>
          <w:rFonts w:hint="eastAsia" w:ascii="仿宋_GB2312" w:hAnsi="仿宋_GB2312" w:eastAsia="仿宋_GB2312"/>
          <w:sz w:val="32"/>
          <w:szCs w:val="22"/>
        </w:rPr>
        <w:t>法院二级预算单位</w:t>
      </w:r>
      <w:r>
        <w:rPr>
          <w:rFonts w:hint="eastAsia" w:ascii="仿宋_GB2312" w:hAnsi="仿宋_GB2312" w:eastAsia="仿宋_GB2312"/>
          <w:sz w:val="32"/>
          <w:szCs w:val="22"/>
          <w:lang w:eastAsia="zh-CN"/>
        </w:rPr>
        <w:t>进行管理，此次</w:t>
      </w:r>
      <w:r>
        <w:rPr>
          <w:rFonts w:hint="eastAsia" w:ascii="仿宋_GB2312" w:eastAsia="仿宋_GB2312"/>
          <w:sz w:val="32"/>
          <w:szCs w:val="32"/>
        </w:rPr>
        <w:t>决算为单位</w:t>
      </w:r>
      <w:r>
        <w:rPr>
          <w:rFonts w:hint="eastAsia" w:ascii="仿宋_GB2312" w:eastAsia="仿宋_GB2312"/>
          <w:sz w:val="32"/>
          <w:szCs w:val="32"/>
          <w:lang w:eastAsia="zh-CN"/>
        </w:rPr>
        <w:t>市</w:t>
      </w:r>
      <w:r>
        <w:rPr>
          <w:rFonts w:hint="eastAsia" w:ascii="仿宋_GB2312" w:eastAsia="仿宋_GB2312"/>
          <w:sz w:val="32"/>
          <w:szCs w:val="32"/>
        </w:rPr>
        <w:t>本级决算。</w:t>
      </w:r>
      <w:r>
        <w:rPr>
          <w:rFonts w:hint="eastAsia" w:ascii="仿宋_GB2312" w:eastAsia="仿宋_GB2312"/>
          <w:sz w:val="32"/>
          <w:szCs w:val="32"/>
          <w:highlight w:val="none"/>
        </w:rPr>
        <w:t>单位现设</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个科室，</w:t>
      </w:r>
      <w:r>
        <w:rPr>
          <w:rFonts w:hint="eastAsia" w:ascii="仿宋_GB2312" w:eastAsia="仿宋_GB2312"/>
          <w:sz w:val="32"/>
          <w:szCs w:val="32"/>
        </w:rPr>
        <w:t>分别为：</w:t>
      </w:r>
      <w:r>
        <w:rPr>
          <w:rFonts w:hint="eastAsia" w:ascii="仿宋_GB2312" w:hAnsi="仿宋_GB2312" w:eastAsia="仿宋_GB2312" w:cs="Times New Roman"/>
          <w:sz w:val="32"/>
          <w:szCs w:val="22"/>
          <w:lang w:eastAsia="zh-CN"/>
        </w:rPr>
        <w:t>立案庭（诉讼服务中心）、刑事审判庭、民事审判庭、综合审判庭、执行局、政治部、综合办公室、审判管理办公室（研究室）、司法警察大队</w:t>
      </w:r>
      <w:r>
        <w:rPr>
          <w:rFonts w:hint="eastAsia" w:ascii="仿宋_GB2312" w:hAnsi="仿宋_GB2312" w:eastAsia="仿宋_GB2312" w:cs="Times New Roman"/>
          <w:sz w:val="32"/>
          <w:szCs w:val="22"/>
        </w:rPr>
        <w:t>及融水法庭、大浪法庭、四荣法庭、汪洞法庭四个</w:t>
      </w:r>
      <w:r>
        <w:rPr>
          <w:rFonts w:hint="eastAsia" w:ascii="仿宋_GB2312" w:hAnsi="仿宋_GB2312" w:eastAsia="仿宋_GB2312" w:cs="Times New Roman"/>
          <w:sz w:val="32"/>
          <w:szCs w:val="22"/>
          <w:lang w:eastAsia="zh-CN"/>
        </w:rPr>
        <w:t>派出机构</w:t>
      </w:r>
      <w:r>
        <w:rPr>
          <w:rFonts w:hint="eastAsia" w:ascii="仿宋_GB2312" w:hAnsi="仿宋_GB2312" w:eastAsia="仿宋_GB2312" w:cs="Times New Roman"/>
          <w:sz w:val="32"/>
          <w:szCs w:val="22"/>
        </w:rPr>
        <w:t>。</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本单位20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highlight w:val="none"/>
        </w:rPr>
        <w:t>年末编制人数为</w:t>
      </w:r>
      <w:r>
        <w:rPr>
          <w:rFonts w:hint="eastAsia" w:ascii="仿宋_GB2312" w:hAnsi="仿宋" w:eastAsia="仿宋_GB2312"/>
          <w:sz w:val="32"/>
          <w:szCs w:val="32"/>
          <w:highlight w:val="none"/>
          <w:lang w:val="en-US" w:eastAsia="zh-CN"/>
        </w:rPr>
        <w:t>94</w:t>
      </w:r>
      <w:r>
        <w:rPr>
          <w:rFonts w:hint="eastAsia" w:ascii="仿宋_GB2312" w:hAnsi="仿宋" w:eastAsia="仿宋_GB2312"/>
          <w:sz w:val="32"/>
          <w:szCs w:val="32"/>
          <w:highlight w:val="none"/>
        </w:rPr>
        <w:t>人，其</w:t>
      </w:r>
      <w:r>
        <w:rPr>
          <w:rFonts w:hint="eastAsia" w:ascii="仿宋_GB2312" w:hAnsi="仿宋" w:eastAsia="仿宋_GB2312"/>
          <w:sz w:val="32"/>
          <w:szCs w:val="32"/>
        </w:rPr>
        <w:t>中行政人员编制数为</w:t>
      </w:r>
      <w:r>
        <w:rPr>
          <w:rFonts w:hint="eastAsia" w:ascii="仿宋_GB2312" w:hAnsi="仿宋" w:eastAsia="仿宋_GB2312"/>
          <w:sz w:val="32"/>
          <w:szCs w:val="32"/>
          <w:lang w:val="en-US" w:eastAsia="zh-CN"/>
        </w:rPr>
        <w:t>92</w:t>
      </w:r>
      <w:r>
        <w:rPr>
          <w:rFonts w:hint="eastAsia" w:ascii="仿宋_GB2312" w:hAnsi="仿宋" w:eastAsia="仿宋_GB2312"/>
          <w:sz w:val="32"/>
          <w:szCs w:val="32"/>
        </w:rPr>
        <w:t>人。20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年年末实有人数</w:t>
      </w:r>
      <w:r>
        <w:rPr>
          <w:rFonts w:hint="eastAsia" w:ascii="仿宋_GB2312" w:hAnsi="仿宋" w:eastAsia="仿宋_GB2312"/>
          <w:sz w:val="32"/>
          <w:szCs w:val="32"/>
          <w:lang w:val="en-US" w:eastAsia="zh-CN"/>
        </w:rPr>
        <w:t>94</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94</w:t>
      </w:r>
      <w:r>
        <w:rPr>
          <w:rFonts w:hint="eastAsia" w:ascii="仿宋_GB2312" w:hAnsi="仿宋" w:eastAsia="仿宋_GB2312"/>
          <w:sz w:val="32"/>
          <w:szCs w:val="32"/>
        </w:rPr>
        <w:t>人，离休人员</w:t>
      </w:r>
      <w:r>
        <w:rPr>
          <w:rFonts w:hint="eastAsia" w:ascii="仿宋_GB2312" w:hAnsi="仿宋" w:eastAsia="仿宋_GB2312"/>
          <w:sz w:val="32"/>
          <w:szCs w:val="32"/>
          <w:lang w:val="en-US" w:eastAsia="zh-CN"/>
        </w:rPr>
        <w:t>1</w:t>
      </w:r>
      <w:r>
        <w:rPr>
          <w:rFonts w:hint="eastAsia" w:ascii="仿宋_GB2312" w:hAnsi="仿宋" w:eastAsia="仿宋_GB2312"/>
          <w:sz w:val="32"/>
          <w:szCs w:val="32"/>
        </w:rPr>
        <w:t>人。</w:t>
      </w: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hint="eastAsia" w:ascii="仿宋_GB2312" w:hAnsi="仿宋" w:eastAsia="仿宋_GB2312"/>
          <w:sz w:val="32"/>
          <w:szCs w:val="32"/>
        </w:rPr>
      </w:pPr>
    </w:p>
    <w:p>
      <w:pPr>
        <w:jc w:val="center"/>
        <w:rPr>
          <w:rFonts w:hint="eastAsia" w:ascii="仿宋_GB2312" w:hAnsi="Times New Roman" w:eastAsia="仿宋_GB2312" w:cs="Times New Roman"/>
          <w:b/>
          <w:sz w:val="32"/>
          <w:szCs w:val="32"/>
          <w:lang w:eastAsia="zh-CN"/>
        </w:rPr>
      </w:pPr>
    </w:p>
    <w:p>
      <w:pPr>
        <w:jc w:val="center"/>
      </w:pPr>
      <w:r>
        <w:rPr>
          <w:rFonts w:hint="eastAsia" w:ascii="仿宋_GB2312" w:hAnsi="Times New Roman" w:eastAsia="仿宋_GB2312" w:cs="Times New Roman"/>
          <w:b/>
          <w:sz w:val="32"/>
          <w:szCs w:val="32"/>
          <w:lang w:eastAsia="zh-CN"/>
        </w:rPr>
        <w:t>第二部分：融水苗族自治县人民法院2020年决算报表</w:t>
      </w:r>
    </w:p>
    <w:tbl>
      <w:tblPr>
        <w:tblStyle w:val="6"/>
        <w:tblW w:w="8903" w:type="dxa"/>
        <w:jc w:val="center"/>
        <w:tblLayout w:type="fixed"/>
        <w:tblCellMar>
          <w:top w:w="0" w:type="dxa"/>
          <w:left w:w="108" w:type="dxa"/>
          <w:bottom w:w="0" w:type="dxa"/>
          <w:right w:w="108" w:type="dxa"/>
        </w:tblCellMar>
      </w:tblPr>
      <w:tblGrid>
        <w:gridCol w:w="3315"/>
        <w:gridCol w:w="1290"/>
        <w:gridCol w:w="2498"/>
        <w:gridCol w:w="1800"/>
      </w:tblGrid>
      <w:tr>
        <w:tblPrEx>
          <w:tblCellMar>
            <w:top w:w="0" w:type="dxa"/>
            <w:left w:w="108" w:type="dxa"/>
            <w:bottom w:w="0" w:type="dxa"/>
            <w:right w:w="108" w:type="dxa"/>
          </w:tblCellMar>
        </w:tblPrEx>
        <w:trPr>
          <w:wAfter w:w="0" w:type="auto"/>
          <w:trHeight w:val="570" w:hRule="atLeast"/>
          <w:jc w:val="center"/>
        </w:trPr>
        <w:tc>
          <w:tcPr>
            <w:tcW w:w="8903"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6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29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2719.11</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二、公共安全支出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4797.82</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三、社会保障和就业支出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326.53</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四、卫生健康支出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125.08</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五、城乡社区支出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、住房保障支出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158.31</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790.76</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3509.88</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5407.74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2834.84</w:t>
            </w: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936.97</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00"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6344.72</w:t>
            </w:r>
          </w:p>
        </w:tc>
        <w:tc>
          <w:tcPr>
            <w:tcW w:w="249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6344.72</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085"/>
        <w:gridCol w:w="2865"/>
        <w:gridCol w:w="1440"/>
        <w:gridCol w:w="1635"/>
        <w:gridCol w:w="1245"/>
        <w:gridCol w:w="1250"/>
        <w:gridCol w:w="1540"/>
        <w:gridCol w:w="1540"/>
        <w:gridCol w:w="1540"/>
      </w:tblGrid>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2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8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86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4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3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2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3509.88</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790.76</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2899.95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2267.48</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632.47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2899.95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2267.48</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632.47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1754.26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1148.49</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605.77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30.86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4.16</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26.7</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案件审判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448.83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448.83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案件执行</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13.06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13.06</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“两庭”建设</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68.64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68.64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其他法院支出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584.30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584.30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326.54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306.84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80.5</w:t>
            </w:r>
          </w:p>
        </w:tc>
      </w:tr>
      <w:tr>
        <w:tblPrEx>
          <w:tblCellMar>
            <w:top w:w="0" w:type="dxa"/>
            <w:left w:w="108" w:type="dxa"/>
            <w:bottom w:w="0" w:type="dxa"/>
            <w:right w:w="108" w:type="dxa"/>
          </w:tblCellMar>
        </w:tblPrEx>
        <w:trPr>
          <w:trHeight w:val="45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1.28</w:t>
            </w:r>
          </w:p>
        </w:tc>
      </w:tr>
      <w:tr>
        <w:tblPrEx>
          <w:tblCellMar>
            <w:top w:w="0" w:type="dxa"/>
            <w:left w:w="108" w:type="dxa"/>
            <w:bottom w:w="0" w:type="dxa"/>
            <w:right w:w="108" w:type="dxa"/>
          </w:tblCellMar>
        </w:tblPrEx>
        <w:trPr>
          <w:trHeight w:val="34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660" w:hanging="660" w:hangingChars="30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212.52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660" w:firstLineChars="30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133.62 </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78.91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67.13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66.81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128.08</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62.63</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62.44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62.44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58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58.10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58.10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58.10</w:t>
            </w:r>
          </w:p>
        </w:tc>
      </w:tr>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2290200</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年初预留</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bl>
    <w:p/>
    <w:p>
      <w:r>
        <w:rPr>
          <w:rFonts w:hint="eastAsia"/>
        </w:rPr>
        <w:t>注：本表反映本年度取得的各项收入情况。</w:t>
      </w:r>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tblInd w:w="0" w:type="dxa"/>
        <w:tblLayout w:type="fixed"/>
        <w:tblCellMar>
          <w:top w:w="0" w:type="dxa"/>
          <w:left w:w="108" w:type="dxa"/>
          <w:bottom w:w="0" w:type="dxa"/>
          <w:right w:w="108" w:type="dxa"/>
        </w:tblCellMar>
      </w:tblPr>
      <w:tblGrid>
        <w:gridCol w:w="1180"/>
        <w:gridCol w:w="3040"/>
        <w:gridCol w:w="1620"/>
        <w:gridCol w:w="1605"/>
        <w:gridCol w:w="1455"/>
        <w:gridCol w:w="1695"/>
        <w:gridCol w:w="1469"/>
        <w:gridCol w:w="1985"/>
      </w:tblGrid>
      <w:tr>
        <w:tblPrEx>
          <w:tblCellMar>
            <w:top w:w="0" w:type="dxa"/>
            <w:left w:w="108" w:type="dxa"/>
            <w:bottom w:w="0" w:type="dxa"/>
            <w:right w:w="108" w:type="dxa"/>
          </w:tblCellMar>
        </w:tblPrEx>
        <w:trPr>
          <w:trHeight w:val="288" w:hRule="atLeast"/>
        </w:trPr>
        <w:tc>
          <w:tcPr>
            <w:tcW w:w="42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4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rPr>
          <w:trHeight w:val="288" w:hRule="atLeast"/>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center"/>
              <w:rPr>
                <w:rFonts w:ascii="宋体" w:hAnsi="宋体" w:cs="Arial"/>
                <w:color w:val="000000"/>
                <w:kern w:val="0"/>
                <w:sz w:val="22"/>
                <w:szCs w:val="22"/>
              </w:rPr>
            </w:pPr>
            <w:r>
              <w:rPr>
                <w:rFonts w:hint="eastAsia" w:ascii="宋体" w:hAnsi="宋体" w:cs="Arial"/>
                <w:kern w:val="0"/>
                <w:sz w:val="22"/>
                <w:szCs w:val="22"/>
              </w:rPr>
              <w:t>栏次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05" w:type="dxa"/>
            <w:tcBorders>
              <w:top w:val="single" w:color="auto" w:sz="4" w:space="0"/>
              <w:left w:val="single" w:color="auto" w:sz="4" w:space="0"/>
              <w:bottom w:val="single" w:color="auto" w:sz="4" w:space="0"/>
              <w:right w:val="single" w:color="auto" w:sz="4" w:space="0"/>
            </w:tcBorders>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2</w:t>
            </w:r>
          </w:p>
        </w:tc>
        <w:tc>
          <w:tcPr>
            <w:tcW w:w="1455" w:type="dxa"/>
            <w:tcBorders>
              <w:top w:val="single" w:color="auto" w:sz="4" w:space="0"/>
              <w:left w:val="single" w:color="auto" w:sz="4" w:space="0"/>
              <w:bottom w:val="single" w:color="auto" w:sz="4" w:space="0"/>
              <w:right w:val="single" w:color="auto" w:sz="4" w:space="0"/>
            </w:tcBorders>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3</w:t>
            </w:r>
          </w:p>
        </w:tc>
        <w:tc>
          <w:tcPr>
            <w:tcW w:w="169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469" w:type="dxa"/>
            <w:tcBorders>
              <w:top w:val="single" w:color="auto" w:sz="4" w:space="0"/>
              <w:left w:val="single" w:color="auto" w:sz="4" w:space="0"/>
              <w:bottom w:val="single" w:color="auto" w:sz="4" w:space="0"/>
              <w:right w:val="single" w:color="auto" w:sz="4" w:space="0"/>
            </w:tcBorders>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single" w:color="auto" w:sz="4" w:space="0"/>
              <w:left w:val="single" w:color="auto" w:sz="4" w:space="0"/>
              <w:bottom w:val="single" w:color="auto" w:sz="4" w:space="0"/>
              <w:right w:val="single" w:color="auto" w:sz="4" w:space="0"/>
            </w:tcBorders>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20"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5407.74</w:t>
            </w:r>
          </w:p>
        </w:tc>
        <w:tc>
          <w:tcPr>
            <w:tcW w:w="1605"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2390.88</w:t>
            </w:r>
            <w:r>
              <w:rPr>
                <w:rFonts w:hint="eastAsia" w:ascii="宋体" w:hAnsi="宋体" w:cs="Arial"/>
                <w:color w:val="000000"/>
                <w:kern w:val="0"/>
                <w:sz w:val="22"/>
                <w:szCs w:val="22"/>
              </w:rPr>
              <w:t>　</w:t>
            </w:r>
          </w:p>
        </w:tc>
        <w:tc>
          <w:tcPr>
            <w:tcW w:w="145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3016.86</w:t>
            </w:r>
          </w:p>
        </w:tc>
        <w:tc>
          <w:tcPr>
            <w:tcW w:w="1695"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69" w:type="dxa"/>
            <w:tcBorders>
              <w:top w:val="single" w:color="auto" w:sz="4" w:space="0"/>
              <w:left w:val="single" w:color="auto" w:sz="4" w:space="0"/>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4797.82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1780.96</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3016.86</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4797.82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1780.96</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3016.86</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1754.26</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1754.26</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95.2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26.7</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68.50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案件审判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448.83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448.83</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案件执行</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13.06</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13.06</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“两庭”建设</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1902.18</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1902.18</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其他法院支出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584.30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584.30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326.53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326.53</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306.84</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306.84</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212.52</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212.52</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67.13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67.13</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19.69</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62.63</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62.63</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62.44</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62.44</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城乡社区管理事务</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2120199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158.31</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2290200</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年初预留</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3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bl>
    <w:p/>
    <w:p>
      <w:r>
        <w:rPr>
          <w:rFonts w:hint="eastAsia"/>
        </w:rPr>
        <w:t>注：本表反映本年度各项支出情况。</w:t>
      </w:r>
    </w:p>
    <w:p/>
    <w:p/>
    <w:p/>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12540" w:firstLineChars="5700"/>
      </w:pPr>
      <w:r>
        <w:rPr>
          <w:rFonts w:hint="eastAsia"/>
          <w:sz w:val="22"/>
          <w:szCs w:val="22"/>
        </w:rPr>
        <w:t>单位：万元</w:t>
      </w:r>
    </w:p>
    <w:tbl>
      <w:tblPr>
        <w:tblStyle w:val="6"/>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255"/>
        <w:gridCol w:w="645"/>
        <w:gridCol w:w="1290"/>
        <w:gridCol w:w="2790"/>
        <w:gridCol w:w="750"/>
        <w:gridCol w:w="1410"/>
        <w:gridCol w:w="1309"/>
        <w:gridCol w:w="1316"/>
      </w:tblGrid>
      <w:tr>
        <w:tblPrEx>
          <w:tblCellMar>
            <w:top w:w="0" w:type="dxa"/>
            <w:left w:w="108" w:type="dxa"/>
            <w:bottom w:w="0" w:type="dxa"/>
            <w:right w:w="108" w:type="dxa"/>
          </w:tblCellMar>
        </w:tblPrEx>
        <w:trPr>
          <w:trHeight w:val="300" w:hRule="atLeast"/>
          <w:jc w:val="center"/>
        </w:trPr>
        <w:tc>
          <w:tcPr>
            <w:tcW w:w="61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2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7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4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9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一、公共安全支出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2267.48</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2267.48</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三、卫生健康支出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125.08</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四、城乡社区支出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五、住房保障支出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13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10"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309" w:type="dxa"/>
            <w:tcBorders>
              <w:top w:val="nil"/>
              <w:left w:val="nil"/>
              <w:bottom w:val="single" w:color="auto" w:sz="4" w:space="0"/>
              <w:right w:val="single" w:color="auto" w:sz="4" w:space="0"/>
            </w:tcBorders>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226.34</w:t>
            </w:r>
          </w:p>
        </w:tc>
        <w:tc>
          <w:tcPr>
            <w:tcW w:w="1316" w:type="dxa"/>
            <w:tcBorders>
              <w:top w:val="nil"/>
              <w:left w:val="nil"/>
              <w:bottom w:val="single" w:color="auto" w:sz="4" w:space="0"/>
              <w:right w:val="single" w:color="auto" w:sz="4" w:space="0"/>
            </w:tcBorders>
          </w:tcPr>
          <w:p>
            <w:pPr>
              <w:widowControl/>
              <w:ind w:firstLine="660" w:firstLineChars="3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1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410"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27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13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2719.11</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bl>
    <w:p>
      <w:pPr>
        <w:jc w:val="right"/>
        <w:rPr>
          <w:sz w:val="22"/>
          <w:szCs w:val="22"/>
        </w:rPr>
      </w:pPr>
    </w:p>
    <w:p>
      <w:r>
        <w:rPr>
          <w:rFonts w:hint="eastAsia"/>
        </w:rPr>
        <w:t>注：本表反映本年度一般公共预算财政拨款和政府性基金预算财政拨款的总收支和年末结转结余情况。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603"/>
        <w:gridCol w:w="3712"/>
        <w:gridCol w:w="2445"/>
        <w:gridCol w:w="3060"/>
        <w:gridCol w:w="2659"/>
      </w:tblGrid>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445"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060"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2719.11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1600.12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1118.99</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公共安全支出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2267.48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1148.49</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1118.99</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法院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2267.48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1148.49</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1118.99</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1148.49</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1148.49</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2040502</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4.16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4.16</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2040504</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案件审判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448.83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448.83</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2040505</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案件执行</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13.06</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13.06</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2040506</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“两庭”建设</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68.64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68.64</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2040599</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其他法院支出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584.30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584.30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226.34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226.34</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226.34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226.34</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25.91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25.91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133.62</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133.62</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66.81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66.81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死亡抚恤</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125.08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125.08</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125.08</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125.08</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62.63</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62.63</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62.44</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62.44</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城乡社区公共设施</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88"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100.21</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264"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3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bl>
    <w:p/>
    <w:p>
      <w:r>
        <w:rPr>
          <w:rFonts w:hint="eastAsia"/>
        </w:rPr>
        <w:t>注：本表反映本年度一般公共预算财政拨款实际支出情况。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1231"/>
        <w:gridCol w:w="2805"/>
        <w:gridCol w:w="1230"/>
        <w:gridCol w:w="945"/>
        <w:gridCol w:w="1785"/>
        <w:gridCol w:w="1155"/>
      </w:tblGrid>
      <w:tr>
        <w:tblPrEx>
          <w:tblCellMar>
            <w:top w:w="0" w:type="dxa"/>
            <w:left w:w="108" w:type="dxa"/>
            <w:bottom w:w="0" w:type="dxa"/>
            <w:right w:w="108" w:type="dxa"/>
          </w:tblCellMar>
        </w:tblPrEx>
        <w:trPr>
          <w:trHeight w:val="564" w:hRule="atLeast"/>
          <w:jc w:val="center"/>
        </w:trPr>
        <w:tc>
          <w:tcPr>
            <w:tcW w:w="52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388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231"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8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3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8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5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69"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1234.28</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商品和服务支出</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345.60</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404.09</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27.50</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323.43</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76.86</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03</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05</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133.62</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14.34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66.81</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18.11</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62.63</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w:t>
            </w:r>
            <w:r>
              <w:rPr>
                <w:rFonts w:hint="eastAsia" w:ascii="宋体" w:hAnsi="宋体" w:cs="Arial"/>
                <w:color w:val="000000"/>
                <w:kern w:val="0"/>
                <w:sz w:val="22"/>
                <w:szCs w:val="22"/>
              </w:rPr>
              <w:t>09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27.14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62.44</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差旅</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35.57</w:t>
            </w:r>
          </w:p>
        </w:tc>
      </w:tr>
      <w:tr>
        <w:tblPrEx>
          <w:tblCellMar>
            <w:top w:w="0" w:type="dxa"/>
            <w:left w:w="108" w:type="dxa"/>
            <w:bottom w:w="0" w:type="dxa"/>
            <w:right w:w="108" w:type="dxa"/>
          </w:tblCellMar>
        </w:tblPrEx>
        <w:trPr>
          <w:trHeight w:val="41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230" w:type="dxa"/>
            <w:tcBorders>
              <w:top w:val="nil"/>
              <w:left w:val="nil"/>
              <w:bottom w:val="single" w:color="auto" w:sz="4" w:space="0"/>
              <w:right w:val="single" w:color="auto" w:sz="4" w:space="0"/>
            </w:tcBorders>
            <w:vAlign w:val="center"/>
          </w:tcPr>
          <w:p>
            <w:pPr>
              <w:widowControl/>
              <w:tabs>
                <w:tab w:val="left" w:pos="275"/>
              </w:tabs>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ab/>
            </w:r>
            <w:r>
              <w:rPr>
                <w:rFonts w:hint="eastAsia" w:ascii="宋体" w:hAnsi="宋体" w:cs="Arial"/>
                <w:color w:val="000000"/>
                <w:kern w:val="0"/>
                <w:sz w:val="22"/>
                <w:szCs w:val="22"/>
                <w:lang w:val="en-US" w:eastAsia="zh-CN"/>
              </w:rPr>
              <w:t>4.18</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213</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维修（护）</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100.21</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租赁</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215</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会议</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303</w:t>
            </w:r>
          </w:p>
        </w:tc>
        <w:tc>
          <w:tcPr>
            <w:tcW w:w="280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19.39</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培训</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30301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离休费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9.95</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公务接待</w:t>
            </w:r>
            <w:r>
              <w:rPr>
                <w:rFonts w:hint="eastAsia" w:ascii="宋体" w:hAnsi="宋体" w:cs="Arial"/>
                <w:color w:val="000000"/>
                <w:kern w:val="0"/>
                <w:sz w:val="22"/>
                <w:szCs w:val="22"/>
              </w:rPr>
              <w:t>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4.36</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退休费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1.11</w:t>
            </w: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w:t>
            </w:r>
            <w:r>
              <w:rPr>
                <w:rFonts w:hint="eastAsia" w:ascii="宋体" w:hAnsi="宋体" w:cs="Arial"/>
                <w:color w:val="000000"/>
                <w:kern w:val="0"/>
                <w:sz w:val="22"/>
                <w:szCs w:val="22"/>
                <w:lang w:val="en-US" w:eastAsia="zh-CN"/>
              </w:rPr>
              <w:t>218</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专用材料费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抚恤金</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30224</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5.27</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0.82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救济费</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医疗费补助</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24.26</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奖励金</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福利费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3.06</w:t>
            </w: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81.97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70.25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310</w:t>
            </w:r>
          </w:p>
        </w:tc>
        <w:tc>
          <w:tcPr>
            <w:tcW w:w="1785" w:type="dxa"/>
            <w:tcBorders>
              <w:top w:val="nil"/>
              <w:left w:val="nil"/>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资本性支出</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0.85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31002</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办公设备购置</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0.85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31013</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公务用车购置</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31099</w:t>
            </w:r>
          </w:p>
        </w:tc>
        <w:tc>
          <w:tcPr>
            <w:tcW w:w="1785"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其他资本性支出</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98" w:hRule="atLeast"/>
          <w:jc w:val="center"/>
        </w:trPr>
        <w:tc>
          <w:tcPr>
            <w:tcW w:w="403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30"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1253.67</w:t>
            </w:r>
          </w:p>
        </w:tc>
        <w:tc>
          <w:tcPr>
            <w:tcW w:w="273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55" w:type="dxa"/>
            <w:tcBorders>
              <w:top w:val="nil"/>
              <w:left w:val="nil"/>
              <w:bottom w:val="single" w:color="auto" w:sz="4" w:space="0"/>
              <w:right w:val="single" w:color="auto" w:sz="4" w:space="0"/>
            </w:tcBorders>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346.45</w:t>
            </w:r>
          </w:p>
        </w:tc>
      </w:tr>
    </w:tbl>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1096"/>
        <w:gridCol w:w="1200"/>
        <w:gridCol w:w="1170"/>
        <w:gridCol w:w="1036"/>
        <w:gridCol w:w="1242"/>
        <w:gridCol w:w="1216"/>
        <w:gridCol w:w="1066"/>
        <w:gridCol w:w="1300"/>
        <w:gridCol w:w="995"/>
        <w:gridCol w:w="1209"/>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10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4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0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0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0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0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7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9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30.37</w:t>
            </w:r>
          </w:p>
        </w:tc>
        <w:tc>
          <w:tcPr>
            <w:tcW w:w="12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26.00</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26.00</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4.37</w:t>
            </w:r>
          </w:p>
        </w:tc>
        <w:tc>
          <w:tcPr>
            <w:tcW w:w="10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30.36</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26.00</w:t>
            </w:r>
          </w:p>
        </w:tc>
        <w:tc>
          <w:tcPr>
            <w:tcW w:w="120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26.00</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4.36</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615"/>
        <w:gridCol w:w="840"/>
        <w:gridCol w:w="975"/>
        <w:gridCol w:w="1065"/>
        <w:gridCol w:w="915"/>
        <w:gridCol w:w="90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615" w:type="dxa"/>
            <w:tcBorders>
              <w:top w:val="nil"/>
              <w:left w:val="nil"/>
              <w:bottom w:val="nil"/>
              <w:right w:val="nil"/>
            </w:tcBorders>
            <w:vAlign w:val="bottom"/>
          </w:tcPr>
          <w:p>
            <w:pPr>
              <w:widowControl/>
              <w:jc w:val="left"/>
              <w:rPr>
                <w:rFonts w:ascii="仿宋_GB2312" w:hAnsi="宋体" w:cs="宋体"/>
                <w:kern w:val="0"/>
                <w:sz w:val="24"/>
              </w:rPr>
            </w:pPr>
          </w:p>
        </w:tc>
        <w:tc>
          <w:tcPr>
            <w:tcW w:w="840" w:type="dxa"/>
            <w:tcBorders>
              <w:top w:val="nil"/>
              <w:left w:val="nil"/>
              <w:bottom w:val="nil"/>
              <w:right w:val="nil"/>
            </w:tcBorders>
            <w:vAlign w:val="bottom"/>
          </w:tcPr>
          <w:p>
            <w:pPr>
              <w:widowControl/>
              <w:jc w:val="left"/>
              <w:rPr>
                <w:rFonts w:ascii="仿宋_GB2312" w:hAnsi="宋体" w:cs="宋体"/>
                <w:kern w:val="0"/>
                <w:sz w:val="24"/>
              </w:rPr>
            </w:pPr>
          </w:p>
        </w:tc>
        <w:tc>
          <w:tcPr>
            <w:tcW w:w="975" w:type="dxa"/>
            <w:tcBorders>
              <w:top w:val="nil"/>
              <w:left w:val="nil"/>
              <w:bottom w:val="nil"/>
              <w:right w:val="nil"/>
            </w:tcBorders>
            <w:vAlign w:val="bottom"/>
          </w:tcPr>
          <w:p>
            <w:pPr>
              <w:widowControl/>
              <w:jc w:val="left"/>
              <w:rPr>
                <w:rFonts w:ascii="仿宋_GB2312" w:hAnsi="宋体" w:cs="宋体"/>
                <w:kern w:val="0"/>
                <w:sz w:val="24"/>
              </w:rPr>
            </w:pPr>
          </w:p>
        </w:tc>
        <w:tc>
          <w:tcPr>
            <w:tcW w:w="1065" w:type="dxa"/>
            <w:tcBorders>
              <w:top w:val="nil"/>
              <w:left w:val="nil"/>
              <w:bottom w:val="nil"/>
              <w:right w:val="nil"/>
            </w:tcBorders>
            <w:vAlign w:val="bottom"/>
          </w:tcPr>
          <w:p>
            <w:pPr>
              <w:widowControl/>
              <w:jc w:val="left"/>
              <w:rPr>
                <w:rFonts w:ascii="仿宋_GB2312" w:hAnsi="宋体" w:cs="宋体"/>
                <w:kern w:val="0"/>
                <w:sz w:val="24"/>
              </w:rPr>
            </w:pPr>
          </w:p>
        </w:tc>
        <w:tc>
          <w:tcPr>
            <w:tcW w:w="915" w:type="dxa"/>
            <w:tcBorders>
              <w:top w:val="nil"/>
              <w:left w:val="nil"/>
              <w:bottom w:val="nil"/>
              <w:right w:val="nil"/>
            </w:tcBorders>
            <w:vAlign w:val="bottom"/>
          </w:tcPr>
          <w:p>
            <w:pPr>
              <w:widowControl/>
              <w:jc w:val="left"/>
              <w:rPr>
                <w:rFonts w:ascii="仿宋_GB2312" w:hAnsi="宋体" w:cs="宋体"/>
                <w:kern w:val="0"/>
                <w:sz w:val="24"/>
              </w:rPr>
            </w:pPr>
          </w:p>
        </w:tc>
        <w:tc>
          <w:tcPr>
            <w:tcW w:w="90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9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9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84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7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6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91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28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16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注：本表反映本年度政府性基金预算财政拨款收入支出及结转和结余情况。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eastAsia="zh-CN"/>
        </w:rPr>
        <w:t>融水苗族自治县人民法院</w:t>
      </w:r>
      <w:r>
        <w:rPr>
          <w:rFonts w:hint="eastAsia" w:ascii="仿宋_GB2312" w:eastAsia="仿宋_GB2312" w:cs="仿宋_GB2312"/>
          <w:bCs/>
          <w:kern w:val="0"/>
          <w:sz w:val="32"/>
          <w:szCs w:val="32"/>
        </w:rPr>
        <w:t>没</w:t>
      </w:r>
      <w:r>
        <w:rPr>
          <w:rFonts w:hint="eastAsia" w:ascii="仿宋_GB2312" w:hAnsi="Times New Roman" w:eastAsia="仿宋_GB2312" w:cs="仿宋_GB2312"/>
          <w:bCs/>
          <w:kern w:val="0"/>
          <w:sz w:val="32"/>
          <w:szCs w:val="32"/>
        </w:rPr>
        <w:t>有政府性基金预算财政拨款收</w:t>
      </w:r>
      <w:r>
        <w:rPr>
          <w:rFonts w:hint="eastAsia" w:ascii="仿宋_GB2312" w:eastAsia="仿宋_GB2312" w:cs="仿宋_GB2312"/>
          <w:bCs/>
          <w:kern w:val="0"/>
          <w:sz w:val="32"/>
          <w:szCs w:val="32"/>
        </w:rPr>
        <w:t>入，也没有</w:t>
      </w:r>
      <w:r>
        <w:rPr>
          <w:rFonts w:hint="eastAsia" w:ascii="仿宋_GB2312" w:hAnsi="Times New Roman" w:eastAsia="仿宋_GB2312" w:cs="仿宋_GB2312"/>
          <w:bCs/>
          <w:kern w:val="0"/>
          <w:sz w:val="32"/>
          <w:szCs w:val="32"/>
        </w:rPr>
        <w:t>政府性基金预算财政拨款安</w:t>
      </w:r>
      <w:r>
        <w:rPr>
          <w:rFonts w:hint="eastAsia" w:ascii="仿宋_GB2312" w:eastAsia="仿宋_GB2312" w:cs="仿宋_GB2312"/>
          <w:bCs/>
          <w:kern w:val="0"/>
          <w:sz w:val="32"/>
          <w:szCs w:val="32"/>
        </w:rPr>
        <w:t>排的支出，故本表无数据</w:t>
      </w:r>
      <w:r>
        <w:rPr>
          <w:rFonts w:hint="eastAsia" w:ascii="仿宋_GB2312" w:eastAsia="仿宋_GB2312" w:cs="仿宋_GB2312"/>
          <w:bCs/>
          <w:kern w:val="0"/>
          <w:sz w:val="32"/>
          <w:szCs w:val="32"/>
          <w:lang w:eastAsia="zh-CN"/>
        </w:rPr>
        <w:t>。</w:t>
      </w:r>
    </w:p>
    <w:p>
      <w:pPr>
        <w:spacing w:line="560" w:lineRule="exact"/>
        <w:rPr>
          <w:rFonts w:hint="eastAsia"/>
        </w:rPr>
      </w:pPr>
    </w:p>
    <w:tbl>
      <w:tblPr>
        <w:tblStyle w:val="6"/>
        <w:tblW w:w="13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jc w:val="center"/>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3"/>
                <w:highlight w:val="none"/>
                <w:lang w:val="en-US" w:eastAsia="zh-CN" w:bidi="ar"/>
              </w:rPr>
              <w:t xml:space="preserve">   </w:t>
            </w:r>
            <w:r>
              <w:rPr>
                <w:rStyle w:val="14"/>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注：本表反映本年度国有资本经营预算财政拨款支出情况。</w:t>
            </w:r>
          </w:p>
        </w:tc>
      </w:tr>
    </w:tbl>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cs="仿宋_GB2312"/>
          <w:bCs/>
          <w:kern w:val="0"/>
          <w:sz w:val="32"/>
          <w:szCs w:val="32"/>
          <w:lang w:eastAsia="zh-CN"/>
        </w:rPr>
        <w:t>融水苗族自治县人民法院</w:t>
      </w:r>
      <w:r>
        <w:rPr>
          <w:rFonts w:hint="eastAsia" w:ascii="仿宋_GB2312" w:eastAsia="仿宋_GB2312" w:cs="仿宋_GB2312"/>
          <w:bCs/>
          <w:kern w:val="0"/>
          <w:sz w:val="32"/>
          <w:szCs w:val="32"/>
        </w:rPr>
        <w:t>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cs="仿宋_GB2312"/>
          <w:bCs/>
          <w:kern w:val="0"/>
          <w:sz w:val="32"/>
          <w:szCs w:val="32"/>
          <w:lang w:val="en-US" w:eastAsia="zh-CN"/>
        </w:rPr>
        <w:t>国有资本经营预算财政拨款</w:t>
      </w:r>
      <w:r>
        <w:rPr>
          <w:rFonts w:hint="eastAsia" w:ascii="仿宋_GB2312" w:eastAsia="仿宋_GB2312" w:cs="仿宋_GB2312"/>
          <w:bCs/>
          <w:kern w:val="0"/>
          <w:sz w:val="32"/>
          <w:szCs w:val="32"/>
        </w:rPr>
        <w:t>安排的支出，故本表无数据</w:t>
      </w:r>
      <w:r>
        <w:rPr>
          <w:rFonts w:hint="eastAsia" w:ascii="仿宋_GB2312" w:eastAsia="仿宋_GB2312" w:cs="仿宋_GB2312"/>
          <w:bCs/>
          <w:kern w:val="0"/>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融水苗族自治县人民法院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pStyle w:val="5"/>
        <w:keepNext w:val="0"/>
        <w:keepLines w:val="0"/>
        <w:widowControl/>
        <w:suppressLineNumbers w:val="0"/>
        <w:spacing w:before="0" w:beforeAutospacing="0" w:after="0" w:afterAutospacing="0" w:line="585" w:lineRule="atLeast"/>
        <w:ind w:left="0" w:right="0" w:firstLine="645"/>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3509.88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5407.74</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2643.45万元，支出增加1155.39万元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42.96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和增加</w:t>
      </w:r>
      <w:r>
        <w:rPr>
          <w:rFonts w:hint="eastAsia" w:ascii="仿宋_GB2312" w:eastAsia="仿宋_GB2312" w:cs="仿宋_GB2312"/>
          <w:bCs/>
          <w:kern w:val="0"/>
          <w:sz w:val="32"/>
          <w:szCs w:val="32"/>
          <w:lang w:val="en-US" w:eastAsia="zh-CN"/>
        </w:rPr>
        <w:t>27.17%。</w:t>
      </w:r>
      <w:r>
        <w:rPr>
          <w:rFonts w:ascii="仿宋_GB2312" w:hAnsi="宋体" w:eastAsia="仿宋_GB2312" w:cs="仿宋_GB2312"/>
          <w:color w:val="000000"/>
          <w:sz w:val="31"/>
          <w:szCs w:val="31"/>
          <w:shd w:val="clear" w:fill="FFFFFF"/>
        </w:rPr>
        <w:t>收入减少原因为：</w:t>
      </w:r>
      <w:r>
        <w:rPr>
          <w:rFonts w:hint="eastAsia" w:ascii="仿宋_GB2312" w:hAnsi="宋体" w:eastAsia="仿宋_GB2312" w:cs="仿宋_GB2312"/>
          <w:color w:val="000000"/>
          <w:sz w:val="31"/>
          <w:szCs w:val="31"/>
          <w:shd w:val="clear" w:fill="FFFFFF"/>
        </w:rPr>
        <w:t>1、市财政局以支定收，上年度县财政局总收入为实际下达的指标数。2、上年度本部门有发改资金2736万元。支出增加原因为：2020年统管后，聘用人员经费有所增加；本年度案件数较上年增</w:t>
      </w:r>
      <w:r>
        <w:rPr>
          <w:rFonts w:hint="eastAsia" w:ascii="仿宋_GB2312" w:eastAsia="仿宋_GB2312" w:cs="仿宋_GB2312"/>
          <w:color w:val="000000"/>
          <w:sz w:val="31"/>
          <w:szCs w:val="31"/>
          <w:shd w:val="clear" w:fill="FFFFFF"/>
          <w:lang w:val="en-US" w:eastAsia="zh-CN"/>
        </w:rPr>
        <w:t>长</w:t>
      </w:r>
      <w:bookmarkStart w:id="0" w:name="_GoBack"/>
      <w:bookmarkEnd w:id="0"/>
      <w:r>
        <w:rPr>
          <w:rFonts w:hint="eastAsia" w:ascii="仿宋_GB2312" w:hAnsi="宋体" w:eastAsia="仿宋_GB2312" w:cs="仿宋_GB2312"/>
          <w:color w:val="000000"/>
          <w:sz w:val="31"/>
          <w:szCs w:val="31"/>
          <w:shd w:val="clear" w:fill="FFFFFF"/>
        </w:rPr>
        <w:t>，故办案业务费有所增加；上年度结转的发改资金、统筹诉讼补助经费、政法转移支付经费在本年度共支出了1897.87万元</w:t>
      </w:r>
      <w:r>
        <w:rPr>
          <w:rFonts w:hint="eastAsia" w:ascii="仿宋_GB2312" w:hAnsi="宋体" w:eastAsia="仿宋_GB2312" w:cs="仿宋_GB2312"/>
          <w:color w:val="000000"/>
          <w:sz w:val="31"/>
          <w:szCs w:val="31"/>
          <w:shd w:val="clear" w:fill="FFFFFF"/>
          <w:lang w:eastAsia="zh-CN"/>
        </w:rPr>
        <w:t>，</w:t>
      </w:r>
      <w:r>
        <w:rPr>
          <w:rFonts w:hint="eastAsia" w:ascii="仿宋_GB2312" w:hAnsi="宋体" w:eastAsia="仿宋_GB2312" w:cs="仿宋_GB2312"/>
          <w:color w:val="000000"/>
          <w:sz w:val="31"/>
          <w:szCs w:val="31"/>
          <w:shd w:val="clear" w:fill="FFFFFF"/>
        </w:rPr>
        <w:t>未包含在财政拨款支出，故财政拨款支出减少。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3509.88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77.47%</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790.76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22.53%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5407.74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2390.88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44.21</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3016.86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55.79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pStyle w:val="5"/>
        <w:keepNext w:val="0"/>
        <w:keepLines w:val="0"/>
        <w:widowControl/>
        <w:suppressLineNumbers w:val="0"/>
        <w:spacing w:before="0" w:beforeAutospacing="0" w:after="0" w:afterAutospacing="0" w:line="585" w:lineRule="atLeast"/>
        <w:ind w:left="0" w:right="0" w:firstLine="645"/>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3434.22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1533.25万元；分别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55.81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36.06%</w:t>
      </w:r>
      <w:r>
        <w:rPr>
          <w:rFonts w:hint="eastAsia" w:ascii="仿宋_GB2312" w:eastAsia="仿宋_GB2312" w:cs="仿宋_GB2312"/>
          <w:bCs/>
          <w:kern w:val="0"/>
          <w:sz w:val="32"/>
          <w:szCs w:val="32"/>
        </w:rPr>
        <w:t>。</w:t>
      </w:r>
      <w:r>
        <w:rPr>
          <w:rFonts w:ascii="仿宋_GB2312" w:hAnsi="宋体" w:eastAsia="仿宋_GB2312" w:cs="仿宋_GB2312"/>
          <w:color w:val="000000"/>
          <w:sz w:val="31"/>
          <w:szCs w:val="31"/>
          <w:shd w:val="clear" w:fill="FFFFFF"/>
        </w:rPr>
        <w:t>2020年</w:t>
      </w:r>
      <w:r>
        <w:rPr>
          <w:rFonts w:hint="eastAsia" w:ascii="仿宋_GB2312" w:hAnsi="宋体" w:eastAsia="仿宋_GB2312" w:cs="仿宋_GB2312"/>
          <w:color w:val="000000"/>
          <w:sz w:val="31"/>
          <w:szCs w:val="31"/>
          <w:shd w:val="clear" w:fill="FFFFFF"/>
        </w:rPr>
        <w:t>财政拨款收入减少原因：1、市财政局以支定收，上年度县财政局总收入为实际下达的指标数。2、上年度本部门有发改资金2736万元。2020年财政拨款支出减少原因：上年度结转的发改资金、统筹诉讼补助经费、政法转移支付经费在本年度共支出了1897.87万元，未包含在财政拨款支出，故财政拨款支出减少。</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pStyle w:val="5"/>
        <w:keepNext w:val="0"/>
        <w:keepLines w:val="0"/>
        <w:widowControl/>
        <w:suppressLineNumbers w:val="0"/>
        <w:spacing w:before="0" w:beforeAutospacing="0" w:after="0" w:afterAutospacing="0" w:line="585" w:lineRule="atLeast"/>
        <w:ind w:left="0" w:right="0" w:firstLine="645"/>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50.28</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1533.24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36.06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hAnsi="宋体" w:eastAsia="仿宋_GB2312" w:cs="仿宋_GB2312"/>
          <w:color w:val="000000"/>
          <w:sz w:val="31"/>
          <w:szCs w:val="31"/>
          <w:shd w:val="clear" w:fill="FFFFFF"/>
        </w:rPr>
        <w:t>减少原因</w:t>
      </w:r>
      <w:r>
        <w:rPr>
          <w:rFonts w:hint="eastAsia" w:ascii="仿宋_GB2312" w:eastAsia="仿宋_GB2312" w:cs="仿宋_GB2312"/>
          <w:color w:val="000000"/>
          <w:sz w:val="31"/>
          <w:szCs w:val="31"/>
          <w:shd w:val="clear" w:fill="FFFFFF"/>
          <w:lang w:eastAsia="zh-CN"/>
        </w:rPr>
        <w:t>为</w:t>
      </w:r>
      <w:r>
        <w:rPr>
          <w:rFonts w:hint="eastAsia" w:ascii="仿宋_GB2312" w:hAnsi="宋体" w:eastAsia="仿宋_GB2312" w:cs="仿宋_GB2312"/>
          <w:color w:val="000000"/>
          <w:sz w:val="31"/>
          <w:szCs w:val="31"/>
          <w:shd w:val="clear" w:fill="FFFFFF"/>
        </w:rPr>
        <w:t>：上年度结转的发改资金、统筹诉讼补助经费、政法转移支付经费在本年度共支出了1897.87万元，未包含在财政拨款支出，故财政拨款支出减少。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万元，主要用于以下方面：</w:t>
      </w:r>
      <w:r>
        <w:rPr>
          <w:rFonts w:hint="eastAsia" w:ascii="仿宋_GB2312" w:eastAsia="仿宋_GB2312" w:cs="仿宋_GB2312"/>
          <w:bCs/>
          <w:kern w:val="0"/>
          <w:sz w:val="32"/>
          <w:szCs w:val="32"/>
          <w:lang w:eastAsia="zh-CN"/>
        </w:rPr>
        <w:t>公共安全（类）支出</w:t>
      </w:r>
      <w:r>
        <w:rPr>
          <w:rFonts w:hint="eastAsia" w:ascii="仿宋_GB2312" w:eastAsia="仿宋_GB2312" w:cs="仿宋_GB2312"/>
          <w:bCs/>
          <w:kern w:val="0"/>
          <w:sz w:val="32"/>
          <w:szCs w:val="32"/>
          <w:lang w:val="en-US" w:eastAsia="zh-CN"/>
        </w:rPr>
        <w:t>2267.48万元，占83.39%；</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226.34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125.08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4.60</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100.21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3.69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2719.11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val="en-US" w:eastAsia="zh-CN"/>
        </w:rPr>
        <w:t>2020年为第一年统管，市级财政未把本院预算经费列入年初预算指标中。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（款）行政运行（项）。年初预算为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1148.49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（款）一般行政管理事务（项）。年初预算为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案件审判</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448.83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案件执行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hint="eastAsia" w:ascii="仿宋_GB2312" w:hAnsi="仿宋" w:eastAsia="仿宋_GB2312"/>
          <w:sz w:val="32"/>
          <w:szCs w:val="32"/>
          <w:lang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“两庭”建设</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68.64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hint="eastAsia" w:ascii="仿宋_GB2312" w:hAnsi="仿宋" w:eastAsia="仿宋_GB2312"/>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其他法院支出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584.30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hAnsi="仿宋" w:eastAsia="仿宋_GB2312"/>
          <w:sz w:val="32"/>
          <w:szCs w:val="32"/>
          <w:lang w:val="en-US" w:eastAsia="zh-CN"/>
        </w:rPr>
        <w:t>2020年为第一年统管，</w:t>
      </w:r>
      <w:r>
        <w:rPr>
          <w:rFonts w:hint="eastAsia" w:ascii="仿宋_GB2312" w:hAnsi="仿宋" w:eastAsia="仿宋_GB2312"/>
          <w:sz w:val="32"/>
          <w:szCs w:val="32"/>
          <w:lang w:eastAsia="zh-CN"/>
        </w:rPr>
        <w:t>市级财政未把本院预算经费列入年初预算指标中。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社会保障和就业支出（类）行政事业单位养老支出（款）机关事业单位基本养老保险缴费支出（项）。年初预算为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133.62</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%。决算数小于预算数的主要原因是：</w:t>
      </w:r>
      <w:r>
        <w:rPr>
          <w:rFonts w:hint="eastAsia" w:ascii="仿宋_GB2312" w:eastAsia="仿宋_GB2312" w:cs="仿宋_GB2312"/>
          <w:bCs/>
          <w:kern w:val="0"/>
          <w:sz w:val="32"/>
          <w:szCs w:val="32"/>
          <w:lang w:val="en-US" w:eastAsia="zh-CN"/>
        </w:rPr>
        <w:t>2020年为第一年统管，</w:t>
      </w:r>
      <w:r>
        <w:rPr>
          <w:rFonts w:hint="eastAsia" w:ascii="仿宋_GB2312" w:eastAsia="仿宋_GB2312" w:cs="仿宋_GB2312"/>
          <w:bCs/>
          <w:kern w:val="0"/>
          <w:sz w:val="32"/>
          <w:szCs w:val="32"/>
          <w:lang w:eastAsia="zh-CN"/>
        </w:rPr>
        <w:t>市级财政未把本院预算经费列入年初预算指标中</w:t>
      </w:r>
      <w:r>
        <w:rPr>
          <w:rFonts w:hint="eastAsia" w:ascii="仿宋_GB2312" w:hAnsi="仿宋" w:eastAsia="仿宋_GB2312"/>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社会保障和就业支出（类）行政事业单位养老支出（款）机关事业单位职业年金缴费支出（项）。年初预算为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66.81</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%。决算数小于预算数的主要原因是：</w:t>
      </w:r>
      <w:r>
        <w:rPr>
          <w:rFonts w:hint="eastAsia" w:ascii="仿宋_GB2312" w:eastAsia="仿宋_GB2312" w:cs="仿宋_GB2312"/>
          <w:bCs/>
          <w:kern w:val="0"/>
          <w:sz w:val="32"/>
          <w:szCs w:val="32"/>
          <w:lang w:val="en-US" w:eastAsia="zh-CN"/>
        </w:rPr>
        <w:t>2020年为第一年统管，</w:t>
      </w:r>
      <w:r>
        <w:rPr>
          <w:rFonts w:hint="eastAsia" w:ascii="仿宋_GB2312" w:eastAsia="仿宋_GB2312" w:cs="仿宋_GB2312"/>
          <w:bCs/>
          <w:kern w:val="0"/>
          <w:sz w:val="32"/>
          <w:szCs w:val="32"/>
          <w:lang w:eastAsia="zh-CN"/>
        </w:rPr>
        <w:t>市级财政未把本院预算经费列入年初预算指标中</w:t>
      </w:r>
      <w:r>
        <w:rPr>
          <w:rFonts w:hint="eastAsia" w:ascii="仿宋_GB2312" w:hAnsi="仿宋" w:eastAsia="仿宋_GB2312"/>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hAnsi="仿宋" w:eastAsia="仿宋_GB2312"/>
          <w:sz w:val="32"/>
          <w:szCs w:val="32"/>
          <w:lang w:eastAsia="zh-CN"/>
        </w:rPr>
        <w:t xml:space="preserve"> </w:t>
      </w:r>
      <w:r>
        <w:rPr>
          <w:rFonts w:hint="eastAsia" w:ascii="仿宋_GB2312" w:hAnsi="仿宋" w:eastAsia="仿宋_GB2312"/>
          <w:sz w:val="32"/>
          <w:szCs w:val="32"/>
          <w:lang w:val="en-US" w:eastAsia="zh-CN"/>
        </w:rPr>
        <w:t>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卫生健康支出（类）行政事业单位医疗（款）行政单位医疗（项）。年初预算为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62.63</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%。决算数小于预算数的主要原因是：</w:t>
      </w:r>
      <w:r>
        <w:rPr>
          <w:rFonts w:hint="eastAsia" w:ascii="仿宋_GB2312" w:eastAsia="仿宋_GB2312" w:cs="仿宋_GB2312"/>
          <w:bCs/>
          <w:kern w:val="0"/>
          <w:sz w:val="32"/>
          <w:szCs w:val="32"/>
          <w:lang w:val="en-US" w:eastAsia="zh-CN"/>
        </w:rPr>
        <w:t>2020年为第一年统管，</w:t>
      </w:r>
      <w:r>
        <w:rPr>
          <w:rFonts w:hint="eastAsia" w:ascii="仿宋_GB2312" w:eastAsia="仿宋_GB2312" w:cs="仿宋_GB2312"/>
          <w:bCs/>
          <w:kern w:val="0"/>
          <w:sz w:val="32"/>
          <w:szCs w:val="32"/>
          <w:lang w:eastAsia="zh-CN"/>
        </w:rPr>
        <w:t>市级财政未把本院预算经费列入年初预算指标中</w:t>
      </w:r>
      <w:r>
        <w:rPr>
          <w:rFonts w:hint="eastAsia" w:ascii="仿宋_GB2312" w:hAnsi="仿宋" w:eastAsia="仿宋_GB2312"/>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hAnsi="仿宋" w:eastAsia="仿宋_GB2312"/>
          <w:sz w:val="32"/>
          <w:szCs w:val="32"/>
          <w:lang w:eastAsia="zh-CN"/>
        </w:rPr>
        <w:t xml:space="preserve"> </w:t>
      </w:r>
      <w:r>
        <w:rPr>
          <w:rFonts w:hint="eastAsia" w:ascii="仿宋_GB2312" w:hAnsi="仿宋" w:eastAsia="仿宋_GB2312"/>
          <w:sz w:val="32"/>
          <w:szCs w:val="32"/>
          <w:lang w:val="en-US" w:eastAsia="zh-CN"/>
        </w:rPr>
        <w:t>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卫生健康支出（类）行政事业单位医疗（款）公务员医疗补助（项）。年初预算为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62.44</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%。决算数小于预算数的主要原因是：</w:t>
      </w:r>
      <w:r>
        <w:rPr>
          <w:rFonts w:hint="eastAsia" w:ascii="仿宋_GB2312" w:eastAsia="仿宋_GB2312" w:cs="仿宋_GB2312"/>
          <w:bCs/>
          <w:kern w:val="0"/>
          <w:sz w:val="32"/>
          <w:szCs w:val="32"/>
          <w:lang w:val="en-US" w:eastAsia="zh-CN"/>
        </w:rPr>
        <w:t>2020年为第一年统管，</w:t>
      </w:r>
      <w:r>
        <w:rPr>
          <w:rFonts w:hint="eastAsia" w:ascii="仿宋_GB2312" w:eastAsia="仿宋_GB2312" w:cs="仿宋_GB2312"/>
          <w:bCs/>
          <w:kern w:val="0"/>
          <w:sz w:val="32"/>
          <w:szCs w:val="32"/>
          <w:lang w:eastAsia="zh-CN"/>
        </w:rPr>
        <w:t>市级财政未把本院预算经费列入年初预算指标中</w:t>
      </w:r>
      <w:r>
        <w:rPr>
          <w:rFonts w:hint="eastAsia" w:ascii="仿宋_GB2312" w:hAnsi="仿宋" w:eastAsia="仿宋_GB2312"/>
          <w:sz w:val="32"/>
          <w:szCs w:val="32"/>
          <w:lang w:eastAsia="zh-CN"/>
        </w:rPr>
        <w:t>。</w:t>
      </w:r>
    </w:p>
    <w:p>
      <w:pPr>
        <w:autoSpaceDE w:val="0"/>
        <w:autoSpaceDN w:val="0"/>
        <w:adjustRightInd w:val="0"/>
        <w:spacing w:line="58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住房保障支出（类）住房改革支出（款）住房公积金（项）。年初预算为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100.21</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%。决算数小于预算数的主要原因是：</w:t>
      </w:r>
      <w:r>
        <w:rPr>
          <w:rFonts w:hint="eastAsia" w:ascii="仿宋_GB2312" w:eastAsia="仿宋_GB2312" w:cs="仿宋_GB2312"/>
          <w:bCs/>
          <w:kern w:val="0"/>
          <w:sz w:val="32"/>
          <w:szCs w:val="32"/>
          <w:lang w:val="en-US" w:eastAsia="zh-CN"/>
        </w:rPr>
        <w:t>2020年为第一年统管，</w:t>
      </w:r>
      <w:r>
        <w:rPr>
          <w:rFonts w:hint="eastAsia" w:ascii="仿宋_GB2312" w:eastAsia="仿宋_GB2312" w:cs="仿宋_GB2312"/>
          <w:bCs/>
          <w:kern w:val="0"/>
          <w:sz w:val="32"/>
          <w:szCs w:val="32"/>
          <w:lang w:eastAsia="zh-CN"/>
        </w:rPr>
        <w:t>市级财政未把本院预算经费列入年初预算指标中</w:t>
      </w:r>
      <w:r>
        <w:rPr>
          <w:rFonts w:hint="eastAsia" w:ascii="仿宋_GB2312" w:hAnsi="仿宋" w:eastAsia="仿宋_GB2312"/>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六、2</w:t>
      </w:r>
      <w:r>
        <w:rPr>
          <w:rFonts w:hint="eastAsia" w:ascii="仿宋_GB2312" w:eastAsia="仿宋_GB2312" w:cs="仿宋_GB2312"/>
          <w:b/>
          <w:kern w:val="0"/>
          <w:sz w:val="32"/>
          <w:szCs w:val="32"/>
        </w:rPr>
        <w:t>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1600.12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1253.67</w:t>
      </w:r>
      <w:r>
        <w:rPr>
          <w:rFonts w:hint="eastAsia" w:ascii="仿宋_GB2312" w:eastAsia="仿宋_GB2312" w:cs="仿宋_GB2312"/>
          <w:bCs/>
          <w:kern w:val="0"/>
          <w:sz w:val="32"/>
          <w:szCs w:val="32"/>
        </w:rPr>
        <w:t>万元，主要包括：基本工资、津贴补贴、奖金、伙食补助费、绩效工资、机关事业单位基本养老保险缴费、职业年金缴费、</w:t>
      </w:r>
      <w:r>
        <w:rPr>
          <w:rFonts w:hint="eastAsia" w:ascii="仿宋_GB2312" w:eastAsia="仿宋_GB2312" w:cs="仿宋_GB2312"/>
          <w:bCs/>
          <w:kern w:val="0"/>
          <w:sz w:val="32"/>
          <w:szCs w:val="32"/>
          <w:lang w:eastAsia="zh-CN"/>
        </w:rPr>
        <w:t>职工基本医疗保险缴费、公务员医疗补助缴费、</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eastAsia="zh-CN"/>
        </w:rPr>
        <w:t>住房公积金、医疗费、</w:t>
      </w:r>
      <w:r>
        <w:rPr>
          <w:rFonts w:hint="eastAsia" w:ascii="仿宋_GB2312" w:eastAsia="仿宋_GB2312" w:cs="仿宋_GB2312"/>
          <w:bCs/>
          <w:kern w:val="0"/>
          <w:sz w:val="32"/>
          <w:szCs w:val="32"/>
        </w:rPr>
        <w:t>其他工资福利支出、离休费、退休费、抚恤金、生活补助、医疗费、奖励金</w:t>
      </w:r>
      <w:r>
        <w:rPr>
          <w:rFonts w:hint="eastAsia" w:ascii="仿宋_GB2312" w:eastAsia="仿宋_GB2312" w:cs="仿宋_GB2312"/>
          <w:bCs/>
          <w:kern w:val="0"/>
          <w:sz w:val="32"/>
          <w:szCs w:val="32"/>
          <w:lang w:eastAsia="zh-CN"/>
        </w:rPr>
        <w:t>、其他对个人和家庭的补助。</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346.45</w:t>
      </w:r>
      <w:r>
        <w:rPr>
          <w:rFonts w:hint="eastAsia" w:ascii="仿宋_GB2312" w:eastAsia="仿宋_GB2312" w:cs="仿宋_GB2312"/>
          <w:bCs/>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30.37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30.36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99.97</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26.00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4.36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99.77</w:t>
      </w:r>
      <w:r>
        <w:rPr>
          <w:rFonts w:hint="eastAsia" w:ascii="仿宋_GB2312" w:eastAsia="仿宋_GB2312" w:cs="仿宋_GB2312"/>
          <w:bCs/>
          <w:kern w:val="0"/>
          <w:sz w:val="32"/>
          <w:szCs w:val="32"/>
        </w:rPr>
        <w:t>%。2020年度“三公”经费支出决算数</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rPr>
        <w:t>预算数</w:t>
      </w:r>
      <w:r>
        <w:rPr>
          <w:rFonts w:hint="eastAsia" w:ascii="仿宋_GB2312" w:eastAsia="仿宋_GB2312" w:cs="仿宋_GB2312"/>
          <w:bCs/>
          <w:kern w:val="0"/>
          <w:sz w:val="32"/>
          <w:szCs w:val="32"/>
          <w:lang w:eastAsia="zh-CN"/>
        </w:rPr>
        <w:t>基本持平。</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78.27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72.05</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80.99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75.70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2.72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165.85</w:t>
      </w:r>
      <w:r>
        <w:rPr>
          <w:rFonts w:hint="eastAsia" w:ascii="仿宋_GB2312" w:eastAsia="仿宋_GB2312" w:cs="仿宋_GB2312"/>
          <w:bCs/>
          <w:kern w:val="0"/>
          <w:sz w:val="32"/>
          <w:szCs w:val="32"/>
        </w:rPr>
        <w:t>%。</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：本年度进一步加强公务用车规范管理，公务用车维修费和油费支出减少，本年度未购置新车，故公务用车购置及运行费较去年减少；</w:t>
      </w:r>
      <w:r>
        <w:rPr>
          <w:rFonts w:hint="eastAsia" w:ascii="仿宋_GB2312" w:eastAsia="仿宋_GB2312" w:cs="仿宋_GB2312"/>
          <w:bCs/>
          <w:kern w:val="0"/>
          <w:sz w:val="32"/>
          <w:szCs w:val="32"/>
          <w:lang w:val="en-US" w:eastAsia="zh-CN"/>
        </w:rPr>
        <w:t>本年度</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2020年两级法院统管后，接待上级领导调研、其他法院到我院学习交流次数增加，故公务接待费用较2019年决算数增加</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“三公”经费财政拨款支出决算具体情况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26.00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85.64</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4.36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14.36</w:t>
      </w:r>
      <w:r>
        <w:rPr>
          <w:rFonts w:hint="eastAsia" w:ascii="仿宋_GB2312" w:eastAsia="仿宋_GB2312" w:cs="仿宋_GB2312"/>
          <w:bCs/>
          <w:kern w:val="0"/>
          <w:sz w:val="32"/>
          <w:szCs w:val="32"/>
        </w:rPr>
        <w:t>%。具体情况如下：</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26.00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26.00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公务用车运行费</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4.36</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4.36</w:t>
      </w:r>
      <w:r>
        <w:rPr>
          <w:rFonts w:hint="eastAsia" w:ascii="仿宋_GB2312" w:eastAsia="仿宋_GB2312" w:cs="仿宋_GB2312"/>
          <w:bCs/>
          <w:kern w:val="0"/>
          <w:sz w:val="32"/>
          <w:szCs w:val="32"/>
        </w:rPr>
        <w:t>万元。主要用于接待上级领导调研</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其他法院到我院学习交流。2020年共接待国内来访团组</w:t>
      </w:r>
      <w:r>
        <w:rPr>
          <w:rFonts w:hint="eastAsia" w:ascii="仿宋_GB2312" w:eastAsia="仿宋_GB2312" w:cs="仿宋_GB2312"/>
          <w:bCs/>
          <w:kern w:val="0"/>
          <w:sz w:val="32"/>
          <w:szCs w:val="32"/>
          <w:lang w:val="en-US" w:eastAsia="zh-CN"/>
        </w:rPr>
        <w:t>180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482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Cs/>
          <w:kern w:val="0"/>
          <w:sz w:val="32"/>
          <w:szCs w:val="32"/>
        </w:rPr>
      </w:pPr>
      <w:r>
        <w:rPr>
          <w:rFonts w:hint="eastAsia" w:ascii="仿宋_GB2312" w:eastAsia="仿宋_GB2312" w:cs="仿宋_GB2312"/>
          <w:b/>
          <w:bCs w:val="0"/>
          <w:kern w:val="0"/>
          <w:sz w:val="32"/>
          <w:szCs w:val="32"/>
        </w:rPr>
        <w:t>八、202</w:t>
      </w:r>
      <w:r>
        <w:rPr>
          <w:rFonts w:hint="eastAsia" w:ascii="仿宋_GB2312" w:eastAsia="仿宋_GB2312" w:cs="仿宋_GB2312"/>
          <w:b/>
          <w:kern w:val="0"/>
          <w:sz w:val="32"/>
          <w:szCs w:val="32"/>
        </w:rPr>
        <w:t>0年度政府性基金预算财政拨款收入支出决算情况说明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0</w:t>
      </w:r>
      <w:r>
        <w:rPr>
          <w:rFonts w:hint="eastAsia" w:ascii="仿宋_GB2312" w:hAnsi="华文仿宋" w:eastAsia="仿宋_GB2312" w:cs="Times New Roman"/>
          <w:kern w:val="2"/>
          <w:sz w:val="32"/>
          <w:szCs w:val="32"/>
        </w:rPr>
        <w:t>年</w:t>
      </w:r>
      <w:r>
        <w:rPr>
          <w:rFonts w:hint="eastAsia" w:ascii="仿宋_GB2312" w:hAnsi="华文仿宋" w:eastAsia="仿宋_GB2312" w:cs="Times New Roman"/>
          <w:kern w:val="2"/>
          <w:sz w:val="32"/>
          <w:szCs w:val="32"/>
          <w:lang w:eastAsia="zh-CN"/>
        </w:rPr>
        <w:t>本</w:t>
      </w:r>
      <w:r>
        <w:rPr>
          <w:rFonts w:hint="eastAsia" w:ascii="仿宋_GB2312" w:hAnsi="华文仿宋" w:eastAsia="仿宋_GB2312" w:cs="Times New Roman"/>
          <w:kern w:val="2"/>
          <w:sz w:val="32"/>
          <w:szCs w:val="32"/>
        </w:rPr>
        <w:t>单位</w:t>
      </w:r>
      <w:r>
        <w:rPr>
          <w:rFonts w:hint="eastAsia" w:ascii="仿宋_GB2312" w:hAnsi="华文仿宋" w:eastAsia="仿宋_GB2312" w:cs="Times New Roman"/>
          <w:kern w:val="2"/>
          <w:sz w:val="32"/>
          <w:szCs w:val="32"/>
          <w:lang w:eastAsia="zh-CN"/>
        </w:rPr>
        <w:t>无</w:t>
      </w:r>
      <w:r>
        <w:rPr>
          <w:rFonts w:hint="eastAsia" w:ascii="仿宋_GB2312" w:hAnsi="华文仿宋" w:eastAsia="仿宋_GB2312"/>
          <w:bCs/>
          <w:color w:val="000000"/>
          <w:sz w:val="32"/>
          <w:szCs w:val="32"/>
        </w:rPr>
        <w:t>政府性基金预算支出</w:t>
      </w:r>
      <w:r>
        <w:rPr>
          <w:rFonts w:hint="eastAsia" w:ascii="仿宋_GB2312" w:hAnsi="华文仿宋" w:eastAsia="仿宋_GB2312"/>
          <w:bCs/>
          <w:color w:val="000000"/>
          <w:sz w:val="32"/>
          <w:szCs w:val="32"/>
          <w:lang w:val="en-US" w:eastAsia="zh-CN"/>
        </w:rPr>
        <w:t>安排</w:t>
      </w:r>
      <w:r>
        <w:rPr>
          <w:rFonts w:hint="eastAsia" w:ascii="仿宋_GB2312" w:hAnsi="华文仿宋" w:eastAsia="仿宋_GB2312" w:cs="Times New Roman"/>
          <w:kern w:val="2"/>
          <w:sz w:val="32"/>
          <w:szCs w:val="32"/>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0</w:t>
      </w:r>
      <w:r>
        <w:rPr>
          <w:rFonts w:hint="eastAsia" w:ascii="仿宋_GB2312" w:hAnsi="华文仿宋" w:eastAsia="仿宋_GB2312" w:cs="Times New Roman"/>
          <w:kern w:val="2"/>
          <w:sz w:val="32"/>
          <w:szCs w:val="32"/>
        </w:rPr>
        <w:t>年</w:t>
      </w:r>
      <w:r>
        <w:rPr>
          <w:rFonts w:hint="eastAsia" w:ascii="仿宋_GB2312" w:hAnsi="华文仿宋" w:eastAsia="仿宋_GB2312" w:cs="Times New Roman"/>
          <w:kern w:val="2"/>
          <w:sz w:val="32"/>
          <w:szCs w:val="32"/>
          <w:lang w:eastAsia="zh-CN"/>
        </w:rPr>
        <w:t>本</w:t>
      </w:r>
      <w:r>
        <w:rPr>
          <w:rFonts w:hint="eastAsia" w:ascii="仿宋_GB2312" w:hAnsi="华文仿宋" w:eastAsia="仿宋_GB2312" w:cs="Times New Roman"/>
          <w:kern w:val="2"/>
          <w:sz w:val="32"/>
          <w:szCs w:val="32"/>
        </w:rPr>
        <w:t>单位</w:t>
      </w:r>
      <w:r>
        <w:rPr>
          <w:rFonts w:hint="eastAsia" w:ascii="仿宋_GB2312" w:hAnsi="华文仿宋" w:eastAsia="仿宋_GB2312" w:cs="Times New Roman"/>
          <w:kern w:val="2"/>
          <w:sz w:val="32"/>
          <w:szCs w:val="32"/>
          <w:lang w:eastAsia="zh-CN"/>
        </w:rPr>
        <w:t>无</w:t>
      </w:r>
      <w:r>
        <w:rPr>
          <w:rFonts w:hint="eastAsia" w:ascii="仿宋_GB2312" w:hAnsi="华文仿宋" w:eastAsia="仿宋_GB2312"/>
          <w:bCs/>
          <w:color w:val="000000"/>
          <w:sz w:val="32"/>
          <w:szCs w:val="32"/>
        </w:rPr>
        <w:t>国有资本经营预算支出</w:t>
      </w:r>
      <w:r>
        <w:rPr>
          <w:rFonts w:hint="eastAsia" w:ascii="仿宋_GB2312" w:hAnsi="华文仿宋" w:eastAsia="仿宋_GB2312"/>
          <w:bCs/>
          <w:color w:val="000000"/>
          <w:sz w:val="32"/>
          <w:szCs w:val="32"/>
          <w:lang w:eastAsia="zh-CN"/>
        </w:rPr>
        <w:t>安排</w:t>
      </w:r>
      <w:r>
        <w:rPr>
          <w:rFonts w:hint="eastAsia" w:ascii="仿宋_GB2312" w:hAnsi="华文仿宋" w:eastAsia="仿宋_GB2312" w:cs="Times New Roman"/>
          <w:kern w:val="2"/>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374</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聘用人员支出</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该项目未能完成年初设定目标，原因是本院为了激励聘用人员的工作积极性，制定了年度绩效考核奖，预留了一部分资金到下一年度统一发放，所以该项目未能在本年度完全支出</w:t>
      </w: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附后</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w:t>
      </w:r>
      <w:r>
        <w:rPr>
          <w:rFonts w:hint="eastAsia" w:ascii="仿宋_GB2312" w:eastAsia="仿宋_GB2312" w:cs="仿宋_GB2312"/>
          <w:bCs/>
          <w:kern w:val="0"/>
          <w:sz w:val="32"/>
          <w:szCs w:val="32"/>
          <w:lang w:val="en-US" w:eastAsia="zh-CN"/>
        </w:rPr>
        <w:t>346.45</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31.91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10.14</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：本年度案件数增加，故日常公用经费支出也随之增加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1009.23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290.68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718.55</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bCs/>
          <w:sz w:val="32"/>
          <w:szCs w:val="32"/>
          <w:highlight w:val="none"/>
        </w:rPr>
        <w:t>。主要是：</w:t>
      </w:r>
      <w:r>
        <w:rPr>
          <w:rFonts w:hint="eastAsia" w:ascii="仿宋_GB2312" w:hAnsi="仿宋" w:eastAsia="仿宋_GB2312" w:cs="仿宋"/>
          <w:color w:val="auto"/>
          <w:spacing w:val="6"/>
          <w:sz w:val="32"/>
          <w:szCs w:val="32"/>
          <w:highlight w:val="none"/>
          <w:u w:val="none"/>
        </w:rPr>
        <w:t>基层法院由县区财政负担的二次创业绩效奖及配套的</w:t>
      </w:r>
      <w:r>
        <w:rPr>
          <w:rFonts w:hint="eastAsia" w:ascii="仿宋_GB2312" w:hAnsi="仿宋" w:eastAsia="仿宋_GB2312" w:cs="仿宋"/>
          <w:color w:val="auto"/>
          <w:spacing w:val="6"/>
          <w:sz w:val="32"/>
          <w:szCs w:val="32"/>
          <w:highlight w:val="none"/>
          <w:u w:val="none"/>
          <w:lang w:eastAsia="zh-CN"/>
        </w:rPr>
        <w:t>四</w:t>
      </w:r>
      <w:r>
        <w:rPr>
          <w:rFonts w:hint="eastAsia" w:ascii="仿宋_GB2312" w:hAnsi="仿宋" w:eastAsia="仿宋_GB2312" w:cs="仿宋"/>
          <w:color w:val="auto"/>
          <w:spacing w:val="6"/>
          <w:sz w:val="32"/>
          <w:szCs w:val="32"/>
          <w:highlight w:val="none"/>
          <w:u w:val="none"/>
        </w:rPr>
        <w:t>险二金、退休</w:t>
      </w:r>
      <w:r>
        <w:rPr>
          <w:rFonts w:hint="eastAsia" w:ascii="仿宋_GB2312" w:hAnsi="仿宋" w:eastAsia="仿宋_GB2312" w:cs="仿宋"/>
          <w:color w:val="auto"/>
          <w:spacing w:val="6"/>
          <w:sz w:val="32"/>
          <w:szCs w:val="32"/>
          <w:u w:val="none"/>
        </w:rPr>
        <w:t>人员生活补助，新审判楼工程款、抚恤金以及补发</w:t>
      </w:r>
      <w:r>
        <w:rPr>
          <w:rFonts w:ascii="仿宋_GB2312" w:hAnsi="仿宋" w:eastAsia="仿宋_GB2312" w:cs="仿宋"/>
          <w:color w:val="auto"/>
          <w:spacing w:val="6"/>
          <w:sz w:val="32"/>
          <w:szCs w:val="32"/>
          <w:u w:val="none"/>
        </w:rPr>
        <w:t>19年在职人员工资</w:t>
      </w:r>
      <w:r>
        <w:rPr>
          <w:rFonts w:hint="eastAsia" w:ascii="仿宋_GB2312" w:hAnsi="仿宋" w:eastAsia="仿宋_GB2312" w:cs="仿宋"/>
          <w:color w:val="auto"/>
          <w:sz w:val="32"/>
          <w:szCs w:val="32"/>
          <w:u w:val="none"/>
        </w:rPr>
        <w:t>。</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4"/>
        </w:numPr>
        <w:kinsoku/>
        <w:wordWrap/>
        <w:overflowPunct/>
        <w:topLinePunct w:val="0"/>
        <w:bidi w:val="0"/>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r>
        <w:rPr>
          <w:rFonts w:hint="eastAsia" w:ascii="仿宋_GB2312" w:eastAsia="仿宋_GB2312"/>
          <w:bCs/>
          <w:sz w:val="32"/>
          <w:szCs w:val="32"/>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80" w:lineRule="exact"/>
        <w:textAlignment w:val="auto"/>
        <w:rPr>
          <w:rFonts w:ascii="仿宋_GB2312" w:eastAsia="仿宋_GB2312"/>
          <w:bCs/>
          <w:color w:val="auto"/>
          <w:sz w:val="32"/>
          <w:szCs w:val="32"/>
        </w:rPr>
      </w:pPr>
    </w:p>
    <w:p>
      <w:pPr>
        <w:pStyle w:val="5"/>
        <w:keepNext w:val="0"/>
        <w:keepLines w:val="0"/>
        <w:widowControl/>
        <w:suppressLineNumbers w:val="0"/>
        <w:spacing w:before="0" w:beforeAutospacing="0" w:after="0" w:afterAutospacing="0" w:line="30" w:lineRule="atLeast"/>
        <w:ind w:left="0" w:right="0"/>
        <w:rPr>
          <w:rFonts w:ascii="仿宋_GB2312" w:eastAsia="仿宋_GB2312" w:cs="仿宋_GB2312"/>
          <w:color w:val="auto"/>
          <w:kern w:val="0"/>
          <w:sz w:val="32"/>
          <w:szCs w:val="32"/>
        </w:rPr>
      </w:pPr>
      <w:r>
        <w:rPr>
          <w:rFonts w:hint="eastAsia" w:ascii="宋体" w:hAnsi="宋体" w:eastAsia="宋体" w:cs="宋体"/>
          <w:color w:val="auto"/>
          <w:sz w:val="18"/>
          <w:szCs w:val="18"/>
          <w:u w:val="none"/>
          <w:shd w:val="clear" w:fill="FFFFFF"/>
        </w:rPr>
        <w:fldChar w:fldCharType="begin"/>
      </w:r>
      <w:r>
        <w:instrText xml:space="preserve"> HYPERLINK "2020年融水苗族自治县人民法院决算公开/聘用人员绩效目标自评表.xlsx" </w:instrText>
      </w:r>
      <w:r>
        <w:rPr>
          <w:rFonts w:hint="eastAsia" w:ascii="宋体" w:hAnsi="宋体" w:eastAsia="宋体" w:cs="宋体"/>
          <w:color w:val="auto"/>
          <w:sz w:val="18"/>
          <w:szCs w:val="18"/>
          <w:u w:val="none"/>
          <w:shd w:val="clear" w:fill="FFFFFF"/>
        </w:rPr>
        <w:fldChar w:fldCharType="separate"/>
      </w:r>
      <w:r>
        <w:rPr>
          <w:rStyle w:val="11"/>
          <w:rFonts w:hint="eastAsia" w:ascii="宋体" w:hAnsi="宋体" w:eastAsia="宋体" w:cs="宋体"/>
          <w:color w:val="auto"/>
          <w:sz w:val="18"/>
          <w:szCs w:val="18"/>
          <w:u w:val="single"/>
          <w:shd w:val="clear" w:fill="FFFFFF"/>
        </w:rPr>
        <w:t>详情见附表 点击此处下载</w:t>
      </w:r>
      <w:r>
        <w:rPr>
          <w:rFonts w:hint="eastAsia" w:ascii="宋体" w:hAnsi="宋体" w:eastAsia="宋体" w:cs="宋体"/>
          <w:color w:val="auto"/>
          <w:sz w:val="18"/>
          <w:szCs w:val="18"/>
          <w:u w:val="none"/>
          <w:shd w:val="clear" w:fill="FFFFFF"/>
        </w:rPr>
        <w:fldChar w:fldCharType="end"/>
      </w:r>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GenYoMin TW TTF Light"/>
    <w:panose1 w:val="02020309000000000000"/>
    <w:charset w:val="88"/>
    <w:family w:val="modern"/>
    <w:pitch w:val="default"/>
    <w:sig w:usb0="00000000" w:usb1="00000000" w:usb2="00000016" w:usb3="00000000" w:csb0="00100001" w:csb1="00000000"/>
  </w:font>
  <w:font w:name="GenYoMin TW TTF Light">
    <w:panose1 w:val="02020300000000000000"/>
    <w:charset w:val="88"/>
    <w:family w:val="auto"/>
    <w:pitch w:val="default"/>
    <w:sig w:usb0="20000083" w:usb1="2ACF3C1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6303AB4B"/>
    <w:multiLevelType w:val="singleLevel"/>
    <w:tmpl w:val="6303AB4B"/>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0D66F0"/>
    <w:rsid w:val="006C1367"/>
    <w:rsid w:val="00715385"/>
    <w:rsid w:val="00F66C5B"/>
    <w:rsid w:val="06CA6BFD"/>
    <w:rsid w:val="085056AB"/>
    <w:rsid w:val="08733EA4"/>
    <w:rsid w:val="09026AA1"/>
    <w:rsid w:val="098D0DC0"/>
    <w:rsid w:val="0A1B72F9"/>
    <w:rsid w:val="0B747636"/>
    <w:rsid w:val="0C47494C"/>
    <w:rsid w:val="0C4B62A6"/>
    <w:rsid w:val="0D1A3FA7"/>
    <w:rsid w:val="0E074DDF"/>
    <w:rsid w:val="0E1503E7"/>
    <w:rsid w:val="0E4C6E9F"/>
    <w:rsid w:val="0EB67E60"/>
    <w:rsid w:val="10F24705"/>
    <w:rsid w:val="124204B5"/>
    <w:rsid w:val="12A367ED"/>
    <w:rsid w:val="13C4173A"/>
    <w:rsid w:val="177F3615"/>
    <w:rsid w:val="1784482A"/>
    <w:rsid w:val="182962AB"/>
    <w:rsid w:val="189E66FD"/>
    <w:rsid w:val="19D073EB"/>
    <w:rsid w:val="1CC31F67"/>
    <w:rsid w:val="1D087959"/>
    <w:rsid w:val="1D5D1810"/>
    <w:rsid w:val="1E1E2CD7"/>
    <w:rsid w:val="20DF30E6"/>
    <w:rsid w:val="21332F0A"/>
    <w:rsid w:val="21FF18D6"/>
    <w:rsid w:val="242063F6"/>
    <w:rsid w:val="24D337DC"/>
    <w:rsid w:val="259C1DD0"/>
    <w:rsid w:val="26460DBA"/>
    <w:rsid w:val="28573A0B"/>
    <w:rsid w:val="29910CF5"/>
    <w:rsid w:val="2B6F74EB"/>
    <w:rsid w:val="2C043822"/>
    <w:rsid w:val="2C4219FE"/>
    <w:rsid w:val="2C832C7D"/>
    <w:rsid w:val="2C864CBE"/>
    <w:rsid w:val="2CF00ECD"/>
    <w:rsid w:val="2D83533C"/>
    <w:rsid w:val="31986A4D"/>
    <w:rsid w:val="33E825C2"/>
    <w:rsid w:val="34020F86"/>
    <w:rsid w:val="34143C54"/>
    <w:rsid w:val="35EA7290"/>
    <w:rsid w:val="38D00A89"/>
    <w:rsid w:val="39A63F06"/>
    <w:rsid w:val="3B6D3715"/>
    <w:rsid w:val="3C29578E"/>
    <w:rsid w:val="3D186515"/>
    <w:rsid w:val="3ED1439F"/>
    <w:rsid w:val="41FA48BA"/>
    <w:rsid w:val="43F155D5"/>
    <w:rsid w:val="44687B7B"/>
    <w:rsid w:val="452D591E"/>
    <w:rsid w:val="4771545F"/>
    <w:rsid w:val="48374EDC"/>
    <w:rsid w:val="48AC5A0A"/>
    <w:rsid w:val="48B210C8"/>
    <w:rsid w:val="48F165A4"/>
    <w:rsid w:val="497C6126"/>
    <w:rsid w:val="498E320D"/>
    <w:rsid w:val="4AC07465"/>
    <w:rsid w:val="4B3803C9"/>
    <w:rsid w:val="4C256E3D"/>
    <w:rsid w:val="4C6876BB"/>
    <w:rsid w:val="4CB52F0F"/>
    <w:rsid w:val="4E2A208E"/>
    <w:rsid w:val="4E412DEA"/>
    <w:rsid w:val="4E53087E"/>
    <w:rsid w:val="503A778D"/>
    <w:rsid w:val="52316A37"/>
    <w:rsid w:val="52C905B4"/>
    <w:rsid w:val="532F1F9A"/>
    <w:rsid w:val="535A5C69"/>
    <w:rsid w:val="54823D99"/>
    <w:rsid w:val="55C951EF"/>
    <w:rsid w:val="57D015D1"/>
    <w:rsid w:val="58160494"/>
    <w:rsid w:val="584A0D7E"/>
    <w:rsid w:val="599757F5"/>
    <w:rsid w:val="5CF02B5A"/>
    <w:rsid w:val="5D8E12C0"/>
    <w:rsid w:val="5E995A3E"/>
    <w:rsid w:val="604F3DA9"/>
    <w:rsid w:val="610146EC"/>
    <w:rsid w:val="61595CFD"/>
    <w:rsid w:val="61D07906"/>
    <w:rsid w:val="62163194"/>
    <w:rsid w:val="621C490C"/>
    <w:rsid w:val="624D024D"/>
    <w:rsid w:val="650E086A"/>
    <w:rsid w:val="65FF5BCC"/>
    <w:rsid w:val="67754B03"/>
    <w:rsid w:val="68400E46"/>
    <w:rsid w:val="68F64147"/>
    <w:rsid w:val="6B114787"/>
    <w:rsid w:val="6B94725D"/>
    <w:rsid w:val="6BAA0708"/>
    <w:rsid w:val="6ECF3E5C"/>
    <w:rsid w:val="6EE0707A"/>
    <w:rsid w:val="6EF01271"/>
    <w:rsid w:val="6FE6502F"/>
    <w:rsid w:val="706249A9"/>
    <w:rsid w:val="71996AF2"/>
    <w:rsid w:val="723A0B44"/>
    <w:rsid w:val="72504F22"/>
    <w:rsid w:val="78285107"/>
    <w:rsid w:val="787943FB"/>
    <w:rsid w:val="7A6A0017"/>
    <w:rsid w:val="7B4E394E"/>
    <w:rsid w:val="7B92755F"/>
    <w:rsid w:val="7D41748A"/>
    <w:rsid w:val="7E002EC9"/>
    <w:rsid w:val="7F56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uiPriority w:val="0"/>
    <w:rPr>
      <w:color w:val="000000"/>
      <w:u w:val="none"/>
    </w:rPr>
  </w:style>
  <w:style w:type="character" w:styleId="11">
    <w:name w:val="Hyperlink"/>
    <w:basedOn w:val="7"/>
    <w:qFormat/>
    <w:uiPriority w:val="0"/>
    <w:rPr>
      <w:color w:val="000000"/>
      <w:u w:val="none"/>
    </w:rPr>
  </w:style>
  <w:style w:type="character" w:customStyle="1" w:styleId="12">
    <w:name w:val="批注框文本 Char"/>
    <w:basedOn w:val="7"/>
    <w:link w:val="2"/>
    <w:qFormat/>
    <w:uiPriority w:val="0"/>
    <w:rPr>
      <w:kern w:val="2"/>
      <w:sz w:val="18"/>
      <w:szCs w:val="18"/>
    </w:rPr>
  </w:style>
  <w:style w:type="character" w:customStyle="1" w:styleId="13">
    <w:name w:val="font11"/>
    <w:basedOn w:val="7"/>
    <w:qFormat/>
    <w:uiPriority w:val="0"/>
    <w:rPr>
      <w:rFonts w:hint="eastAsia" w:ascii="宋体" w:hAnsi="宋体" w:eastAsia="宋体" w:cs="宋体"/>
      <w:color w:val="000000"/>
      <w:sz w:val="22"/>
      <w:szCs w:val="22"/>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paragraph" w:customStyle="1" w:styleId="15">
    <w:name w:val="正文1"/>
    <w:basedOn w:val="16"/>
    <w:qFormat/>
    <w:uiPriority w:val="3"/>
    <w:pPr>
      <w:widowControl/>
      <w:jc w:val="both"/>
    </w:pPr>
    <w:rPr>
      <w:rFonts w:ascii="Times New Roman" w:hAnsi="Times New Roman" w:eastAsia="Times New Roman"/>
      <w:sz w:val="21"/>
    </w:rPr>
  </w:style>
  <w:style w:type="paragraph" w:customStyle="1" w:styleId="16">
    <w:name w:val="[Normal]"/>
    <w:qFormat/>
    <w:uiPriority w:val="6"/>
    <w:rPr>
      <w:rFonts w:ascii="宋体" w:hAnsi="宋体" w:eastAsia="宋体" w:cs="Times New Roman"/>
      <w:sz w:val="24"/>
      <w:lang w:val="zh-CN" w:eastAsia="zh-CN" w:bidi="ar-SA"/>
    </w:rPr>
  </w:style>
  <w:style w:type="character" w:customStyle="1" w:styleId="17">
    <w:name w:val="left"/>
    <w:basedOn w:val="7"/>
    <w:uiPriority w:val="0"/>
  </w:style>
  <w:style w:type="character" w:customStyle="1" w:styleId="18">
    <w:name w:val="right2"/>
    <w:basedOn w:val="7"/>
    <w:uiPriority w:val="0"/>
  </w:style>
  <w:style w:type="character" w:customStyle="1" w:styleId="19">
    <w:name w:val="right3"/>
    <w:basedOn w:val="7"/>
    <w:uiPriority w:val="0"/>
  </w:style>
  <w:style w:type="character" w:customStyle="1" w:styleId="20">
    <w:name w:val="right4"/>
    <w:basedOn w:val="7"/>
    <w:qFormat/>
    <w:uiPriority w:val="0"/>
  </w:style>
  <w:style w:type="character" w:customStyle="1" w:styleId="21">
    <w:name w:val="right5"/>
    <w:basedOn w:val="7"/>
    <w:uiPriority w:val="0"/>
  </w:style>
  <w:style w:type="character" w:customStyle="1" w:styleId="22">
    <w:name w:val="size"/>
    <w:basedOn w:val="7"/>
    <w:uiPriority w:val="0"/>
  </w:style>
  <w:style w:type="character" w:customStyle="1" w:styleId="23">
    <w:name w:val="right"/>
    <w:basedOn w:val="7"/>
    <w:uiPriority w:val="0"/>
  </w:style>
  <w:style w:type="character" w:customStyle="1" w:styleId="24">
    <w:name w:val="right1"/>
    <w:basedOn w:val="7"/>
    <w:uiPriority w:val="0"/>
  </w:style>
  <w:style w:type="character" w:customStyle="1" w:styleId="25">
    <w:name w:val="left2"/>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9168</Words>
  <Characters>13215</Characters>
  <Lines>60</Lines>
  <Paragraphs>17</Paragraphs>
  <TotalTime>25</TotalTime>
  <ScaleCrop>false</ScaleCrop>
  <LinksUpToDate>false</LinksUpToDate>
  <CharactersWithSpaces>13552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2022-11-01T07:38:27Z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9130197EFA73405FB7020FC02A83C849</vt:lpwstr>
  </property>
</Properties>
</file>