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柳城县人民检察院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柳城县人民检察院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柳城县人民检察院</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柳城县人民检察院</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柳城县人民检察院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检察机关是法律监督机关，</w:t>
      </w:r>
      <w:r>
        <w:rPr>
          <w:rFonts w:hint="default" w:ascii="仿宋_GB2312" w:eastAsia="仿宋_GB2312"/>
          <w:sz w:val="32"/>
          <w:szCs w:val="32"/>
          <w:lang w:val="en-US" w:eastAsia="zh-CN"/>
        </w:rPr>
        <w:t>人民检察院依法对于危害国家安全案、危害公共安全案、侵犯公民人身权利民主权利案和其他重大犯罪案件，行使检察权；对于公安机关侦查的案件进行审查，决定是否逮捕、起诉或者不起诉；对于刑事案件提起公诉、支持公诉；对于公安机关、人民法院和监狱、看守所、劳动改造机关的活动是否合法，实行监督；受理来信、来访，控告、举报、申诉和犯罪嫌疑人的自首；勘验公安机关重大案件的现场，鉴定与案件有关的人身、尸体、痕迹、物品、会计资料等。</w:t>
      </w:r>
    </w:p>
    <w:p>
      <w:pPr>
        <w:ind w:firstLine="645"/>
        <w:rPr>
          <w:rFonts w:hint="eastAsia" w:ascii="仿宋_GB2312" w:eastAsia="仿宋_GB2312"/>
          <w:sz w:val="32"/>
          <w:szCs w:val="32"/>
          <w:lang w:eastAsia="zh-CN"/>
        </w:rPr>
      </w:pPr>
      <w:r>
        <w:rPr>
          <w:rFonts w:hint="default" w:ascii="仿宋_GB2312" w:eastAsia="仿宋_GB2312"/>
          <w:sz w:val="32"/>
          <w:szCs w:val="32"/>
          <w:lang w:val="en-US" w:eastAsia="zh-CN"/>
        </w:rPr>
        <w:t>我院主要工作目标是深入实践“强化法律监督，维护公平正义”，进一步落实“加大工作力度，提高执法水平和办案质量”，以业务建设为主线，以队伍建设为根本，以改革创新为动力，以执法保障建设为基础，全面加强自身建设，充分履行法律监督职责，为构建社会主义和谐社会营造平安稳定的治安环境。</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1665"/>
        <w:gridCol w:w="1200"/>
        <w:gridCol w:w="178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单位名称</w:t>
            </w:r>
          </w:p>
        </w:tc>
        <w:tc>
          <w:tcPr>
            <w:tcW w:w="1665" w:type="dxa"/>
          </w:tcPr>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单位性质</w:t>
            </w:r>
          </w:p>
        </w:tc>
        <w:tc>
          <w:tcPr>
            <w:tcW w:w="1200" w:type="dxa"/>
          </w:tcPr>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编制</w:t>
            </w:r>
          </w:p>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人数</w:t>
            </w:r>
          </w:p>
        </w:tc>
        <w:tc>
          <w:tcPr>
            <w:tcW w:w="1785" w:type="dxa"/>
          </w:tcPr>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实有</w:t>
            </w:r>
          </w:p>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在职人数</w:t>
            </w:r>
          </w:p>
        </w:tc>
        <w:tc>
          <w:tcPr>
            <w:tcW w:w="1589" w:type="dxa"/>
          </w:tcPr>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离休</w:t>
            </w:r>
          </w:p>
          <w:p>
            <w:pPr>
              <w:jc w:val="center"/>
              <w:rPr>
                <w:rFonts w:hint="eastAsia" w:ascii="仿宋_GB2312" w:eastAsia="仿宋_GB2312"/>
                <w:b/>
                <w:sz w:val="32"/>
                <w:szCs w:val="32"/>
                <w:vertAlign w:val="baseline"/>
                <w:lang w:eastAsia="zh-CN"/>
              </w:rPr>
            </w:pPr>
            <w:r>
              <w:rPr>
                <w:rFonts w:hint="eastAsia" w:ascii="仿宋_GB2312" w:eastAsia="仿宋_GB2312"/>
                <w:b/>
                <w:sz w:val="32"/>
                <w:szCs w:val="32"/>
                <w:vertAlign w:val="baseline"/>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7" w:type="dxa"/>
          </w:tcPr>
          <w:p>
            <w:pPr>
              <w:jc w:val="center"/>
              <w:rPr>
                <w:rFonts w:hint="eastAsia" w:ascii="仿宋_GB2312" w:eastAsia="仿宋_GB2312"/>
                <w:b w:val="0"/>
                <w:bCs/>
                <w:sz w:val="32"/>
                <w:szCs w:val="32"/>
                <w:vertAlign w:val="baseline"/>
                <w:lang w:eastAsia="zh-CN"/>
              </w:rPr>
            </w:pPr>
            <w:r>
              <w:rPr>
                <w:rFonts w:hint="eastAsia" w:ascii="仿宋_GB2312" w:eastAsia="仿宋_GB2312"/>
                <w:b w:val="0"/>
                <w:bCs/>
                <w:sz w:val="32"/>
                <w:szCs w:val="32"/>
                <w:vertAlign w:val="baseline"/>
                <w:lang w:eastAsia="zh-CN"/>
              </w:rPr>
              <w:t>柳城县人民检察院</w:t>
            </w:r>
          </w:p>
        </w:tc>
        <w:tc>
          <w:tcPr>
            <w:tcW w:w="1665" w:type="dxa"/>
          </w:tcPr>
          <w:p>
            <w:pPr>
              <w:jc w:val="center"/>
              <w:rPr>
                <w:rFonts w:hint="eastAsia" w:ascii="仿宋_GB2312" w:eastAsia="仿宋_GB2312"/>
                <w:b w:val="0"/>
                <w:bCs/>
                <w:sz w:val="32"/>
                <w:szCs w:val="32"/>
                <w:vertAlign w:val="baseline"/>
                <w:lang w:eastAsia="zh-CN"/>
              </w:rPr>
            </w:pPr>
            <w:r>
              <w:rPr>
                <w:rFonts w:hint="eastAsia" w:ascii="仿宋_GB2312" w:eastAsia="仿宋_GB2312"/>
                <w:b w:val="0"/>
                <w:bCs/>
                <w:sz w:val="32"/>
                <w:szCs w:val="32"/>
                <w:vertAlign w:val="baseline"/>
                <w:lang w:eastAsia="zh-CN"/>
              </w:rPr>
              <w:t>行政机关</w:t>
            </w:r>
          </w:p>
        </w:tc>
        <w:tc>
          <w:tcPr>
            <w:tcW w:w="1200" w:type="dxa"/>
          </w:tcPr>
          <w:p>
            <w:pPr>
              <w:jc w:val="center"/>
              <w:rPr>
                <w:rFonts w:hint="default" w:ascii="仿宋_GB2312" w:eastAsia="仿宋_GB2312"/>
                <w:b w:val="0"/>
                <w:bCs/>
                <w:sz w:val="32"/>
                <w:szCs w:val="32"/>
                <w:vertAlign w:val="baseline"/>
                <w:lang w:val="en-US" w:eastAsia="zh-CN"/>
              </w:rPr>
            </w:pPr>
            <w:r>
              <w:rPr>
                <w:rFonts w:hint="eastAsia" w:ascii="仿宋_GB2312" w:eastAsia="仿宋_GB2312"/>
                <w:b w:val="0"/>
                <w:bCs/>
                <w:sz w:val="32"/>
                <w:szCs w:val="32"/>
                <w:vertAlign w:val="baseline"/>
                <w:lang w:val="en-US" w:eastAsia="zh-CN"/>
              </w:rPr>
              <w:t>47</w:t>
            </w:r>
          </w:p>
        </w:tc>
        <w:tc>
          <w:tcPr>
            <w:tcW w:w="1785" w:type="dxa"/>
          </w:tcPr>
          <w:p>
            <w:pPr>
              <w:jc w:val="center"/>
              <w:rPr>
                <w:rFonts w:hint="default" w:ascii="仿宋_GB2312" w:eastAsia="仿宋_GB2312"/>
                <w:b w:val="0"/>
                <w:bCs/>
                <w:sz w:val="32"/>
                <w:szCs w:val="32"/>
                <w:vertAlign w:val="baseline"/>
                <w:lang w:val="en-US" w:eastAsia="zh-CN"/>
              </w:rPr>
            </w:pPr>
            <w:r>
              <w:rPr>
                <w:rFonts w:hint="eastAsia" w:ascii="仿宋_GB2312" w:eastAsia="仿宋_GB2312"/>
                <w:b w:val="0"/>
                <w:bCs/>
                <w:sz w:val="32"/>
                <w:szCs w:val="32"/>
                <w:vertAlign w:val="baseline"/>
                <w:lang w:val="en-US" w:eastAsia="zh-CN"/>
              </w:rPr>
              <w:t>47</w:t>
            </w:r>
          </w:p>
        </w:tc>
        <w:tc>
          <w:tcPr>
            <w:tcW w:w="1589" w:type="dxa"/>
          </w:tcPr>
          <w:p>
            <w:pPr>
              <w:jc w:val="center"/>
              <w:rPr>
                <w:rFonts w:hint="eastAsia" w:ascii="仿宋_GB2312" w:eastAsia="仿宋_GB2312"/>
                <w:b w:val="0"/>
                <w:bCs/>
                <w:sz w:val="32"/>
                <w:szCs w:val="32"/>
                <w:vertAlign w:val="baseline"/>
                <w:lang w:val="en-US" w:eastAsia="zh-CN"/>
              </w:rPr>
            </w:pPr>
            <w:r>
              <w:rPr>
                <w:rFonts w:hint="eastAsia" w:ascii="仿宋_GB2312" w:eastAsia="仿宋_GB2312"/>
                <w:b w:val="0"/>
                <w:bCs/>
                <w:sz w:val="32"/>
                <w:szCs w:val="32"/>
                <w:vertAlign w:val="baseline"/>
                <w:lang w:val="en-US" w:eastAsia="zh-CN"/>
              </w:rPr>
              <w:t>1</w:t>
            </w:r>
          </w:p>
        </w:tc>
      </w:tr>
    </w:tbl>
    <w:p>
      <w:pPr>
        <w:jc w:val="center"/>
        <w:rPr>
          <w:rFonts w:hint="eastAsia" w:ascii="仿宋_GB2312" w:eastAsia="仿宋_GB2312"/>
          <w:b/>
          <w:sz w:val="32"/>
          <w:szCs w:val="32"/>
        </w:rPr>
      </w:pPr>
    </w:p>
    <w:p>
      <w:pPr>
        <w:jc w:val="both"/>
        <w:rPr>
          <w:rFonts w:hint="eastAsia" w:ascii="仿宋_GB2312" w:eastAsia="仿宋_GB2312"/>
          <w:b/>
          <w:sz w:val="32"/>
          <w:szCs w:val="32"/>
        </w:rPr>
      </w:pPr>
    </w:p>
    <w:p>
      <w:pPr>
        <w:jc w:val="cente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柳城县人民检察院</w:t>
      </w:r>
      <w:r>
        <w:rPr>
          <w:rFonts w:hint="eastAsia" w:ascii="仿宋_GB2312" w:eastAsia="仿宋_GB2312"/>
          <w:b/>
          <w:sz w:val="32"/>
          <w:szCs w:val="32"/>
        </w:rPr>
        <w:t xml:space="preserve"> 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tbl>
      <w:tblPr>
        <w:tblStyle w:val="5"/>
        <w:tblW w:w="8858" w:type="dxa"/>
        <w:jc w:val="center"/>
        <w:tblLayout w:type="fixed"/>
        <w:tblCellMar>
          <w:top w:w="0" w:type="dxa"/>
          <w:left w:w="108" w:type="dxa"/>
          <w:bottom w:w="0" w:type="dxa"/>
          <w:right w:w="108" w:type="dxa"/>
        </w:tblCellMar>
      </w:tblPr>
      <w:tblGrid>
        <w:gridCol w:w="2895"/>
        <w:gridCol w:w="1313"/>
        <w:gridCol w:w="2895"/>
        <w:gridCol w:w="1755"/>
      </w:tblGrid>
      <w:tr>
        <w:tblPrEx>
          <w:tblCellMar>
            <w:top w:w="0" w:type="dxa"/>
            <w:left w:w="108" w:type="dxa"/>
            <w:bottom w:w="0" w:type="dxa"/>
            <w:right w:w="108" w:type="dxa"/>
          </w:tblCellMar>
        </w:tblPrEx>
        <w:trPr>
          <w:wAfter w:w="0" w:type="auto"/>
          <w:trHeight w:val="570" w:hRule="atLeast"/>
          <w:jc w:val="center"/>
        </w:trPr>
        <w:tc>
          <w:tcPr>
            <w:tcW w:w="8858"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208"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65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1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5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313"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1,022.00</w:t>
            </w:r>
          </w:p>
        </w:tc>
        <w:tc>
          <w:tcPr>
            <w:tcW w:w="28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公共安全</w:t>
            </w:r>
            <w:r>
              <w:rPr>
                <w:rFonts w:hint="eastAsia" w:ascii="宋体" w:hAnsi="宋体" w:cs="宋体"/>
                <w:color w:val="000000"/>
                <w:kern w:val="0"/>
                <w:sz w:val="22"/>
                <w:szCs w:val="22"/>
              </w:rPr>
              <w:t>支出</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773.11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3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8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cs="宋体"/>
                <w:i w:val="0"/>
                <w:iCs w:val="0"/>
                <w:color w:val="000000"/>
                <w:kern w:val="0"/>
                <w:sz w:val="22"/>
                <w:szCs w:val="22"/>
                <w:u w:val="none"/>
                <w:lang w:val="en-US" w:eastAsia="zh-CN" w:bidi="ar"/>
              </w:rPr>
              <w:t>二</w:t>
            </w:r>
            <w:r>
              <w:rPr>
                <w:rFonts w:hint="eastAsia" w:ascii="宋体" w:hAnsi="宋体" w:eastAsia="宋体" w:cs="宋体"/>
                <w:i w:val="0"/>
                <w:iCs w:val="0"/>
                <w:color w:val="000000"/>
                <w:kern w:val="0"/>
                <w:sz w:val="22"/>
                <w:szCs w:val="22"/>
                <w:u w:val="none"/>
                <w:lang w:val="en-US" w:eastAsia="zh-CN" w:bidi="ar"/>
              </w:rPr>
              <w:t>、社会保障和就业支出</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118.88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3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8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、卫生健康支出</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3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8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、住房保障支出</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3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8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eastAsia="zh-CN"/>
              </w:rPr>
              <w:t>五、其他支出</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525.01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3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89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3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464.43</w:t>
            </w:r>
          </w:p>
        </w:tc>
        <w:tc>
          <w:tcPr>
            <w:tcW w:w="289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p>
        </w:tc>
        <w:tc>
          <w:tcPr>
            <w:tcW w:w="17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1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1486.43</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iCs w:val="0"/>
                <w:color w:val="000000"/>
                <w:kern w:val="0"/>
                <w:sz w:val="22"/>
                <w:szCs w:val="22"/>
                <w:u w:val="none"/>
                <w:lang w:val="en-US" w:eastAsia="zh-CN" w:bidi="ar"/>
              </w:rPr>
              <w:t>1,545.86</w:t>
            </w:r>
          </w:p>
        </w:tc>
      </w:tr>
      <w:tr>
        <w:tblPrEx>
          <w:tblCellMar>
            <w:top w:w="0" w:type="dxa"/>
            <w:left w:w="108" w:type="dxa"/>
            <w:bottom w:w="0" w:type="dxa"/>
            <w:right w:w="108" w:type="dxa"/>
          </w:tblCellMar>
        </w:tblPrEx>
        <w:trPr>
          <w:trHeight w:val="327"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3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8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3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113.53</w:t>
            </w:r>
          </w:p>
        </w:tc>
        <w:tc>
          <w:tcPr>
            <w:tcW w:w="28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54.09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755" w:type="dxa"/>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1,599.96</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7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iCs w:val="0"/>
                <w:color w:val="000000"/>
                <w:kern w:val="0"/>
                <w:sz w:val="22"/>
                <w:szCs w:val="22"/>
                <w:u w:val="none"/>
                <w:lang w:val="en-US" w:eastAsia="zh-CN" w:bidi="ar"/>
              </w:rPr>
              <w:t>1,599.96</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w:t>
      </w:r>
      <w:r>
        <w:rPr>
          <w:rFonts w:hint="eastAsia"/>
          <w:lang w:eastAsia="zh-CN"/>
        </w:rPr>
        <w:t>我院</w:t>
      </w:r>
      <w:r>
        <w:rPr>
          <w:rFonts w:hint="eastAsia"/>
        </w:rPr>
        <w:t>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1393"/>
        <w:gridCol w:w="1967"/>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19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1,486.43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1,022.00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464.43</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96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w:t>
            </w:r>
          </w:p>
        </w:tc>
        <w:tc>
          <w:tcPr>
            <w:tcW w:w="196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检察</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2040401</w:t>
            </w:r>
          </w:p>
        </w:tc>
        <w:tc>
          <w:tcPr>
            <w:tcW w:w="196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537.68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537.68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2040402</w:t>
            </w:r>
          </w:p>
        </w:tc>
        <w:tc>
          <w:tcPr>
            <w:tcW w:w="196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184.84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184.84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2040410</w:t>
            </w:r>
          </w:p>
        </w:tc>
        <w:tc>
          <w:tcPr>
            <w:tcW w:w="196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50.60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50.60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96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120.03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120.03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96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120.03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120.03</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19.04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19.04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67.32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67.32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33.66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33.66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41.16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41.16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37.21</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37.21</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464.43</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464.43</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464.43</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464.43</w:t>
            </w:r>
          </w:p>
        </w:tc>
      </w:tr>
      <w:tr>
        <w:tblPrEx>
          <w:tblCellMar>
            <w:top w:w="0" w:type="dxa"/>
            <w:left w:w="108" w:type="dxa"/>
            <w:bottom w:w="0" w:type="dxa"/>
            <w:right w:w="108" w:type="dxa"/>
          </w:tblCellMar>
        </w:tblPrEx>
        <w:trPr>
          <w:trHeight w:val="288"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2299901</w:t>
            </w:r>
          </w:p>
        </w:tc>
        <w:tc>
          <w:tcPr>
            <w:tcW w:w="1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464.43</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464.43</w:t>
            </w:r>
          </w:p>
        </w:tc>
      </w:tr>
    </w:tbl>
    <w:p/>
    <w:p>
      <w:r>
        <w:rPr>
          <w:rFonts w:hint="eastAsia"/>
        </w:rPr>
        <w:t>注：本表反映</w:t>
      </w:r>
      <w:r>
        <w:rPr>
          <w:rFonts w:hint="eastAsia"/>
          <w:lang w:eastAsia="zh-CN"/>
        </w:rPr>
        <w:t>我院</w:t>
      </w:r>
      <w:r>
        <w:rPr>
          <w:rFonts w:hint="eastAsia"/>
        </w:rPr>
        <w:t>本年度取得的各项收入情况。</w:t>
      </w:r>
    </w:p>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1,545.86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1,162.23</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383.63</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537.68</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235.43</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检察</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537.68</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235.43</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537.68</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537.68</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2040402</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184.84</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184.84</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2040410</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50.60</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50.60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118.88</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118.88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118.88</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118.88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17.89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17.89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67.32</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67.32</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33.66</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33.66</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41.16</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41.16</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2101103</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37.21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37.21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525.01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376.81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148.20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525.01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376.81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148.20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2299901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525.01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376.81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148.20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bl>
    <w:p/>
    <w:p>
      <w:r>
        <w:rPr>
          <w:rFonts w:hint="eastAsia"/>
        </w:rPr>
        <w:t>注：本表反映</w:t>
      </w:r>
      <w:r>
        <w:rPr>
          <w:rFonts w:hint="eastAsia"/>
          <w:lang w:eastAsia="zh-CN"/>
        </w:rPr>
        <w:t>我院</w:t>
      </w:r>
      <w:r>
        <w:rPr>
          <w:rFonts w:hint="eastAsia"/>
        </w:rPr>
        <w:t>本年度各项支出情况。</w:t>
      </w:r>
    </w:p>
    <w:p/>
    <w:p/>
    <w:p/>
    <w:p/>
    <w:p/>
    <w:p/>
    <w:p/>
    <w:p/>
    <w:p/>
    <w:p/>
    <w:p/>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Spec="center" w:tblpY="24"/>
        <w:tblOverlap w:val="never"/>
        <w:tblW w:w="13293" w:type="dxa"/>
        <w:jc w:val="center"/>
        <w:tblLayout w:type="fixed"/>
        <w:tblCellMar>
          <w:top w:w="0" w:type="dxa"/>
          <w:left w:w="108" w:type="dxa"/>
          <w:bottom w:w="0" w:type="dxa"/>
          <w:right w:w="108" w:type="dxa"/>
        </w:tblCellMar>
      </w:tblPr>
      <w:tblGrid>
        <w:gridCol w:w="4038"/>
        <w:gridCol w:w="615"/>
        <w:gridCol w:w="1095"/>
        <w:gridCol w:w="2625"/>
        <w:gridCol w:w="900"/>
        <w:gridCol w:w="1080"/>
        <w:gridCol w:w="1335"/>
        <w:gridCol w:w="1605"/>
      </w:tblGrid>
      <w:tr>
        <w:tblPrEx>
          <w:tblCellMar>
            <w:top w:w="0" w:type="dxa"/>
            <w:left w:w="108" w:type="dxa"/>
            <w:bottom w:w="0" w:type="dxa"/>
            <w:right w:w="108" w:type="dxa"/>
          </w:tblCellMar>
        </w:tblPrEx>
        <w:trPr>
          <w:trHeight w:val="300" w:hRule="atLeast"/>
          <w:jc w:val="center"/>
        </w:trPr>
        <w:tc>
          <w:tcPr>
            <w:tcW w:w="5748"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54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1011" w:hRule="atLeast"/>
          <w:jc w:val="center"/>
        </w:trPr>
        <w:tc>
          <w:tcPr>
            <w:tcW w:w="403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1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0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262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3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327" w:hRule="atLeast"/>
          <w:jc w:val="center"/>
        </w:trPr>
        <w:tc>
          <w:tcPr>
            <w:tcW w:w="403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1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9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62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90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3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1,022.00</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二、外交支出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三、国防支出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9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773.11</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9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五、教育支出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9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9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9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118.88</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118.88</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09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78.37</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09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3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1,020.86</w:t>
            </w:r>
          </w:p>
        </w:tc>
        <w:tc>
          <w:tcPr>
            <w:tcW w:w="13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1,020.86</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1,022.00</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1.15</w:t>
            </w:r>
          </w:p>
        </w:tc>
        <w:tc>
          <w:tcPr>
            <w:tcW w:w="13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1.15</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08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335" w:type="dxa"/>
            <w:tcBorders>
              <w:top w:val="single" w:color="auto" w:sz="4" w:space="0"/>
              <w:left w:val="nil"/>
              <w:bottom w:val="single" w:color="auto" w:sz="4" w:space="0"/>
              <w:right w:val="single" w:color="auto" w:sz="4" w:space="0"/>
            </w:tcBorders>
            <w:vAlign w:val="center"/>
          </w:tcPr>
          <w:p>
            <w:pPr>
              <w:jc w:val="right"/>
            </w:pPr>
          </w:p>
        </w:tc>
        <w:tc>
          <w:tcPr>
            <w:tcW w:w="1605" w:type="dxa"/>
            <w:tcBorders>
              <w:top w:val="single" w:color="auto" w:sz="4" w:space="0"/>
              <w:left w:val="nil"/>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kern w:val="0"/>
                <w:sz w:val="22"/>
                <w:szCs w:val="22"/>
              </w:rPr>
            </w:pPr>
            <w:r>
              <w:rPr>
                <w:rFonts w:hint="eastAsia" w:ascii="宋体" w:hAnsi="宋体" w:cs="Arial"/>
                <w:kern w:val="0"/>
                <w:sz w:val="22"/>
                <w:szCs w:val="22"/>
              </w:rPr>
              <w:t>一般公共预算财政拨款</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62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08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335" w:type="dxa"/>
            <w:tcBorders>
              <w:top w:val="single" w:color="auto" w:sz="4" w:space="0"/>
              <w:left w:val="nil"/>
              <w:bottom w:val="single" w:color="auto" w:sz="4" w:space="0"/>
              <w:right w:val="single" w:color="auto" w:sz="4" w:space="0"/>
            </w:tcBorders>
            <w:vAlign w:val="center"/>
          </w:tcPr>
          <w:p>
            <w:pPr>
              <w:jc w:val="right"/>
            </w:pPr>
          </w:p>
        </w:tc>
        <w:tc>
          <w:tcPr>
            <w:tcW w:w="1605" w:type="dxa"/>
            <w:tcBorders>
              <w:top w:val="single" w:color="auto" w:sz="4" w:space="0"/>
              <w:left w:val="nil"/>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62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080"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335" w:type="dxa"/>
            <w:tcBorders>
              <w:top w:val="single" w:color="auto" w:sz="4" w:space="0"/>
              <w:left w:val="nil"/>
              <w:bottom w:val="single" w:color="auto" w:sz="4" w:space="0"/>
              <w:right w:val="single" w:color="auto" w:sz="4" w:space="0"/>
            </w:tcBorders>
            <w:vAlign w:val="center"/>
          </w:tcPr>
          <w:p>
            <w:pPr>
              <w:jc w:val="right"/>
            </w:pPr>
          </w:p>
        </w:tc>
        <w:tc>
          <w:tcPr>
            <w:tcW w:w="1605" w:type="dxa"/>
            <w:tcBorders>
              <w:top w:val="single" w:color="auto" w:sz="4" w:space="0"/>
              <w:left w:val="nil"/>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cs="Arial"/>
                <w:color w:val="000000"/>
                <w:kern w:val="0"/>
                <w:sz w:val="22"/>
                <w:szCs w:val="22"/>
                <w:lang w:val="en-US"/>
              </w:rPr>
            </w:pPr>
            <w:r>
              <w:rPr>
                <w:rFonts w:hint="eastAsia" w:ascii="宋体" w:hAnsi="宋体" w:cs="宋体"/>
                <w:i w:val="0"/>
                <w:iCs w:val="0"/>
                <w:color w:val="000000"/>
                <w:kern w:val="0"/>
                <w:sz w:val="22"/>
                <w:szCs w:val="22"/>
                <w:u w:val="none"/>
                <w:lang w:val="en-US" w:eastAsia="zh-CN" w:bidi="ar"/>
              </w:rPr>
              <w:t>0.00</w:t>
            </w:r>
          </w:p>
        </w:tc>
        <w:tc>
          <w:tcPr>
            <w:tcW w:w="262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c>
          <w:tcPr>
            <w:tcW w:w="13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p>
        </w:tc>
      </w:tr>
      <w:tr>
        <w:tblPrEx>
          <w:tblCellMar>
            <w:top w:w="0" w:type="dxa"/>
            <w:left w:w="108" w:type="dxa"/>
            <w:bottom w:w="0" w:type="dxa"/>
            <w:right w:w="108" w:type="dxa"/>
          </w:tblCellMar>
        </w:tblPrEx>
        <w:trPr>
          <w:trHeight w:val="288" w:hRule="atLeast"/>
          <w:jc w:val="center"/>
        </w:trPr>
        <w:tc>
          <w:tcPr>
            <w:tcW w:w="403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1,022.00</w:t>
            </w:r>
          </w:p>
        </w:tc>
        <w:tc>
          <w:tcPr>
            <w:tcW w:w="26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1,022.00</w:t>
            </w:r>
          </w:p>
        </w:tc>
        <w:tc>
          <w:tcPr>
            <w:tcW w:w="13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1,022.00</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bl>
    <w:p>
      <w:pPr>
        <w:jc w:val="right"/>
        <w:rPr>
          <w:sz w:val="22"/>
          <w:szCs w:val="22"/>
        </w:rPr>
      </w:pPr>
      <w:r>
        <w:rPr>
          <w:rFonts w:hint="eastAsia"/>
          <w:sz w:val="22"/>
          <w:szCs w:val="22"/>
        </w:rPr>
        <w:t>单位：万元</w:t>
      </w:r>
    </w:p>
    <w:p>
      <w:r>
        <w:rPr>
          <w:rFonts w:hint="eastAsia"/>
        </w:rPr>
        <w:t>注：本表反映</w:t>
      </w:r>
      <w:r>
        <w:rPr>
          <w:rFonts w:hint="eastAsia"/>
          <w:lang w:eastAsia="zh-CN"/>
        </w:rPr>
        <w:t>我院</w:t>
      </w:r>
      <w:r>
        <w:rPr>
          <w:rFonts w:hint="eastAsia"/>
        </w:rPr>
        <w:t>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1,020.86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785.42</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bCs/>
                <w:i w:val="0"/>
                <w:iCs w:val="0"/>
                <w:color w:val="000000"/>
                <w:kern w:val="0"/>
                <w:sz w:val="22"/>
                <w:szCs w:val="22"/>
                <w:u w:val="none"/>
                <w:lang w:val="en-US" w:eastAsia="zh-CN" w:bidi="ar"/>
              </w:rPr>
              <w:t>235.43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公共安全支出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773.11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537.68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235.43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检察</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773.11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537.68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235.43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2040401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537.68</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537.68</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2040402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184.84</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184.84</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2040410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检察监督</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50.60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50.60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118.88</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118.88</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118.88</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118.88</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17.89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17.89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67.32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67.32</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2080506</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33.66</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33.66</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78.37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78.37</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行政事业单位医疗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78.37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78.37</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41.16</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41.16</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2101103</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37.21</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37.21</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住房保障支出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50.49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50.49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住房改革支出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50.49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50.49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bl>
    <w:p/>
    <w:p>
      <w:r>
        <w:rPr>
          <w:rFonts w:hint="eastAsia"/>
        </w:rPr>
        <w:t>注：本表反映</w:t>
      </w:r>
      <w:r>
        <w:rPr>
          <w:rFonts w:hint="eastAsia"/>
          <w:lang w:eastAsia="zh-CN"/>
        </w:rPr>
        <w:t>我院</w:t>
      </w:r>
      <w:r>
        <w:rPr>
          <w:rFonts w:hint="eastAsia"/>
        </w:rPr>
        <w:t>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828"/>
        <w:gridCol w:w="1243"/>
        <w:gridCol w:w="849"/>
        <w:gridCol w:w="171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987" w:type="dxa"/>
            <w:gridSpan w:val="3"/>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6" w:type="dxa"/>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828" w:type="dxa"/>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43" w:type="dxa"/>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工资福利支出</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606.49</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商品和服务支出</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30101</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193.09</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30201</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30102</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160.34</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30202</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30103</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奖金</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31.97</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30203</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30106</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30204</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30107</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30205</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水费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30108</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67.32</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30206</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电费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30109</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33.66</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30207</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30110</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31.56</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30208</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30111</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37.21</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30209</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30112</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0.84</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30211</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30113</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50.49</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30212</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30114</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30213</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30199</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30214</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25.26</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30215</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30301</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10.89</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30216</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30302</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4.77</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30217</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30303</w:t>
            </w:r>
          </w:p>
        </w:tc>
        <w:tc>
          <w:tcPr>
            <w:tcW w:w="2828"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30218</w:t>
            </w:r>
          </w:p>
        </w:tc>
        <w:tc>
          <w:tcPr>
            <w:tcW w:w="1710"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30304</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抚恤金</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30224</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30305</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30225</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30306</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救济费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30226</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劳务费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30307</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9.60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30227</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30308</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助学金</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30228</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30309</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奖励金</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30229</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福利费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30310</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30231</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30311</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30239</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30399</w:t>
            </w:r>
          </w:p>
        </w:tc>
        <w:tc>
          <w:tcPr>
            <w:tcW w:w="282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4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30240</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6" w:type="dxa"/>
            <w:vAlign w:val="center"/>
          </w:tcPr>
          <w:p>
            <w:pPr>
              <w:jc w:val="left"/>
              <w:rPr>
                <w:rFonts w:hint="eastAsia" w:ascii="宋体" w:hAnsi="宋体" w:cs="Arial"/>
                <w:color w:val="000000"/>
                <w:kern w:val="0"/>
                <w:sz w:val="22"/>
                <w:szCs w:val="22"/>
              </w:rPr>
            </w:pPr>
          </w:p>
        </w:tc>
        <w:tc>
          <w:tcPr>
            <w:tcW w:w="2828" w:type="dxa"/>
            <w:vAlign w:val="center"/>
          </w:tcPr>
          <w:p>
            <w:pPr>
              <w:jc w:val="left"/>
            </w:pPr>
          </w:p>
        </w:tc>
        <w:tc>
          <w:tcPr>
            <w:tcW w:w="1243" w:type="dxa"/>
            <w:vAlign w:val="center"/>
          </w:tcPr>
          <w:p>
            <w:pPr>
              <w:jc w:val="right"/>
              <w:rPr>
                <w:rFonts w:ascii="宋体" w:hAnsi="宋体" w:cs="Arial"/>
                <w:color w:val="000000"/>
                <w:kern w:val="0"/>
                <w:sz w:val="22"/>
                <w:szCs w:val="22"/>
              </w:rPr>
            </w:pPr>
          </w:p>
        </w:tc>
        <w:tc>
          <w:tcPr>
            <w:tcW w:w="849"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30299</w:t>
            </w:r>
          </w:p>
        </w:tc>
        <w:tc>
          <w:tcPr>
            <w:tcW w:w="1710"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26.43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744" w:type="dxa"/>
            <w:gridSpan w:val="2"/>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人员经费合计</w:t>
            </w:r>
          </w:p>
          <w:p>
            <w:pPr>
              <w:keepNext w:val="0"/>
              <w:keepLines w:val="0"/>
              <w:widowControl/>
              <w:suppressLineNumbers w:val="0"/>
              <w:jc w:val="right"/>
              <w:textAlignment w:val="center"/>
            </w:pPr>
          </w:p>
        </w:tc>
        <w:tc>
          <w:tcPr>
            <w:tcW w:w="1243" w:type="dxa"/>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31.75</w:t>
            </w:r>
          </w:p>
        </w:tc>
        <w:tc>
          <w:tcPr>
            <w:tcW w:w="2559" w:type="dxa"/>
            <w:gridSpan w:val="2"/>
            <w:vAlign w:val="center"/>
          </w:tcPr>
          <w:p>
            <w:pPr>
              <w:keepNext w:val="0"/>
              <w:keepLines w:val="0"/>
              <w:widowControl/>
              <w:suppressLineNumbers w:val="0"/>
              <w:jc w:val="center"/>
              <w:textAlignment w:val="center"/>
            </w:pPr>
            <w:r>
              <w:rPr>
                <w:rFonts w:hint="eastAsia"/>
              </w:rPr>
              <w:t>公用经费合计</w:t>
            </w:r>
          </w:p>
        </w:tc>
        <w:tc>
          <w:tcPr>
            <w:tcW w:w="1605"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cs="Arial"/>
                <w:color w:val="000000"/>
                <w:kern w:val="0"/>
                <w:sz w:val="22"/>
                <w:szCs w:val="22"/>
              </w:rPr>
              <w:t>153.67</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w:t>
      </w:r>
      <w:r>
        <w:rPr>
          <w:rFonts w:hint="eastAsia"/>
          <w:lang w:eastAsia="zh-CN"/>
        </w:rPr>
        <w:t>我院</w:t>
      </w:r>
      <w:r>
        <w:rPr>
          <w:rFonts w:hint="eastAsia"/>
        </w:rPr>
        <w:t>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bookmarkStart w:id="0" w:name="_GoBack"/>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39.61</w:t>
            </w:r>
          </w:p>
        </w:tc>
        <w:tc>
          <w:tcPr>
            <w:tcW w:w="160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2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37.36</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25.36</w:t>
            </w:r>
          </w:p>
        </w:tc>
        <w:tc>
          <w:tcPr>
            <w:tcW w:w="12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12.00</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2.25</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32.51</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30.26</w:t>
            </w:r>
          </w:p>
        </w:tc>
        <w:tc>
          <w:tcPr>
            <w:tcW w:w="13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25.36</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iCs w:val="0"/>
                <w:color w:val="000000"/>
                <w:kern w:val="0"/>
                <w:sz w:val="22"/>
                <w:szCs w:val="22"/>
                <w:u w:val="none"/>
                <w:lang w:val="en-US" w:eastAsia="zh-CN" w:bidi="ar"/>
              </w:rPr>
              <w:t>2.25</w:t>
            </w:r>
          </w:p>
        </w:tc>
      </w:tr>
      <w:bookmarkEnd w:id="0"/>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w:t>
      </w:r>
      <w:r>
        <w:rPr>
          <w:rFonts w:hint="eastAsia"/>
          <w:lang w:eastAsia="zh-CN"/>
        </w:rPr>
        <w:t>我院</w:t>
      </w:r>
      <w:r>
        <w:rPr>
          <w:rFonts w:hint="eastAsia"/>
        </w:rPr>
        <w:t>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注：我</w:t>
      </w:r>
      <w:r>
        <w:rPr>
          <w:rFonts w:hint="eastAsia"/>
          <w:lang w:eastAsia="zh-CN"/>
        </w:rPr>
        <w:t>院</w:t>
      </w:r>
      <w:r>
        <w:rPr>
          <w:rFonts w:hint="eastAsia"/>
        </w:rPr>
        <w:t>没有政府性基金预算财政拨款收入，也没有政府性基金预算财政拨款安排的支出，故本表无数据。</w:t>
      </w:r>
    </w:p>
    <w:p>
      <w:pPr>
        <w:spacing w:line="560" w:lineRule="exact"/>
        <w:ind w:firstLine="420"/>
        <w:rPr>
          <w:rFonts w:hint="eastAsia"/>
        </w:rPr>
      </w:pPr>
    </w:p>
    <w:p>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1"/>
                <w:highlight w:val="none"/>
                <w:lang w:val="en-US" w:eastAsia="zh-CN" w:bidi="ar"/>
              </w:rPr>
              <w:t xml:space="preserve">   </w:t>
            </w:r>
            <w:r>
              <w:rPr>
                <w:rStyle w:val="12"/>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注：我</w:t>
            </w:r>
            <w:r>
              <w:rPr>
                <w:rFonts w:hint="eastAsia" w:ascii="宋体" w:hAnsi="宋体" w:cs="宋体"/>
                <w:i w:val="0"/>
                <w:color w:val="000000"/>
                <w:kern w:val="0"/>
                <w:sz w:val="24"/>
                <w:szCs w:val="24"/>
                <w:highlight w:val="none"/>
                <w:u w:val="none"/>
                <w:lang w:val="en-US" w:eastAsia="zh-CN" w:bidi="ar"/>
              </w:rPr>
              <w:t>院</w:t>
            </w:r>
            <w:r>
              <w:rPr>
                <w:rFonts w:hint="eastAsia" w:ascii="宋体" w:hAnsi="宋体" w:eastAsia="宋体" w:cs="宋体"/>
                <w:i w:val="0"/>
                <w:color w:val="000000"/>
                <w:kern w:val="0"/>
                <w:sz w:val="24"/>
                <w:szCs w:val="24"/>
                <w:highlight w:val="none"/>
                <w:u w:val="none"/>
                <w:lang w:val="en-US" w:eastAsia="zh-CN" w:bidi="ar"/>
              </w:rPr>
              <w:t>没有国有资本经营预算财政拨款收入，也没有国有资本经营预算财政拨款安排的支出，故本表无数据。</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柳城县人民检察院</w:t>
      </w:r>
      <w:r>
        <w:rPr>
          <w:rFonts w:hint="eastAsia" w:ascii="仿宋_GB2312" w:eastAsia="仿宋_GB2312"/>
          <w:b/>
          <w:sz w:val="32"/>
          <w:szCs w:val="32"/>
          <w:lang w:val="en-US" w:eastAsia="zh-CN"/>
        </w:rPr>
        <w:t>20</w:t>
      </w:r>
      <w:r>
        <w:rPr>
          <w:rFonts w:hint="eastAsia" w:eastAsia="仿宋_GB2312"/>
          <w:b/>
          <w:kern w:val="0"/>
          <w:sz w:val="32"/>
          <w:szCs w:val="32"/>
        </w:rPr>
        <w:t>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2020年度收入总计1599.96万元，支出总计1599.96万元，与2019年相比，收、支分别增加</w:t>
      </w:r>
      <w:r>
        <w:rPr>
          <w:rFonts w:hint="eastAsia" w:ascii="仿宋_GB2312" w:eastAsia="仿宋_GB2312" w:cs="仿宋_GB2312"/>
          <w:bCs/>
          <w:kern w:val="0"/>
          <w:sz w:val="32"/>
          <w:szCs w:val="32"/>
          <w:lang w:val="en-US" w:eastAsia="zh-CN"/>
        </w:rPr>
        <w:t>57.12万元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3.70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本年收入总计1486.43万元 ，其中：一般公共预算财政拨款收入1022万元；占比</w:t>
      </w:r>
      <w:r>
        <w:rPr>
          <w:rFonts w:hint="eastAsia" w:ascii="仿宋_GB2312" w:eastAsia="仿宋_GB2312" w:cs="仿宋_GB2312"/>
          <w:bCs/>
          <w:kern w:val="0"/>
          <w:sz w:val="32"/>
          <w:szCs w:val="32"/>
          <w:lang w:val="en-US" w:eastAsia="zh-CN"/>
        </w:rPr>
        <w:t>68.76%</w:t>
      </w:r>
      <w:r>
        <w:rPr>
          <w:rFonts w:hint="eastAsia" w:ascii="仿宋_GB2312" w:eastAsia="仿宋_GB2312" w:cs="仿宋_GB2312"/>
          <w:bCs/>
          <w:kern w:val="0"/>
          <w:sz w:val="32"/>
          <w:szCs w:val="32"/>
        </w:rPr>
        <w:t>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其他收入464.43万元，占比</w:t>
      </w:r>
      <w:r>
        <w:rPr>
          <w:rFonts w:hint="eastAsia" w:ascii="仿宋_GB2312" w:eastAsia="仿宋_GB2312" w:cs="仿宋_GB2312"/>
          <w:bCs/>
          <w:kern w:val="0"/>
          <w:sz w:val="32"/>
          <w:szCs w:val="32"/>
          <w:lang w:val="en-US" w:eastAsia="zh-CN"/>
        </w:rPr>
        <w:t>31.24%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 1545.86万元，其中：基本支出1162.23万元，占</w:t>
      </w:r>
      <w:r>
        <w:rPr>
          <w:rFonts w:hint="eastAsia" w:ascii="仿宋_GB2312" w:eastAsia="仿宋_GB2312" w:cs="仿宋_GB2312"/>
          <w:bCs/>
          <w:kern w:val="0"/>
          <w:sz w:val="32"/>
          <w:szCs w:val="32"/>
          <w:lang w:val="en-US" w:eastAsia="zh-CN"/>
        </w:rPr>
        <w:t>75.18</w:t>
      </w:r>
      <w:r>
        <w:rPr>
          <w:rFonts w:hint="eastAsia" w:ascii="仿宋_GB2312" w:eastAsia="仿宋_GB2312" w:cs="仿宋_GB2312"/>
          <w:bCs/>
          <w:kern w:val="0"/>
          <w:sz w:val="32"/>
          <w:szCs w:val="32"/>
        </w:rPr>
        <w:t>%；项目支出383.63万元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24.82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ascii="仿宋_GB2312" w:eastAsia="仿宋_GB2312" w:cs="仿宋_GB2312"/>
          <w:b/>
          <w:color w:val="000000" w:themeColor="text1"/>
          <w:kern w:val="0"/>
          <w:sz w:val="32"/>
          <w:szCs w:val="32"/>
          <w14:textFill>
            <w14:solidFill>
              <w14:schemeClr w14:val="tx1"/>
            </w14:solidFill>
          </w14:textFill>
        </w:rPr>
        <w:t>、</w:t>
      </w:r>
      <w:r>
        <w:rPr>
          <w:rFonts w:hint="eastAsia" w:eastAsia="仿宋_GB2312"/>
          <w:b/>
          <w:color w:val="000000" w:themeColor="text1"/>
          <w:kern w:val="0"/>
          <w:sz w:val="32"/>
          <w:szCs w:val="32"/>
          <w14:textFill>
            <w14:solidFill>
              <w14:schemeClr w14:val="tx1"/>
            </w14:solidFill>
          </w14:textFill>
        </w:rPr>
        <w:t>2020</w:t>
      </w:r>
      <w:r>
        <w:rPr>
          <w:rFonts w:hint="eastAsia" w:ascii="仿宋_GB2312" w:eastAsia="仿宋_GB2312" w:cs="仿宋_GB2312"/>
          <w:b/>
          <w:color w:val="000000" w:themeColor="text1"/>
          <w:kern w:val="0"/>
          <w:sz w:val="32"/>
          <w:szCs w:val="32"/>
          <w14:textFill>
            <w14:solidFill>
              <w14:schemeClr w14:val="tx1"/>
            </w14:solidFill>
          </w14:textFill>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我院</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1022</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409.07万元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各下</w:t>
      </w:r>
      <w:r>
        <w:rPr>
          <w:rFonts w:hint="eastAsia" w:ascii="仿宋_GB2312" w:eastAsia="仿宋_GB2312" w:cs="仿宋_GB2312"/>
          <w:bCs/>
          <w:kern w:val="0"/>
          <w:sz w:val="32"/>
          <w:szCs w:val="32"/>
          <w:lang w:val="en-US" w:eastAsia="zh-CN"/>
        </w:rPr>
        <w:t>28.58%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我院</w:t>
      </w:r>
      <w:r>
        <w:rPr>
          <w:rFonts w:hint="eastAsia" w:ascii="仿宋_GB2312" w:eastAsia="仿宋_GB2312" w:cs="仿宋_GB2312"/>
          <w:bCs/>
          <w:kern w:val="0"/>
          <w:sz w:val="32"/>
          <w:szCs w:val="32"/>
        </w:rPr>
        <w:t>2020年度财政拨款支出1020.86万元，占本年支出合计的</w:t>
      </w:r>
      <w:r>
        <w:rPr>
          <w:rFonts w:hint="eastAsia" w:ascii="仿宋_GB2312" w:eastAsia="仿宋_GB2312" w:cs="仿宋_GB2312"/>
          <w:bCs/>
          <w:kern w:val="0"/>
          <w:sz w:val="32"/>
          <w:szCs w:val="32"/>
          <w:lang w:val="en-US" w:eastAsia="zh-CN"/>
        </w:rPr>
        <w:t>66.04</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354.67</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25.78</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年度财政拨款支出1020.86万元，主要用于以下方面：</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支出773.11万元，占</w:t>
      </w:r>
      <w:r>
        <w:rPr>
          <w:rFonts w:hint="eastAsia" w:ascii="仿宋_GB2312" w:eastAsia="仿宋_GB2312" w:cs="仿宋_GB2312"/>
          <w:bCs/>
          <w:kern w:val="0"/>
          <w:sz w:val="32"/>
          <w:szCs w:val="32"/>
          <w:lang w:val="en-US" w:eastAsia="zh-CN"/>
        </w:rPr>
        <w:t>75.73</w:t>
      </w:r>
      <w:r>
        <w:rPr>
          <w:rFonts w:hint="eastAsia" w:ascii="仿宋_GB2312" w:eastAsia="仿宋_GB2312" w:cs="仿宋_GB2312"/>
          <w:bCs/>
          <w:kern w:val="0"/>
          <w:sz w:val="32"/>
          <w:szCs w:val="32"/>
        </w:rPr>
        <w:t xml:space="preserve">%；社会保障和就业支出118.88万元，占 </w:t>
      </w:r>
      <w:r>
        <w:rPr>
          <w:rFonts w:hint="eastAsia" w:ascii="仿宋_GB2312" w:eastAsia="仿宋_GB2312" w:cs="仿宋_GB2312"/>
          <w:bCs/>
          <w:kern w:val="0"/>
          <w:sz w:val="32"/>
          <w:szCs w:val="32"/>
          <w:lang w:val="en-US" w:eastAsia="zh-CN"/>
        </w:rPr>
        <w:t>11.65</w:t>
      </w:r>
      <w:r>
        <w:rPr>
          <w:rFonts w:hint="eastAsia" w:ascii="仿宋_GB2312" w:eastAsia="仿宋_GB2312" w:cs="仿宋_GB2312"/>
          <w:bCs/>
          <w:kern w:val="0"/>
          <w:sz w:val="32"/>
          <w:szCs w:val="32"/>
        </w:rPr>
        <w:t>%；卫生健康支出78.37万元，占</w:t>
      </w:r>
      <w:r>
        <w:rPr>
          <w:rFonts w:hint="eastAsia" w:ascii="仿宋_GB2312" w:eastAsia="仿宋_GB2312" w:cs="仿宋_GB2312"/>
          <w:bCs/>
          <w:kern w:val="0"/>
          <w:sz w:val="32"/>
          <w:szCs w:val="32"/>
          <w:lang w:val="en-US" w:eastAsia="zh-CN"/>
        </w:rPr>
        <w:t>7.68</w:t>
      </w:r>
      <w:r>
        <w:rPr>
          <w:rFonts w:hint="eastAsia" w:ascii="仿宋_GB2312" w:eastAsia="仿宋_GB2312" w:cs="仿宋_GB2312"/>
          <w:bCs/>
          <w:kern w:val="0"/>
          <w:sz w:val="32"/>
          <w:szCs w:val="32"/>
        </w:rPr>
        <w:t xml:space="preserve">%； 住房保障（类）支出50.49万元，占 </w:t>
      </w:r>
      <w:r>
        <w:rPr>
          <w:rFonts w:hint="eastAsia" w:ascii="仿宋_GB2312" w:eastAsia="仿宋_GB2312" w:cs="仿宋_GB2312"/>
          <w:bCs/>
          <w:kern w:val="0"/>
          <w:sz w:val="32"/>
          <w:szCs w:val="32"/>
          <w:lang w:val="en-US" w:eastAsia="zh-CN"/>
        </w:rPr>
        <w:t>4.94</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年度财政拨款支出年初预算为1022万元，支出决算为</w:t>
      </w:r>
      <w:r>
        <w:rPr>
          <w:rFonts w:hint="eastAsia" w:ascii="仿宋_GB2312" w:eastAsia="仿宋_GB2312" w:cs="仿宋_GB2312"/>
          <w:bCs/>
          <w:kern w:val="0"/>
          <w:sz w:val="32"/>
          <w:szCs w:val="32"/>
          <w:lang w:val="en-US" w:eastAsia="zh-CN"/>
        </w:rPr>
        <w:t>1020.86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99.89</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hAnsi="宋体" w:eastAsia="仿宋_GB2312" w:cs="仿宋_GB2312"/>
          <w:b w:val="0"/>
          <w:bCs w:val="0"/>
          <w:i w:val="0"/>
          <w:iCs w:val="0"/>
          <w:caps w:val="0"/>
          <w:color w:val="333333"/>
          <w:spacing w:val="0"/>
          <w:sz w:val="32"/>
          <w:szCs w:val="32"/>
          <w:shd w:val="clear" w:fill="FFFFFF"/>
          <w:lang w:val="en-US" w:eastAsia="zh-CN"/>
        </w:rPr>
        <w:t>1.</w:t>
      </w:r>
      <w:r>
        <w:rPr>
          <w:rFonts w:hint="eastAsia" w:ascii="仿宋_GB2312" w:eastAsia="仿宋_GB2312" w:cs="仿宋_GB2312"/>
          <w:bCs/>
          <w:kern w:val="0"/>
          <w:sz w:val="32"/>
          <w:szCs w:val="32"/>
          <w:lang w:val="en-US" w:eastAsia="zh-CN"/>
        </w:rPr>
        <w:t>公共安全支出（类）检察（款）行政运行（项）。</w:t>
      </w:r>
      <w:r>
        <w:rPr>
          <w:rFonts w:hint="eastAsia" w:ascii="仿宋_GB2312" w:eastAsia="仿宋_GB2312" w:cs="仿宋_GB2312"/>
          <w:bCs/>
          <w:kern w:val="0"/>
          <w:sz w:val="32"/>
          <w:szCs w:val="32"/>
        </w:rPr>
        <w:t>年初预算为5</w:t>
      </w:r>
      <w:r>
        <w:rPr>
          <w:rFonts w:hint="eastAsia" w:ascii="仿宋_GB2312" w:eastAsia="仿宋_GB2312" w:cs="仿宋_GB2312"/>
          <w:bCs/>
          <w:kern w:val="0"/>
          <w:sz w:val="32"/>
          <w:szCs w:val="32"/>
          <w:lang w:val="en-US" w:eastAsia="zh-CN"/>
        </w:rPr>
        <w:t>38.83</w:t>
      </w:r>
      <w:r>
        <w:rPr>
          <w:rFonts w:hint="eastAsia" w:ascii="仿宋_GB2312" w:eastAsia="仿宋_GB2312" w:cs="仿宋_GB2312"/>
          <w:bCs/>
          <w:kern w:val="0"/>
          <w:sz w:val="32"/>
          <w:szCs w:val="32"/>
        </w:rPr>
        <w:t>万元，支出决算为 537.68万元，完成年初预算的</w:t>
      </w:r>
      <w:r>
        <w:rPr>
          <w:rFonts w:hint="eastAsia" w:ascii="仿宋_GB2312" w:eastAsia="仿宋_GB2312" w:cs="仿宋_GB2312"/>
          <w:bCs/>
          <w:kern w:val="0"/>
          <w:sz w:val="32"/>
          <w:szCs w:val="32"/>
          <w:lang w:val="en-US" w:eastAsia="zh-CN"/>
        </w:rPr>
        <w:t>99.79</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公共安全（类）检察（款）一般行政管理事务（项）。年初预算为184.84万元，支出决算为184.84万元</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3.公共安全（类）检察（款）检察监督（项）。年初预</w:t>
      </w:r>
      <w:r>
        <w:rPr>
          <w:rFonts w:hint="eastAsia" w:ascii="仿宋_GB2312" w:eastAsia="仿宋_GB2312" w:cs="仿宋_GB2312"/>
          <w:bCs/>
          <w:kern w:val="0"/>
          <w:sz w:val="32"/>
          <w:szCs w:val="32"/>
        </w:rPr>
        <w:t>算为50.6万元，支出决算为50.6万元，完成年初预算的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4.社会保障和就业支出（类）行政事业单位离退休（款）归口管理的行政单位离退休（项）。年初</w:t>
      </w:r>
      <w:r>
        <w:rPr>
          <w:rFonts w:hint="eastAsia" w:ascii="仿宋_GB2312" w:eastAsia="仿宋_GB2312" w:cs="仿宋_GB2312"/>
          <w:bCs/>
          <w:kern w:val="0"/>
          <w:sz w:val="32"/>
          <w:szCs w:val="32"/>
          <w:lang w:eastAsia="zh-CN"/>
        </w:rPr>
        <w:t>预算为</w:t>
      </w:r>
      <w:r>
        <w:rPr>
          <w:rFonts w:hint="eastAsia" w:ascii="仿宋_GB2312" w:eastAsia="仿宋_GB2312" w:cs="仿宋_GB2312"/>
          <w:bCs/>
          <w:kern w:val="0"/>
          <w:sz w:val="32"/>
          <w:szCs w:val="32"/>
          <w:lang w:val="en-US" w:eastAsia="zh-CN"/>
        </w:rPr>
        <w:t>17.89</w:t>
      </w:r>
      <w:r>
        <w:rPr>
          <w:rFonts w:hint="eastAsia" w:ascii="仿宋_GB2312" w:eastAsia="仿宋_GB2312" w:cs="仿宋_GB2312"/>
          <w:bCs/>
          <w:kern w:val="0"/>
          <w:sz w:val="32"/>
          <w:szCs w:val="32"/>
          <w:lang w:eastAsia="zh-CN"/>
        </w:rPr>
        <w:t>万元，支出决算为</w:t>
      </w:r>
      <w:r>
        <w:rPr>
          <w:rFonts w:hint="eastAsia" w:ascii="仿宋_GB2312" w:eastAsia="仿宋_GB2312" w:cs="仿宋_GB2312"/>
          <w:bCs/>
          <w:kern w:val="0"/>
          <w:sz w:val="32"/>
          <w:szCs w:val="32"/>
          <w:lang w:val="en-US" w:eastAsia="zh-CN"/>
        </w:rPr>
        <w:t>17.89</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5.社会保障和就业支出（类）行政事业单位离退休（款）机关事业单位基本养老保险缴费支出（项）。年初预算为67.32万元，支出决算为67.32万元，完成年初预算</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6.社会保障和就业支出（类）行政事业单位离退休（款）机关事业单位职业年金支出（项）机关事业单位职业年金缴费支出年初预算为33.66万元，支出决算为33.66万元，完成年初预算的100%。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sz w:val="32"/>
          <w:szCs w:val="32"/>
          <w:highlight w:val="none"/>
          <w:lang w:val="en-US" w:eastAsia="zh-CN"/>
        </w:rPr>
        <w:t>7.</w:t>
      </w:r>
      <w:r>
        <w:rPr>
          <w:rFonts w:hint="eastAsia" w:ascii="仿宋_GB2312" w:eastAsia="仿宋_GB2312" w:cs="仿宋_GB2312"/>
          <w:bCs/>
          <w:kern w:val="0"/>
          <w:sz w:val="32"/>
          <w:szCs w:val="32"/>
          <w:lang w:val="en-US" w:eastAsia="zh-CN"/>
        </w:rPr>
        <w:t>卫生健康支出（类）行政事业单位医疗（款）行政单位医疗（项）。年</w:t>
      </w:r>
      <w:r>
        <w:rPr>
          <w:rFonts w:hint="eastAsia" w:ascii="仿宋_GB2312" w:eastAsia="仿宋_GB2312" w:cs="仿宋_GB2312"/>
          <w:bCs/>
          <w:kern w:val="0"/>
          <w:sz w:val="32"/>
          <w:szCs w:val="32"/>
        </w:rPr>
        <w:t>初预算为</w:t>
      </w:r>
      <w:r>
        <w:rPr>
          <w:rFonts w:hint="eastAsia" w:ascii="仿宋_GB2312" w:eastAsia="仿宋_GB2312"/>
          <w:sz w:val="32"/>
          <w:szCs w:val="32"/>
          <w:highlight w:val="none"/>
          <w:lang w:val="en-US" w:eastAsia="zh-CN"/>
        </w:rPr>
        <w:t>41.16万元，</w:t>
      </w:r>
      <w:r>
        <w:rPr>
          <w:rFonts w:hint="eastAsia" w:ascii="仿宋_GB2312" w:eastAsia="仿宋_GB2312" w:cs="仿宋_GB2312"/>
          <w:bCs/>
          <w:kern w:val="0"/>
          <w:sz w:val="32"/>
          <w:szCs w:val="32"/>
          <w:lang w:eastAsia="zh-CN"/>
        </w:rPr>
        <w:t>支出决算为</w:t>
      </w:r>
      <w:r>
        <w:rPr>
          <w:rFonts w:hint="eastAsia" w:ascii="仿宋_GB2312" w:eastAsia="仿宋_GB2312" w:cs="仿宋_GB2312"/>
          <w:bCs/>
          <w:kern w:val="0"/>
          <w:sz w:val="32"/>
          <w:szCs w:val="32"/>
          <w:lang w:val="en-US" w:eastAsia="zh-CN"/>
        </w:rPr>
        <w:t>41.16</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8.医疗卫生与计划生育支出（类）行政事业单位医疗（款）公务员医疗补助（项）。年</w:t>
      </w:r>
      <w:r>
        <w:rPr>
          <w:rFonts w:hint="eastAsia" w:ascii="仿宋_GB2312" w:eastAsia="仿宋_GB2312" w:cs="仿宋_GB2312"/>
          <w:bCs/>
          <w:kern w:val="0"/>
          <w:sz w:val="32"/>
          <w:szCs w:val="32"/>
        </w:rPr>
        <w:t>初预算</w:t>
      </w:r>
      <w:r>
        <w:rPr>
          <w:rFonts w:hint="eastAsia" w:ascii="仿宋_GB2312" w:eastAsia="仿宋_GB2312" w:cs="仿宋_GB2312"/>
          <w:bCs/>
          <w:kern w:val="0"/>
          <w:sz w:val="32"/>
          <w:szCs w:val="32"/>
          <w:lang w:eastAsia="zh-CN"/>
        </w:rPr>
        <w:t>为</w:t>
      </w:r>
      <w:r>
        <w:rPr>
          <w:rFonts w:hint="eastAsia" w:ascii="仿宋_GB2312" w:eastAsia="仿宋_GB2312" w:cs="仿宋_GB2312"/>
          <w:bCs/>
          <w:kern w:val="0"/>
          <w:sz w:val="32"/>
          <w:szCs w:val="32"/>
          <w:lang w:val="en-US" w:eastAsia="zh-CN"/>
        </w:rPr>
        <w:t>37.21</w:t>
      </w:r>
      <w:r>
        <w:rPr>
          <w:rFonts w:hint="eastAsia" w:ascii="仿宋_GB2312" w:eastAsia="仿宋_GB2312" w:cs="仿宋_GB2312"/>
          <w:bCs/>
          <w:kern w:val="0"/>
          <w:sz w:val="32"/>
          <w:szCs w:val="32"/>
          <w:lang w:eastAsia="zh-CN"/>
        </w:rPr>
        <w:t>万元，支出决算为</w:t>
      </w:r>
      <w:r>
        <w:rPr>
          <w:rFonts w:hint="eastAsia" w:ascii="仿宋_GB2312" w:eastAsia="仿宋_GB2312" w:cs="仿宋_GB2312"/>
          <w:bCs/>
          <w:kern w:val="0"/>
          <w:sz w:val="32"/>
          <w:szCs w:val="32"/>
          <w:lang w:val="en-US" w:eastAsia="zh-CN"/>
        </w:rPr>
        <w:t>37.21</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9.住房保障支出（类）住房改革支出（款）住房公积金。年初预算为50.49万元，支出决算为50.49</w:t>
      </w:r>
      <w:r>
        <w:rPr>
          <w:rFonts w:hint="eastAsia" w:ascii="仿宋_GB2312" w:eastAsia="仿宋_GB2312" w:cs="仿宋_GB2312"/>
          <w:bCs/>
          <w:kern w:val="0"/>
          <w:sz w:val="32"/>
          <w:szCs w:val="32"/>
          <w:lang w:eastAsia="zh-CN"/>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785.42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631.75</w:t>
      </w:r>
      <w:r>
        <w:rPr>
          <w:rFonts w:hint="eastAsia" w:ascii="仿宋_GB2312" w:eastAsia="仿宋_GB2312" w:cs="仿宋_GB2312"/>
          <w:bCs/>
          <w:kern w:val="0"/>
          <w:sz w:val="32"/>
          <w:szCs w:val="32"/>
        </w:rPr>
        <w:t>万元，主要包括：基本工资、津贴补贴、 奖金、机关事业单位基本养老保险缴费、职业年金缴费、其他社会保障缴费、</w:t>
      </w:r>
      <w:r>
        <w:rPr>
          <w:rFonts w:hint="eastAsia" w:ascii="仿宋_GB2312" w:eastAsia="仿宋_GB2312" w:cs="仿宋_GB2312"/>
          <w:bCs/>
          <w:kern w:val="0"/>
          <w:sz w:val="32"/>
          <w:szCs w:val="32"/>
          <w:lang w:eastAsia="zh-CN"/>
        </w:rPr>
        <w:t>公务员医疗补助缴费、</w:t>
      </w:r>
      <w:r>
        <w:rPr>
          <w:rFonts w:hint="eastAsia" w:ascii="仿宋_GB2312" w:eastAsia="仿宋_GB2312" w:cs="仿宋_GB2312"/>
          <w:bCs/>
          <w:kern w:val="0"/>
          <w:sz w:val="32"/>
          <w:szCs w:val="32"/>
        </w:rPr>
        <w:t>其他工资福利支出、 离休费、退休费、医疗费</w:t>
      </w:r>
      <w:r>
        <w:rPr>
          <w:rFonts w:hint="eastAsia" w:ascii="仿宋_GB2312" w:eastAsia="仿宋_GB2312" w:cs="仿宋_GB2312"/>
          <w:bCs/>
          <w:kern w:val="0"/>
          <w:sz w:val="32"/>
          <w:szCs w:val="32"/>
          <w:lang w:eastAsia="zh-CN"/>
        </w:rPr>
        <w:t>补助</w:t>
      </w:r>
      <w:r>
        <w:rPr>
          <w:rFonts w:hint="eastAsia" w:ascii="仿宋_GB2312" w:eastAsia="仿宋_GB2312" w:cs="仿宋_GB2312"/>
          <w:bCs/>
          <w:kern w:val="0"/>
          <w:sz w:val="32"/>
          <w:szCs w:val="32"/>
        </w:rPr>
        <w:t>、住房公积金；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153.67</w:t>
      </w:r>
      <w:r>
        <w:rPr>
          <w:rFonts w:hint="eastAsia" w:ascii="仿宋_GB2312" w:eastAsia="仿宋_GB2312" w:cs="仿宋_GB2312"/>
          <w:bCs/>
          <w:kern w:val="0"/>
          <w:sz w:val="32"/>
          <w:szCs w:val="32"/>
        </w:rPr>
        <w:t>万元，主要 包括：办公费、印刷费、水费、电费、邮电费、物业管理费、差旅费、维修（护）费、会议费、培训费、公务接待费、工会经费、公务用车运行维护费、其他交通费用、其他商品和服务支出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39.61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32.51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82.08</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30.26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80.99</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2.25</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17.06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110.42</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18.26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152.17</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34.78</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2020年由于报废两辆公务用车，按照预算采购两辆公务用车</w:t>
      </w:r>
      <w:r>
        <w:rPr>
          <w:rFonts w:hint="eastAsia" w:ascii="仿宋_GB2312" w:eastAsia="仿宋_GB2312" w:cs="仿宋_GB2312"/>
          <w:bCs/>
          <w:kern w:val="0"/>
          <w:sz w:val="32"/>
          <w:szCs w:val="32"/>
        </w:rPr>
        <w:t>；公务接待费支出减少的主要原因是认真贯彻落实中央八项规定精神和厉行节约要求，进一步从严控制“三公”经费开支，全年实际支出比预算有所节约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30.26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93.08</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2.25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6.92</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30.26</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25.36</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4.9</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我院</w:t>
      </w:r>
      <w:r>
        <w:rPr>
          <w:rFonts w:hint="eastAsia" w:ascii="仿宋_GB2312" w:eastAsia="仿宋_GB2312" w:cs="仿宋_GB2312"/>
          <w:kern w:val="0"/>
          <w:sz w:val="32"/>
          <w:szCs w:val="32"/>
        </w:rPr>
        <w:t>机要文件交换、市内因公出行以及开展</w:t>
      </w:r>
      <w:r>
        <w:rPr>
          <w:rFonts w:hint="eastAsia" w:ascii="仿宋_GB2312" w:eastAsia="仿宋_GB2312" w:cs="仿宋_GB2312"/>
          <w:kern w:val="0"/>
          <w:sz w:val="32"/>
          <w:szCs w:val="32"/>
          <w:lang w:eastAsia="zh-CN"/>
        </w:rPr>
        <w:t>办案</w:t>
      </w:r>
      <w:r>
        <w:rPr>
          <w:rFonts w:hint="eastAsia" w:ascii="仿宋_GB2312" w:eastAsia="仿宋_GB2312" w:cs="仿宋_GB2312"/>
          <w:kern w:val="0"/>
          <w:sz w:val="32"/>
          <w:szCs w:val="32"/>
        </w:rPr>
        <w:t>业务所需车辆燃料费、维修费、过路过桥费、</w:t>
      </w:r>
      <w:r>
        <w:rPr>
          <w:rFonts w:hint="eastAsia" w:ascii="仿宋_GB2312" w:eastAsia="仿宋_GB2312" w:cs="仿宋_GB2312"/>
          <w:kern w:val="0"/>
          <w:sz w:val="32"/>
          <w:szCs w:val="32"/>
          <w:lang w:eastAsia="zh-CN"/>
        </w:rPr>
        <w:t>车辆</w:t>
      </w:r>
      <w:r>
        <w:rPr>
          <w:rFonts w:hint="eastAsia" w:ascii="仿宋_GB2312" w:eastAsia="仿宋_GB2312" w:cs="仿宋_GB2312"/>
          <w:kern w:val="0"/>
          <w:sz w:val="32"/>
          <w:szCs w:val="32"/>
        </w:rPr>
        <w:t>保险费等</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2.25</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2.25</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异地单位到我院出</w:t>
      </w:r>
      <w:r>
        <w:rPr>
          <w:rFonts w:hint="eastAsia" w:ascii="仿宋_GB2312" w:hAnsi="宋体" w:eastAsia="仿宋_GB2312"/>
          <w:sz w:val="32"/>
          <w:szCs w:val="32"/>
        </w:rPr>
        <w:t>席会议、考察调研、执行任务、学习交流、检查指导、请示汇报工作等公务活动</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30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176</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我院</w:t>
      </w:r>
      <w:r>
        <w:rPr>
          <w:rFonts w:hint="eastAsia" w:ascii="仿宋_GB2312" w:eastAsia="仿宋_GB2312" w:cs="仿宋_GB2312"/>
          <w:bCs/>
          <w:kern w:val="0"/>
          <w:sz w:val="32"/>
          <w:szCs w:val="32"/>
        </w:rPr>
        <w:t xml:space="preserve"> 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 xml:space="preserve">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w:t>
      </w:r>
    </w:p>
    <w:p>
      <w:pPr>
        <w:numPr>
          <w:ilvl w:val="0"/>
          <w:numId w:val="1"/>
        </w:numPr>
        <w:autoSpaceDE w:val="0"/>
        <w:autoSpaceDN w:val="0"/>
        <w:adjustRightInd w:val="0"/>
        <w:spacing w:line="580" w:lineRule="exact"/>
        <w:ind w:left="480" w:leftChars="0"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城乡社区支出（类）政府住房基金及对应专项债务收入安排支出（款）费用支出（项）。 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 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 0 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绩效管理工作开展情况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从2020年起我市各县（区）检察院作为柳州市人民检察院二级预算单位纳入柳州市财政局统一管理，因是首次纳入市级预算管理，相关工作尚待理顺，2020年各县（区）检察院未开展绩效考评工作。</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我院</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153.68</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50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48.23</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val="en-US" w:eastAsia="zh-CN"/>
        </w:rPr>
        <w:t>2020年我院主要用公用经费里的差旅费、2020年新增工会费支出</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我院</w:t>
      </w:r>
      <w:r>
        <w:rPr>
          <w:rFonts w:hint="eastAsia" w:ascii="仿宋_GB2312" w:eastAsia="仿宋_GB2312" w:cs="仿宋_GB2312"/>
          <w:kern w:val="0"/>
          <w:sz w:val="32"/>
          <w:szCs w:val="32"/>
        </w:rPr>
        <w:t>政府采购支出总额</w:t>
      </w:r>
      <w:r>
        <w:rPr>
          <w:rFonts w:hint="eastAsia" w:ascii="仿宋_GB2312" w:eastAsia="仿宋_GB2312"/>
          <w:sz w:val="28"/>
          <w:szCs w:val="28"/>
          <w:highlight w:val="none"/>
          <w:lang w:val="en-US" w:eastAsia="zh-CN"/>
        </w:rPr>
        <w:t>211.75</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118.24</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93.51</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我院</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hint="eastAsia" w:ascii="仿宋_GB2312" w:eastAsia="仿宋_GB2312"/>
          <w:b/>
          <w:sz w:val="32"/>
          <w:szCs w:val="32"/>
        </w:rPr>
      </w:pPr>
    </w:p>
    <w:p>
      <w:pPr>
        <w:spacing w:line="580" w:lineRule="exact"/>
        <w:ind w:firstLine="645"/>
        <w:rPr>
          <w:rFonts w:hint="eastAsia" w:ascii="仿宋_GB2312" w:eastAsia="仿宋_GB2312"/>
          <w:b/>
          <w:sz w:val="32"/>
          <w:szCs w:val="32"/>
        </w:rPr>
      </w:pPr>
    </w:p>
    <w:p>
      <w:pPr>
        <w:spacing w:line="580" w:lineRule="exact"/>
        <w:ind w:firstLine="645"/>
        <w:rPr>
          <w:rFonts w:hint="eastAsia" w:ascii="仿宋_GB2312" w:eastAsia="仿宋_GB2312"/>
          <w:b/>
          <w:sz w:val="32"/>
          <w:szCs w:val="32"/>
        </w:rPr>
      </w:pPr>
    </w:p>
    <w:p>
      <w:pPr>
        <w:spacing w:line="580" w:lineRule="exact"/>
        <w:ind w:firstLine="645"/>
        <w:rPr>
          <w:rFonts w:hint="eastAsia" w:ascii="仿宋_GB2312" w:eastAsia="仿宋_GB2312"/>
          <w:b/>
          <w:sz w:val="32"/>
          <w:szCs w:val="32"/>
        </w:rPr>
      </w:pPr>
    </w:p>
    <w:p>
      <w:pPr>
        <w:spacing w:line="580" w:lineRule="exact"/>
        <w:ind w:firstLine="645"/>
        <w:rPr>
          <w:rFonts w:hint="eastAsia" w:ascii="仿宋_GB2312" w:eastAsia="仿宋_GB2312"/>
          <w:b/>
          <w:sz w:val="32"/>
          <w:szCs w:val="32"/>
        </w:rPr>
      </w:pPr>
    </w:p>
    <w:p>
      <w:pPr>
        <w:spacing w:line="580" w:lineRule="exact"/>
        <w:ind w:firstLine="645"/>
        <w:rPr>
          <w:rFonts w:hint="eastAsia" w:ascii="仿宋_GB2312" w:eastAsia="仿宋_GB2312"/>
          <w:b/>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r>
        <w:rPr>
          <w:rFonts w:hint="eastAsia" w:ascii="仿宋_GB2312" w:eastAsia="仿宋_GB2312"/>
          <w:bCs/>
          <w:sz w:val="32"/>
          <w:szCs w:val="32"/>
          <w:lang w:val="en-US" w:eastAsia="zh-CN"/>
        </w:rPr>
        <w:t xml:space="preserve"> </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eastAsia="zh-CN"/>
        </w:rPr>
        <w:t>县级</w:t>
      </w:r>
      <w:r>
        <w:rPr>
          <w:rFonts w:hint="eastAsia" w:ascii="仿宋_GB2312" w:eastAsia="仿宋_GB2312"/>
          <w:bCs/>
          <w:sz w:val="32"/>
          <w:szCs w:val="32"/>
        </w:rPr>
        <w:t>财政当年拨付的资金</w:t>
      </w:r>
      <w:r>
        <w:rPr>
          <w:rFonts w:hint="eastAsia" w:ascii="仿宋_GB2312" w:eastAsia="仿宋_GB2312"/>
          <w:bCs/>
          <w:sz w:val="32"/>
          <w:szCs w:val="32"/>
          <w:lang w:eastAsia="zh-CN"/>
        </w:rPr>
        <w:t>。</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11" w:type="default"/>
      <w:footerReference r:id="rId12"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2E338A52"/>
    <w:multiLevelType w:val="singleLevel"/>
    <w:tmpl w:val="2E338A52"/>
    <w:lvl w:ilvl="0" w:tentative="0">
      <w:start w:val="1"/>
      <w:numFmt w:val="decimal"/>
      <w:lvlText w:val="%1."/>
      <w:lvlJc w:val="left"/>
      <w:pPr>
        <w:tabs>
          <w:tab w:val="left" w:pos="312"/>
        </w:tabs>
        <w:ind w:left="480" w:leftChars="0" w:firstLine="0" w:firstLineChars="0"/>
      </w:p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452ABE"/>
    <w:rsid w:val="006C1367"/>
    <w:rsid w:val="00715385"/>
    <w:rsid w:val="00F66C5B"/>
    <w:rsid w:val="017124A6"/>
    <w:rsid w:val="01DE0A2F"/>
    <w:rsid w:val="02625DEF"/>
    <w:rsid w:val="03162B2B"/>
    <w:rsid w:val="034F1C89"/>
    <w:rsid w:val="03D9645C"/>
    <w:rsid w:val="04135F21"/>
    <w:rsid w:val="04186437"/>
    <w:rsid w:val="05B44D49"/>
    <w:rsid w:val="0675026C"/>
    <w:rsid w:val="07235684"/>
    <w:rsid w:val="079F3D51"/>
    <w:rsid w:val="07C73642"/>
    <w:rsid w:val="08C8368E"/>
    <w:rsid w:val="093B1DC2"/>
    <w:rsid w:val="096C0242"/>
    <w:rsid w:val="09DD2FD1"/>
    <w:rsid w:val="0A9B3DFB"/>
    <w:rsid w:val="0AC664D6"/>
    <w:rsid w:val="0AF360C4"/>
    <w:rsid w:val="0BD936D7"/>
    <w:rsid w:val="0C192059"/>
    <w:rsid w:val="0C854822"/>
    <w:rsid w:val="0CFE31FD"/>
    <w:rsid w:val="0DF34AC9"/>
    <w:rsid w:val="0E045F2F"/>
    <w:rsid w:val="0E074DDF"/>
    <w:rsid w:val="0E2C385F"/>
    <w:rsid w:val="0E98292E"/>
    <w:rsid w:val="0FA90EB3"/>
    <w:rsid w:val="0FC20AEE"/>
    <w:rsid w:val="0FDF2F3B"/>
    <w:rsid w:val="100839FD"/>
    <w:rsid w:val="102820EC"/>
    <w:rsid w:val="10BB1A73"/>
    <w:rsid w:val="10E75933"/>
    <w:rsid w:val="10F7172E"/>
    <w:rsid w:val="11C343E9"/>
    <w:rsid w:val="124204B5"/>
    <w:rsid w:val="12DB1A14"/>
    <w:rsid w:val="13591016"/>
    <w:rsid w:val="13EB7457"/>
    <w:rsid w:val="15410D28"/>
    <w:rsid w:val="158C435F"/>
    <w:rsid w:val="15B46917"/>
    <w:rsid w:val="15C11403"/>
    <w:rsid w:val="15E30A89"/>
    <w:rsid w:val="15FF1D98"/>
    <w:rsid w:val="1624448F"/>
    <w:rsid w:val="16D347D0"/>
    <w:rsid w:val="17A43D78"/>
    <w:rsid w:val="17CD3E87"/>
    <w:rsid w:val="182962AB"/>
    <w:rsid w:val="186C13B3"/>
    <w:rsid w:val="18977447"/>
    <w:rsid w:val="18D1318E"/>
    <w:rsid w:val="190F210A"/>
    <w:rsid w:val="197F4A4E"/>
    <w:rsid w:val="19D073EB"/>
    <w:rsid w:val="19E62B88"/>
    <w:rsid w:val="1A126421"/>
    <w:rsid w:val="1A2E0341"/>
    <w:rsid w:val="1A586355"/>
    <w:rsid w:val="1C4E5A1B"/>
    <w:rsid w:val="1CC31F67"/>
    <w:rsid w:val="1D702C3F"/>
    <w:rsid w:val="1E222CC5"/>
    <w:rsid w:val="1F4A3C54"/>
    <w:rsid w:val="1F5E09A6"/>
    <w:rsid w:val="1F962D8F"/>
    <w:rsid w:val="1F9B3795"/>
    <w:rsid w:val="1FEB557E"/>
    <w:rsid w:val="204451DB"/>
    <w:rsid w:val="207B6094"/>
    <w:rsid w:val="20D757A0"/>
    <w:rsid w:val="20F36B91"/>
    <w:rsid w:val="21557306"/>
    <w:rsid w:val="215A4FB8"/>
    <w:rsid w:val="21CA5B44"/>
    <w:rsid w:val="21E72216"/>
    <w:rsid w:val="220E651B"/>
    <w:rsid w:val="23480BBB"/>
    <w:rsid w:val="24B93C7C"/>
    <w:rsid w:val="24D337DC"/>
    <w:rsid w:val="26460DBA"/>
    <w:rsid w:val="265E10E6"/>
    <w:rsid w:val="26F61189"/>
    <w:rsid w:val="270933F2"/>
    <w:rsid w:val="274E2D73"/>
    <w:rsid w:val="27CA2BB8"/>
    <w:rsid w:val="27E350DF"/>
    <w:rsid w:val="28DC6D98"/>
    <w:rsid w:val="2987256D"/>
    <w:rsid w:val="29CD5726"/>
    <w:rsid w:val="2A5E55C1"/>
    <w:rsid w:val="2A98786A"/>
    <w:rsid w:val="2AB512BE"/>
    <w:rsid w:val="2ADF3E6E"/>
    <w:rsid w:val="2B1B6B2E"/>
    <w:rsid w:val="2B31395F"/>
    <w:rsid w:val="2B6F74EB"/>
    <w:rsid w:val="2BEE7E4F"/>
    <w:rsid w:val="2C4219FE"/>
    <w:rsid w:val="2D0839C4"/>
    <w:rsid w:val="2E152393"/>
    <w:rsid w:val="2EC237CC"/>
    <w:rsid w:val="2EE220F8"/>
    <w:rsid w:val="2FD32EFF"/>
    <w:rsid w:val="30C07B05"/>
    <w:rsid w:val="31BA6ACB"/>
    <w:rsid w:val="32632A91"/>
    <w:rsid w:val="34020F86"/>
    <w:rsid w:val="34686772"/>
    <w:rsid w:val="34B5257A"/>
    <w:rsid w:val="356B2A36"/>
    <w:rsid w:val="35D64F19"/>
    <w:rsid w:val="36650DCF"/>
    <w:rsid w:val="382F44FB"/>
    <w:rsid w:val="393178C4"/>
    <w:rsid w:val="39A63F06"/>
    <w:rsid w:val="39FA520A"/>
    <w:rsid w:val="3A0312CA"/>
    <w:rsid w:val="3A146F50"/>
    <w:rsid w:val="3A411CF3"/>
    <w:rsid w:val="3A47183C"/>
    <w:rsid w:val="3AEB238D"/>
    <w:rsid w:val="3BC81825"/>
    <w:rsid w:val="3C7940F8"/>
    <w:rsid w:val="3CCF3603"/>
    <w:rsid w:val="3D1430AB"/>
    <w:rsid w:val="3D415C93"/>
    <w:rsid w:val="3DEF1285"/>
    <w:rsid w:val="3E187E00"/>
    <w:rsid w:val="3E1E4A11"/>
    <w:rsid w:val="3ED1439F"/>
    <w:rsid w:val="3F4B4855"/>
    <w:rsid w:val="3F4B5BF3"/>
    <w:rsid w:val="3FA13041"/>
    <w:rsid w:val="3FBB34AE"/>
    <w:rsid w:val="4002438F"/>
    <w:rsid w:val="40C538BD"/>
    <w:rsid w:val="40E67A49"/>
    <w:rsid w:val="41082560"/>
    <w:rsid w:val="42051B07"/>
    <w:rsid w:val="429844DF"/>
    <w:rsid w:val="42AA1820"/>
    <w:rsid w:val="42D9074E"/>
    <w:rsid w:val="43035922"/>
    <w:rsid w:val="431408C9"/>
    <w:rsid w:val="438B4830"/>
    <w:rsid w:val="438F2568"/>
    <w:rsid w:val="43E67A84"/>
    <w:rsid w:val="441950F0"/>
    <w:rsid w:val="44A26055"/>
    <w:rsid w:val="45762FEA"/>
    <w:rsid w:val="45930F62"/>
    <w:rsid w:val="45AD2E69"/>
    <w:rsid w:val="464A14B7"/>
    <w:rsid w:val="47843CCC"/>
    <w:rsid w:val="48284E00"/>
    <w:rsid w:val="48362575"/>
    <w:rsid w:val="48374EDC"/>
    <w:rsid w:val="48896B80"/>
    <w:rsid w:val="48FB762B"/>
    <w:rsid w:val="490304F1"/>
    <w:rsid w:val="492E786D"/>
    <w:rsid w:val="4B9300F6"/>
    <w:rsid w:val="4BDD5C59"/>
    <w:rsid w:val="4C256E3D"/>
    <w:rsid w:val="4C4078BA"/>
    <w:rsid w:val="4CB52F0F"/>
    <w:rsid w:val="4CBA16B3"/>
    <w:rsid w:val="4DAD3AA0"/>
    <w:rsid w:val="4E5A598E"/>
    <w:rsid w:val="4EB86BA1"/>
    <w:rsid w:val="4ED803ED"/>
    <w:rsid w:val="4EFB6A8D"/>
    <w:rsid w:val="506F3C18"/>
    <w:rsid w:val="50E87846"/>
    <w:rsid w:val="532F1F9A"/>
    <w:rsid w:val="53CA16E9"/>
    <w:rsid w:val="53E54DAB"/>
    <w:rsid w:val="541715EC"/>
    <w:rsid w:val="54B0236F"/>
    <w:rsid w:val="55422701"/>
    <w:rsid w:val="55B55ED7"/>
    <w:rsid w:val="55D839ED"/>
    <w:rsid w:val="5645747B"/>
    <w:rsid w:val="56554937"/>
    <w:rsid w:val="56EB1BB0"/>
    <w:rsid w:val="56F82644"/>
    <w:rsid w:val="572A4BBB"/>
    <w:rsid w:val="578F09F5"/>
    <w:rsid w:val="57F13571"/>
    <w:rsid w:val="57FE6C41"/>
    <w:rsid w:val="58837181"/>
    <w:rsid w:val="58924378"/>
    <w:rsid w:val="58A40196"/>
    <w:rsid w:val="58BB3AD4"/>
    <w:rsid w:val="59BB4D8A"/>
    <w:rsid w:val="5B7939E9"/>
    <w:rsid w:val="5BB22F18"/>
    <w:rsid w:val="5C2F59A4"/>
    <w:rsid w:val="5C8430AE"/>
    <w:rsid w:val="5D181428"/>
    <w:rsid w:val="5E337FF2"/>
    <w:rsid w:val="5E49008E"/>
    <w:rsid w:val="5E995A3E"/>
    <w:rsid w:val="5EA302C9"/>
    <w:rsid w:val="5EB04AC5"/>
    <w:rsid w:val="5F702B80"/>
    <w:rsid w:val="5FCE37C5"/>
    <w:rsid w:val="60100DA1"/>
    <w:rsid w:val="60DA13F7"/>
    <w:rsid w:val="61685272"/>
    <w:rsid w:val="616C0CA5"/>
    <w:rsid w:val="616C7312"/>
    <w:rsid w:val="61CB29DC"/>
    <w:rsid w:val="61E751C5"/>
    <w:rsid w:val="62163194"/>
    <w:rsid w:val="62371FDD"/>
    <w:rsid w:val="624D024D"/>
    <w:rsid w:val="62623495"/>
    <w:rsid w:val="6312448D"/>
    <w:rsid w:val="639D06F9"/>
    <w:rsid w:val="646A11F0"/>
    <w:rsid w:val="646D6276"/>
    <w:rsid w:val="649531D0"/>
    <w:rsid w:val="64AE4B1D"/>
    <w:rsid w:val="650E086A"/>
    <w:rsid w:val="65202D7A"/>
    <w:rsid w:val="66D41A28"/>
    <w:rsid w:val="67514E23"/>
    <w:rsid w:val="683A259A"/>
    <w:rsid w:val="68636FFB"/>
    <w:rsid w:val="69711E32"/>
    <w:rsid w:val="69A067D9"/>
    <w:rsid w:val="6B4D0B44"/>
    <w:rsid w:val="6BAA0708"/>
    <w:rsid w:val="6BB379D0"/>
    <w:rsid w:val="6BFD481D"/>
    <w:rsid w:val="6C336151"/>
    <w:rsid w:val="6C8F1D09"/>
    <w:rsid w:val="6CDF2999"/>
    <w:rsid w:val="6D455A15"/>
    <w:rsid w:val="6DE035C6"/>
    <w:rsid w:val="6E1220D4"/>
    <w:rsid w:val="6E32634D"/>
    <w:rsid w:val="6E906D9A"/>
    <w:rsid w:val="6EE91FA2"/>
    <w:rsid w:val="6FDC00F3"/>
    <w:rsid w:val="70A77B1D"/>
    <w:rsid w:val="715447DF"/>
    <w:rsid w:val="71691796"/>
    <w:rsid w:val="71DC30E7"/>
    <w:rsid w:val="71EA0998"/>
    <w:rsid w:val="721543A5"/>
    <w:rsid w:val="72AA4962"/>
    <w:rsid w:val="73AA6E33"/>
    <w:rsid w:val="73C144FF"/>
    <w:rsid w:val="73EF6147"/>
    <w:rsid w:val="745E78E2"/>
    <w:rsid w:val="74782CAA"/>
    <w:rsid w:val="753366D1"/>
    <w:rsid w:val="756A2A6F"/>
    <w:rsid w:val="767121E1"/>
    <w:rsid w:val="77955421"/>
    <w:rsid w:val="77AF41BA"/>
    <w:rsid w:val="78A04E59"/>
    <w:rsid w:val="797C3B9A"/>
    <w:rsid w:val="79C8563A"/>
    <w:rsid w:val="7A852CBB"/>
    <w:rsid w:val="7AA7125B"/>
    <w:rsid w:val="7B22094B"/>
    <w:rsid w:val="7B2A3090"/>
    <w:rsid w:val="7B8C7644"/>
    <w:rsid w:val="7C8C05C4"/>
    <w:rsid w:val="7CAF2CE3"/>
    <w:rsid w:val="7DC53077"/>
    <w:rsid w:val="7DE71BE0"/>
    <w:rsid w:val="7DEA5BA9"/>
    <w:rsid w:val="7F1A09F8"/>
    <w:rsid w:val="7FF058EB"/>
    <w:rsid w:val="7FF5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7143</Words>
  <Characters>9908</Characters>
  <Lines>60</Lines>
  <Paragraphs>17</Paragraphs>
  <TotalTime>20</TotalTime>
  <ScaleCrop>false</ScaleCrop>
  <LinksUpToDate>false</LinksUpToDate>
  <CharactersWithSpaces>10377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2022-11-01T07:17:12Z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B159AF17AB4646EF88544CA189CB4EAC</vt:lpwstr>
  </property>
</Properties>
</file>