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鱼峰区人民检察院</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年度决算公开</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鱼峰检察院</w:t>
      </w:r>
      <w:r>
        <w:rPr>
          <w:rFonts w:hint="eastAsia" w:ascii="仿宋_GB2312" w:eastAsia="仿宋_GB2312"/>
          <w:b/>
          <w:sz w:val="32"/>
          <w:szCs w:val="32"/>
        </w:rPr>
        <w:t>概况</w:t>
      </w:r>
    </w:p>
    <w:p>
      <w:pPr>
        <w:pStyle w:val="11"/>
        <w:numPr>
          <w:ilvl w:val="0"/>
          <w:numId w:val="1"/>
        </w:numPr>
        <w:ind w:firstLineChars="0"/>
        <w:rPr>
          <w:rFonts w:ascii="仿宋_GB2312" w:eastAsia="仿宋_GB2312"/>
          <w:sz w:val="32"/>
          <w:szCs w:val="32"/>
        </w:rPr>
      </w:pPr>
      <w:r>
        <w:rPr>
          <w:rFonts w:hint="eastAsia" w:ascii="仿宋_GB2312" w:eastAsia="仿宋_GB2312"/>
          <w:sz w:val="32"/>
          <w:szCs w:val="32"/>
        </w:rPr>
        <w:t>主要职能</w:t>
      </w:r>
    </w:p>
    <w:p>
      <w:pPr>
        <w:ind w:firstLine="645"/>
        <w:rPr>
          <w:rFonts w:ascii="仿宋_GB2312" w:eastAsia="仿宋_GB2312"/>
          <w:sz w:val="32"/>
          <w:szCs w:val="32"/>
        </w:rPr>
      </w:pPr>
      <w:r>
        <w:rPr>
          <w:rFonts w:hint="eastAsia" w:ascii="仿宋_GB2312" w:eastAsia="仿宋_GB2312"/>
          <w:sz w:val="32"/>
          <w:szCs w:val="32"/>
        </w:rPr>
        <w:t>二、决算单位构成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鱼峰检察院</w:t>
      </w:r>
      <w:r>
        <w:rPr>
          <w:rFonts w:hint="eastAsia" w:ascii="仿宋_GB2312" w:eastAsia="仿宋_GB2312"/>
          <w:b/>
          <w:sz w:val="32"/>
          <w:szCs w:val="32"/>
        </w:rPr>
        <w:t>2020年决算报表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w:t>
      </w:r>
      <w:r>
        <w:rPr>
          <w:rFonts w:hint="eastAsia" w:ascii="仿宋_GB2312" w:hAnsi="黑体" w:eastAsia="仿宋_GB2312"/>
          <w:color w:val="000000" w:themeColor="text1"/>
          <w:sz w:val="32"/>
          <w:szCs w:val="32"/>
        </w:rPr>
        <w:t>款</w:t>
      </w:r>
      <w:r>
        <w:rPr>
          <w:rFonts w:hint="eastAsia" w:ascii="仿宋_GB2312" w:eastAsia="仿宋_GB2312"/>
          <w:color w:val="000000" w:themeColor="text1"/>
          <w:sz w:val="32"/>
          <w:szCs w:val="32"/>
        </w:rPr>
        <w:t>收入支</w:t>
      </w:r>
      <w:r>
        <w:rPr>
          <w:rFonts w:hint="eastAsia" w:ascii="仿宋_GB2312" w:eastAsia="仿宋_GB2312"/>
          <w:sz w:val="32"/>
          <w:szCs w:val="32"/>
        </w:rPr>
        <w:t>出决算表</w:t>
      </w:r>
    </w:p>
    <w:p>
      <w:pPr>
        <w:ind w:left="645"/>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鱼峰检察院</w:t>
      </w:r>
      <w:r>
        <w:rPr>
          <w:rFonts w:hint="eastAsia" w:ascii="仿宋_GB2312" w:eastAsia="仿宋_GB2312"/>
          <w:b/>
          <w:sz w:val="32"/>
          <w:szCs w:val="32"/>
        </w:rPr>
        <w:t>2020年度决算情况说明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hAnsi="黑体" w:eastAsia="仿宋_GB2312"/>
          <w:color w:val="000000" w:themeColor="text1"/>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鱼峰检察院</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numPr>
          <w:ilvl w:val="0"/>
          <w:numId w:val="2"/>
        </w:numPr>
        <w:spacing w:line="560" w:lineRule="exact"/>
        <w:rPr>
          <w:rFonts w:ascii="仿宋_GB2312" w:eastAsia="仿宋_GB2312"/>
          <w:sz w:val="30"/>
          <w:szCs w:val="30"/>
        </w:rPr>
      </w:pPr>
      <w:r>
        <w:rPr>
          <w:rFonts w:hint="eastAsia" w:ascii="仿宋_GB2312" w:eastAsia="仿宋_GB2312"/>
          <w:sz w:val="30"/>
          <w:szCs w:val="30"/>
        </w:rPr>
        <w:t>基本职能</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柳州市鱼峰区人民检察院是国家法律监督机关，依法独立行使检察权，维护国家法律的正确实施，严厉打击各种刑事犯罪。对公安机关、国家安全机关等侦查机关侦查的案件进行审查，决定是否逮捕、起诉或者不起诉，并对侦查机关的侦查活动是否合法实行监督；对刑事案件提起公诉，支持公诉；对人民法院的刑事判决、裁定是否正确和审判活动是否合法实行监督；对监狱、看守所等执行机关执行刑罚的活动是否合法实行监督；对人民法院的民事审判活动实行法律监督，对人民法院已经发生效力的判决、裁定，发现违反法律、法规规定的，依法提出抗诉；对行政诉讼实行法律监督;对人民法院已经发生效力的判决、裁定发现违反法律、法规规定的，依法提出抗诉；同时接受同级人大常委会的法律监督，政协和社会各界人士的民主监督，对同级人民代表大会及其常务委员会负责并报告工作。 </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（二）主要工作</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1、认真履行法律监督职责。强化监督意识，进一步突出侦查监督和诉讼监督重点，抓住关系民生的突出问题，重点监督、纠正有案不立、以罚代刑、裁判不公等问题，增强群众对公正司法的信心。整合监督力量，完善不同诉讼阶段的通报制度和备案制度，加强内部各职能部门的监督配合。完善监督评价、绩效考核等激励机制，进一步调动和激发检察人员的监督积极性。加强与政法各单位的沟通联系，积极营造良好的监督环境。创新工作方式，进一步提高诉讼监督实效，在总结工作经验的基础上，创新思路，破解难点。 </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2、加强干部队伍建设。坚持以党建带队建，深入推进队伍思想教育培训，坚定理想信念，建立检察职业道德教育的长效机制，打牢公正廉洁执法的思想根基。扎实开展社会主义法治理念教育和依法办案警示教育，培育良好的职业道德和职业操守，忠实的品格和敬业精神，推进高层次人才建设。强化自身监督，坚持从严治检，认真落实党风廉政建设责任制，以加强纪律作风建设作为监督管理队伍的一个重要手段，适时开展以加强作风建设为的专题活动，促进全体检察人员的作风转变。    </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3、提高执法规范化程度。加强对执法办案活动的监督，强化对办案的全程监督力度，对重点执法岗位、执法环节、执法人员的认真开展执法规范化监督，适时开展遵守检风检纪情况的检务督察，确保公正执法，依法办案。同时，牢固树立监督者更要接受监督的意识，坚持将检察工作置于人大和社会各界监督之下，积极邀请人大代表、政协委员、特约检察员、人民监督员参加观摩案件庭审和案件评查，广泛听取意见和建议，有针对性地改进我院检察工作。 </w:t>
      </w:r>
    </w:p>
    <w:p>
      <w:pPr>
        <w:ind w:firstLine="646"/>
        <w:rPr>
          <w:rFonts w:ascii="仿宋_GB2312" w:eastAsia="仿宋_GB2312"/>
          <w:sz w:val="32"/>
          <w:szCs w:val="32"/>
        </w:rPr>
      </w:pPr>
      <w:r>
        <w:rPr>
          <w:rFonts w:hint="eastAsia" w:ascii="仿宋_GB2312" w:eastAsia="仿宋_GB2312"/>
          <w:sz w:val="32"/>
          <w:szCs w:val="32"/>
        </w:rPr>
        <w:t>二、决算单位构成</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柳州市鱼峰区人民检察院单位性质为行政单位，无下属二级单位。 </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单位人员编制总数为48个，其中政法专项编制43个。实有财政供养人数40人，其中在职干警40人，事业在职0人，离退休人员20人。 </w:t>
      </w:r>
    </w:p>
    <w:p>
      <w:pPr>
        <w:jc w:val="center"/>
      </w:pP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鱼峰检察院</w:t>
      </w:r>
      <w:r>
        <w:rPr>
          <w:rFonts w:hint="eastAsia" w:ascii="仿宋_GB2312" w:eastAsia="仿宋_GB2312"/>
          <w:b/>
          <w:sz w:val="32"/>
          <w:szCs w:val="32"/>
        </w:rPr>
        <w:t xml:space="preserve"> 2020年决算报表</w:t>
      </w:r>
    </w:p>
    <w:p>
      <w:pPr>
        <w:ind w:firstLine="640" w:firstLineChars="200"/>
        <w:rPr>
          <w:rFonts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tbl>
      <w:tblPr>
        <w:tblStyle w:val="5"/>
        <w:tblW w:w="8813" w:type="dxa"/>
        <w:jc w:val="center"/>
        <w:tblLayout w:type="fixed"/>
        <w:tblCellMar>
          <w:top w:w="0" w:type="dxa"/>
          <w:left w:w="108" w:type="dxa"/>
          <w:bottom w:w="0" w:type="dxa"/>
          <w:right w:w="108" w:type="dxa"/>
        </w:tblCellMar>
      </w:tblPr>
      <w:tblGrid>
        <w:gridCol w:w="2895"/>
        <w:gridCol w:w="1085"/>
        <w:gridCol w:w="3123"/>
        <w:gridCol w:w="1710"/>
      </w:tblGrid>
      <w:tr>
        <w:tblPrEx>
          <w:tblCellMar>
            <w:top w:w="0" w:type="dxa"/>
            <w:left w:w="108" w:type="dxa"/>
            <w:bottom w:w="0" w:type="dxa"/>
            <w:right w:w="108" w:type="dxa"/>
          </w:tblCellMar>
        </w:tblPrEx>
        <w:trPr>
          <w:wAfter w:w="0" w:type="auto"/>
          <w:trHeight w:val="570" w:hRule="atLeast"/>
          <w:jc w:val="center"/>
        </w:trPr>
        <w:tc>
          <w:tcPr>
            <w:tcW w:w="8813"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83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7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989.94</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7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7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7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7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五、文化旅游体育与传媒支出</w:t>
            </w:r>
          </w:p>
        </w:tc>
        <w:tc>
          <w:tcPr>
            <w:tcW w:w="17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六、公共安全支出</w:t>
            </w:r>
          </w:p>
        </w:tc>
        <w:tc>
          <w:tcPr>
            <w:tcW w:w="17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782.21</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703.13</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七、社会保障和就业支出</w:t>
            </w:r>
          </w:p>
        </w:tc>
        <w:tc>
          <w:tcPr>
            <w:tcW w:w="17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106.03</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八、卫生健康支出</w:t>
            </w:r>
          </w:p>
        </w:tc>
        <w:tc>
          <w:tcPr>
            <w:tcW w:w="17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65.06</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九、住房保障支出</w:t>
            </w:r>
          </w:p>
        </w:tc>
        <w:tc>
          <w:tcPr>
            <w:tcW w:w="17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36.64</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十、其他支出</w:t>
            </w:r>
          </w:p>
        </w:tc>
        <w:tc>
          <w:tcPr>
            <w:tcW w:w="17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703.13</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7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1693.07</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710" w:type="dxa"/>
            <w:tcBorders>
              <w:top w:val="nil"/>
              <w:left w:val="nil"/>
              <w:bottom w:val="single" w:color="auto" w:sz="4" w:space="0"/>
              <w:right w:val="single" w:color="auto" w:sz="4" w:space="0"/>
            </w:tcBorders>
            <w:vAlign w:val="center"/>
          </w:tcPr>
          <w:p>
            <w:pPr>
              <w:widowControl/>
              <w:jc w:val="left"/>
              <w:rPr>
                <w:rFonts w:ascii="宋体" w:hAnsi="宋体" w:cs="宋体"/>
                <w:b/>
                <w:color w:val="000000"/>
                <w:kern w:val="0"/>
                <w:sz w:val="22"/>
                <w:szCs w:val="22"/>
              </w:rPr>
            </w:pPr>
            <w:r>
              <w:rPr>
                <w:rFonts w:hint="eastAsia" w:ascii="宋体" w:hAnsi="宋体" w:cs="宋体"/>
                <w:b/>
                <w:color w:val="000000"/>
                <w:kern w:val="0"/>
                <w:sz w:val="22"/>
                <w:szCs w:val="22"/>
              </w:rPr>
              <w:t>　1693.07</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7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316.6</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7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316.3</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7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2009.67</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710" w:type="dxa"/>
            <w:tcBorders>
              <w:top w:val="nil"/>
              <w:left w:val="nil"/>
              <w:bottom w:val="single" w:color="auto" w:sz="4" w:space="0"/>
              <w:right w:val="single" w:color="auto" w:sz="4" w:space="0"/>
            </w:tcBorders>
            <w:vAlign w:val="center"/>
          </w:tcPr>
          <w:p>
            <w:pPr>
              <w:widowControl/>
              <w:jc w:val="left"/>
              <w:rPr>
                <w:rFonts w:ascii="宋体" w:hAnsi="宋体" w:cs="宋体"/>
                <w:b/>
                <w:color w:val="000000"/>
                <w:kern w:val="0"/>
                <w:sz w:val="22"/>
                <w:szCs w:val="22"/>
              </w:rPr>
            </w:pPr>
            <w:r>
              <w:rPr>
                <w:rFonts w:hint="eastAsia" w:ascii="宋体" w:hAnsi="宋体" w:cs="宋体"/>
                <w:b/>
                <w:color w:val="000000"/>
                <w:kern w:val="0"/>
                <w:sz w:val="22"/>
                <w:szCs w:val="22"/>
              </w:rPr>
              <w:t>　2009.67</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71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p>
        </w:tc>
        <w:tc>
          <w:tcPr>
            <w:tcW w:w="1710" w:type="dxa"/>
            <w:tcBorders>
              <w:top w:val="nil"/>
              <w:left w:val="nil"/>
              <w:bottom w:val="single" w:color="auto" w:sz="4" w:space="0"/>
              <w:right w:val="single" w:color="auto" w:sz="4" w:space="0"/>
            </w:tcBorders>
            <w:vAlign w:val="center"/>
          </w:tcPr>
          <w:p>
            <w:pPr>
              <w:widowControl/>
              <w:jc w:val="left"/>
              <w:rPr>
                <w:rFonts w:ascii="宋体" w:hAnsi="宋体" w:cs="宋体"/>
                <w:b/>
                <w:color w:val="000000"/>
                <w:kern w:val="0"/>
                <w:sz w:val="22"/>
                <w:szCs w:val="22"/>
              </w:rPr>
            </w:pP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5"/>
        <w:tblW w:w="14140" w:type="dxa"/>
        <w:jc w:val="center"/>
        <w:tblLayout w:type="fixed"/>
        <w:tblCellMar>
          <w:top w:w="0" w:type="dxa"/>
          <w:left w:w="108" w:type="dxa"/>
          <w:bottom w:w="0" w:type="dxa"/>
          <w:right w:w="108" w:type="dxa"/>
        </w:tblCellMar>
      </w:tblPr>
      <w:tblGrid>
        <w:gridCol w:w="960"/>
        <w:gridCol w:w="2400"/>
        <w:gridCol w:w="1540"/>
        <w:gridCol w:w="1540"/>
        <w:gridCol w:w="1540"/>
        <w:gridCol w:w="1540"/>
        <w:gridCol w:w="1540"/>
        <w:gridCol w:w="1540"/>
        <w:gridCol w:w="1540"/>
      </w:tblGrid>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4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事业收入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24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Borders>
              <w:top w:val="nil"/>
              <w:left w:val="single" w:color="auto" w:sz="4" w:space="0"/>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40" w:type="dxa"/>
            <w:tcBorders>
              <w:top w:val="nil"/>
              <w:left w:val="nil"/>
              <w:bottom w:val="single" w:color="auto" w:sz="4" w:space="0"/>
              <w:right w:val="single" w:color="auto" w:sz="4" w:space="0"/>
            </w:tcBorders>
            <w:vAlign w:val="center"/>
          </w:tcPr>
          <w:p>
            <w:pPr>
              <w:jc w:val="right"/>
              <w:rPr>
                <w:rFonts w:ascii="宋体" w:hAnsi="宋体" w:cs="Arial"/>
                <w:b/>
                <w:bCs/>
                <w:color w:val="000000"/>
                <w:sz w:val="22"/>
                <w:szCs w:val="22"/>
              </w:rPr>
            </w:pPr>
            <w:r>
              <w:rPr>
                <w:rFonts w:hint="eastAsia" w:cs="Arial"/>
                <w:b/>
                <w:bCs/>
                <w:color w:val="000000"/>
                <w:sz w:val="22"/>
                <w:szCs w:val="22"/>
              </w:rPr>
              <w:t>1,693.07</w:t>
            </w:r>
          </w:p>
        </w:tc>
        <w:tc>
          <w:tcPr>
            <w:tcW w:w="1540" w:type="dxa"/>
            <w:tcBorders>
              <w:top w:val="nil"/>
              <w:left w:val="nil"/>
              <w:bottom w:val="single" w:color="auto" w:sz="4" w:space="0"/>
              <w:right w:val="single" w:color="auto" w:sz="4" w:space="0"/>
            </w:tcBorders>
            <w:vAlign w:val="center"/>
          </w:tcPr>
          <w:p>
            <w:pPr>
              <w:jc w:val="right"/>
              <w:rPr>
                <w:rFonts w:ascii="宋体" w:hAnsi="宋体" w:cs="Arial"/>
                <w:b/>
                <w:bCs/>
                <w:color w:val="000000"/>
                <w:sz w:val="22"/>
                <w:szCs w:val="22"/>
              </w:rPr>
            </w:pPr>
            <w:r>
              <w:rPr>
                <w:rFonts w:hint="eastAsia" w:cs="Arial"/>
                <w:b/>
                <w:bCs/>
                <w:color w:val="000000"/>
                <w:sz w:val="22"/>
                <w:szCs w:val="22"/>
              </w:rPr>
              <w:t>989.94</w:t>
            </w:r>
          </w:p>
        </w:tc>
        <w:tc>
          <w:tcPr>
            <w:tcW w:w="1540" w:type="dxa"/>
            <w:tcBorders>
              <w:top w:val="nil"/>
              <w:left w:val="nil"/>
              <w:bottom w:val="single" w:color="auto" w:sz="4" w:space="0"/>
              <w:right w:val="single" w:color="auto" w:sz="4" w:space="0"/>
            </w:tcBorders>
            <w:vAlign w:val="center"/>
          </w:tcPr>
          <w:p>
            <w:pPr>
              <w:jc w:val="right"/>
              <w:rPr>
                <w:rFonts w:ascii="宋体" w:hAnsi="宋体" w:cs="Arial"/>
                <w:b/>
                <w:bCs/>
                <w:color w:val="000000"/>
                <w:sz w:val="22"/>
                <w:szCs w:val="22"/>
              </w:rPr>
            </w:pPr>
            <w:r>
              <w:rPr>
                <w:rFonts w:hint="eastAsia" w:cs="Arial"/>
                <w:b/>
                <w:bCs/>
                <w:color w:val="000000"/>
                <w:sz w:val="22"/>
                <w:szCs w:val="22"/>
              </w:rPr>
              <w:t>0.00</w:t>
            </w:r>
          </w:p>
        </w:tc>
        <w:tc>
          <w:tcPr>
            <w:tcW w:w="1540" w:type="dxa"/>
            <w:tcBorders>
              <w:top w:val="single" w:color="auto" w:sz="4" w:space="0"/>
              <w:left w:val="nil"/>
              <w:bottom w:val="single" w:color="auto" w:sz="4" w:space="0"/>
              <w:right w:val="single" w:color="auto" w:sz="4" w:space="0"/>
            </w:tcBorders>
            <w:vAlign w:val="center"/>
          </w:tcPr>
          <w:p>
            <w:pPr>
              <w:jc w:val="right"/>
              <w:rPr>
                <w:rFonts w:ascii="宋体" w:hAnsi="宋体" w:cs="Arial"/>
                <w:b/>
                <w:bCs/>
                <w:color w:val="000000"/>
                <w:sz w:val="22"/>
                <w:szCs w:val="22"/>
              </w:rPr>
            </w:pPr>
            <w:r>
              <w:rPr>
                <w:rFonts w:hint="eastAsia" w:cs="Arial"/>
                <w:b/>
                <w:bCs/>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b/>
                <w:bCs/>
                <w:color w:val="000000"/>
                <w:sz w:val="22"/>
                <w:szCs w:val="22"/>
              </w:rPr>
            </w:pPr>
            <w:r>
              <w:rPr>
                <w:rFonts w:hint="eastAsia" w:cs="Arial"/>
                <w:b/>
                <w:bCs/>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b/>
                <w:bCs/>
                <w:color w:val="000000"/>
                <w:sz w:val="22"/>
                <w:szCs w:val="22"/>
              </w:rPr>
            </w:pPr>
            <w:r>
              <w:rPr>
                <w:rFonts w:hint="eastAsia" w:cs="Arial"/>
                <w:b/>
                <w:bCs/>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b/>
                <w:bCs/>
                <w:color w:val="000000"/>
                <w:sz w:val="22"/>
                <w:szCs w:val="22"/>
              </w:rPr>
            </w:pPr>
            <w:r>
              <w:rPr>
                <w:rFonts w:hint="eastAsia" w:cs="Arial"/>
                <w:b/>
                <w:bCs/>
                <w:color w:val="000000"/>
                <w:sz w:val="22"/>
                <w:szCs w:val="22"/>
              </w:rPr>
              <w:t>703.13</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204</w:t>
            </w:r>
          </w:p>
        </w:tc>
        <w:tc>
          <w:tcPr>
            <w:tcW w:w="24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公共安全支出</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782.21</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782.21</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20404</w:t>
            </w:r>
          </w:p>
        </w:tc>
        <w:tc>
          <w:tcPr>
            <w:tcW w:w="24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检察</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782.21</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782.21</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2040401</w:t>
            </w:r>
          </w:p>
        </w:tc>
        <w:tc>
          <w:tcPr>
            <w:tcW w:w="24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行政运行</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449.75</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449.75</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2040402</w:t>
            </w:r>
          </w:p>
        </w:tc>
        <w:tc>
          <w:tcPr>
            <w:tcW w:w="24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一般行政管理事务</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296.08</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296.08</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2040410</w:t>
            </w:r>
          </w:p>
        </w:tc>
        <w:tc>
          <w:tcPr>
            <w:tcW w:w="24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检察监督</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36.38</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36.38</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208</w:t>
            </w:r>
          </w:p>
        </w:tc>
        <w:tc>
          <w:tcPr>
            <w:tcW w:w="24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社会保障和就业支出</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106.03</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106.03</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20805</w:t>
            </w:r>
          </w:p>
        </w:tc>
        <w:tc>
          <w:tcPr>
            <w:tcW w:w="24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行政事业单位养老支出</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106.03</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106.03</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2080501</w:t>
            </w:r>
          </w:p>
        </w:tc>
        <w:tc>
          <w:tcPr>
            <w:tcW w:w="24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行政单位离退休</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8.63</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8.63</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2080505</w:t>
            </w:r>
          </w:p>
        </w:tc>
        <w:tc>
          <w:tcPr>
            <w:tcW w:w="24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机关事业单位基本养老保险缴费支出</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64.93</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64.93</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2080506</w:t>
            </w:r>
          </w:p>
        </w:tc>
        <w:tc>
          <w:tcPr>
            <w:tcW w:w="24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机关事业单位职业年金缴费支出</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32.47</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32.47</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hint="eastAsia" w:cs="Arial"/>
                <w:color w:val="000000"/>
                <w:sz w:val="22"/>
                <w:szCs w:val="22"/>
              </w:rPr>
            </w:pPr>
          </w:p>
        </w:tc>
        <w:tc>
          <w:tcPr>
            <w:tcW w:w="2400" w:type="dxa"/>
            <w:tcBorders>
              <w:top w:val="nil"/>
              <w:left w:val="nil"/>
              <w:bottom w:val="single" w:color="auto" w:sz="4" w:space="0"/>
              <w:right w:val="single" w:color="auto" w:sz="4" w:space="0"/>
            </w:tcBorders>
            <w:vAlign w:val="center"/>
          </w:tcPr>
          <w:p>
            <w:pPr>
              <w:rPr>
                <w:rFonts w:hint="eastAsia"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hint="eastAsia"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hint="eastAsia"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hint="eastAsia"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hint="eastAsia"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hint="eastAsia"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hint="eastAsia" w:cs="Arial"/>
                <w:color w:val="000000"/>
                <w:sz w:val="22"/>
                <w:szCs w:val="22"/>
              </w:rPr>
            </w:pPr>
          </w:p>
        </w:tc>
        <w:tc>
          <w:tcPr>
            <w:tcW w:w="1540" w:type="dxa"/>
            <w:tcBorders>
              <w:top w:val="nil"/>
              <w:left w:val="nil"/>
              <w:bottom w:val="single" w:color="auto" w:sz="4" w:space="0"/>
              <w:right w:val="single" w:color="auto" w:sz="4" w:space="0"/>
            </w:tcBorders>
            <w:vAlign w:val="center"/>
          </w:tcPr>
          <w:p>
            <w:pPr>
              <w:jc w:val="right"/>
              <w:rPr>
                <w:rFonts w:hint="eastAsia" w:cs="Arial"/>
                <w:color w:val="000000"/>
                <w:sz w:val="22"/>
                <w:szCs w:val="22"/>
              </w:rPr>
            </w:pP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210</w:t>
            </w:r>
          </w:p>
        </w:tc>
        <w:tc>
          <w:tcPr>
            <w:tcW w:w="24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卫生健康支出</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65.06</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65.06</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21011</w:t>
            </w:r>
          </w:p>
        </w:tc>
        <w:tc>
          <w:tcPr>
            <w:tcW w:w="24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行政事业单位医疗</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65.06</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65.06</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2101101</w:t>
            </w:r>
          </w:p>
        </w:tc>
        <w:tc>
          <w:tcPr>
            <w:tcW w:w="24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行政单位医疗</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30.44</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30.44</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2101103</w:t>
            </w:r>
          </w:p>
        </w:tc>
        <w:tc>
          <w:tcPr>
            <w:tcW w:w="24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公务员医疗补助</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34.62</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34.62</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221</w:t>
            </w:r>
          </w:p>
        </w:tc>
        <w:tc>
          <w:tcPr>
            <w:tcW w:w="24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住房保障支出</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36.64</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36.64</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22102</w:t>
            </w:r>
          </w:p>
        </w:tc>
        <w:tc>
          <w:tcPr>
            <w:tcW w:w="24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住房改革支出</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36.64</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36.64</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2210201</w:t>
            </w:r>
          </w:p>
        </w:tc>
        <w:tc>
          <w:tcPr>
            <w:tcW w:w="24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住房公积金</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36.64</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36.64</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229</w:t>
            </w:r>
          </w:p>
        </w:tc>
        <w:tc>
          <w:tcPr>
            <w:tcW w:w="24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其他支出</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703.13</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703.13</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22999</w:t>
            </w:r>
          </w:p>
        </w:tc>
        <w:tc>
          <w:tcPr>
            <w:tcW w:w="24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其他支出</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703.13</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703.13</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2299901</w:t>
            </w:r>
          </w:p>
        </w:tc>
        <w:tc>
          <w:tcPr>
            <w:tcW w:w="24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其他支出</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703.13</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4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703.13</w:t>
            </w:r>
          </w:p>
        </w:tc>
      </w:tr>
    </w:tbl>
    <w:p/>
    <w:p>
      <w:r>
        <w:rPr>
          <w:rFonts w:hint="eastAsia"/>
        </w:rPr>
        <w:t>注：本表反映本年度取得的各项收入情况。</w:t>
      </w:r>
    </w:p>
    <w:p/>
    <w:p/>
    <w:p/>
    <w:p/>
    <w:p/>
    <w:p/>
    <w:p/>
    <w:p/>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5"/>
        <w:tblW w:w="14049" w:type="dxa"/>
        <w:jc w:val="center"/>
        <w:tblLayout w:type="fixed"/>
        <w:tblCellMar>
          <w:top w:w="0" w:type="dxa"/>
          <w:left w:w="108" w:type="dxa"/>
          <w:bottom w:w="0" w:type="dxa"/>
          <w:right w:w="108" w:type="dxa"/>
        </w:tblCellMar>
      </w:tblPr>
      <w:tblGrid>
        <w:gridCol w:w="1180"/>
        <w:gridCol w:w="1812"/>
        <w:gridCol w:w="1985"/>
        <w:gridCol w:w="1842"/>
        <w:gridCol w:w="1701"/>
        <w:gridCol w:w="1701"/>
        <w:gridCol w:w="1843"/>
        <w:gridCol w:w="1985"/>
      </w:tblGrid>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18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98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985" w:type="dxa"/>
            <w:tcBorders>
              <w:top w:val="nil"/>
              <w:left w:val="nil"/>
              <w:bottom w:val="single" w:color="auto" w:sz="4" w:space="0"/>
              <w:right w:val="single" w:color="auto" w:sz="4" w:space="0"/>
            </w:tcBorders>
            <w:vAlign w:val="center"/>
          </w:tcPr>
          <w:p>
            <w:pPr>
              <w:jc w:val="right"/>
              <w:rPr>
                <w:rFonts w:ascii="宋体" w:hAnsi="宋体" w:cs="Arial"/>
                <w:b/>
                <w:bCs/>
                <w:color w:val="000000"/>
                <w:sz w:val="22"/>
                <w:szCs w:val="22"/>
              </w:rPr>
            </w:pPr>
            <w:r>
              <w:rPr>
                <w:rFonts w:hint="eastAsia" w:cs="Arial"/>
                <w:b/>
                <w:bCs/>
                <w:color w:val="000000"/>
                <w:sz w:val="22"/>
                <w:szCs w:val="22"/>
              </w:rPr>
              <w:t>1,693.07</w:t>
            </w:r>
          </w:p>
        </w:tc>
        <w:tc>
          <w:tcPr>
            <w:tcW w:w="1842" w:type="dxa"/>
            <w:tcBorders>
              <w:top w:val="nil"/>
              <w:left w:val="nil"/>
              <w:bottom w:val="single" w:color="auto" w:sz="4" w:space="0"/>
              <w:right w:val="single" w:color="auto" w:sz="4" w:space="0"/>
            </w:tcBorders>
            <w:vAlign w:val="center"/>
          </w:tcPr>
          <w:p>
            <w:pPr>
              <w:jc w:val="right"/>
              <w:rPr>
                <w:rFonts w:ascii="宋体" w:hAnsi="宋体" w:cs="Arial"/>
                <w:b/>
                <w:bCs/>
                <w:color w:val="000000"/>
                <w:sz w:val="22"/>
                <w:szCs w:val="22"/>
              </w:rPr>
            </w:pPr>
            <w:r>
              <w:rPr>
                <w:rFonts w:hint="eastAsia" w:cs="Arial"/>
                <w:b/>
                <w:bCs/>
                <w:color w:val="000000"/>
                <w:sz w:val="22"/>
                <w:szCs w:val="22"/>
              </w:rPr>
              <w:t>1,023.05</w:t>
            </w:r>
          </w:p>
        </w:tc>
        <w:tc>
          <w:tcPr>
            <w:tcW w:w="1701" w:type="dxa"/>
            <w:tcBorders>
              <w:top w:val="nil"/>
              <w:left w:val="nil"/>
              <w:bottom w:val="single" w:color="auto" w:sz="4" w:space="0"/>
              <w:right w:val="single" w:color="auto" w:sz="4" w:space="0"/>
            </w:tcBorders>
            <w:vAlign w:val="center"/>
          </w:tcPr>
          <w:p>
            <w:pPr>
              <w:jc w:val="right"/>
              <w:rPr>
                <w:rFonts w:ascii="宋体" w:hAnsi="宋体" w:cs="Arial"/>
                <w:b/>
                <w:bCs/>
                <w:color w:val="000000"/>
                <w:sz w:val="22"/>
                <w:szCs w:val="22"/>
              </w:rPr>
            </w:pPr>
            <w:r>
              <w:rPr>
                <w:rFonts w:hint="eastAsia" w:cs="Arial"/>
                <w:b/>
                <w:bCs/>
                <w:color w:val="000000"/>
                <w:sz w:val="22"/>
                <w:szCs w:val="22"/>
              </w:rPr>
              <w:t>670.02</w:t>
            </w:r>
          </w:p>
        </w:tc>
        <w:tc>
          <w:tcPr>
            <w:tcW w:w="1701" w:type="dxa"/>
            <w:tcBorders>
              <w:top w:val="nil"/>
              <w:left w:val="nil"/>
              <w:bottom w:val="single" w:color="auto" w:sz="4" w:space="0"/>
              <w:right w:val="single" w:color="auto" w:sz="4" w:space="0"/>
            </w:tcBorders>
            <w:vAlign w:val="center"/>
          </w:tcPr>
          <w:p>
            <w:pPr>
              <w:jc w:val="right"/>
              <w:rPr>
                <w:rFonts w:ascii="宋体" w:hAnsi="宋体" w:cs="Arial"/>
                <w:b/>
                <w:bCs/>
                <w:color w:val="000000"/>
                <w:sz w:val="22"/>
                <w:szCs w:val="22"/>
              </w:rPr>
            </w:pPr>
            <w:r>
              <w:rPr>
                <w:rFonts w:hint="eastAsia" w:cs="Arial"/>
                <w:b/>
                <w:bCs/>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ascii="宋体" w:hAnsi="宋体" w:cs="Arial"/>
                <w:b/>
                <w:bCs/>
                <w:color w:val="000000"/>
                <w:sz w:val="22"/>
                <w:szCs w:val="22"/>
              </w:rPr>
            </w:pPr>
            <w:r>
              <w:rPr>
                <w:rFonts w:hint="eastAsia" w:cs="Arial"/>
                <w:b/>
                <w:bCs/>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ascii="宋体" w:hAnsi="宋体" w:cs="Arial"/>
                <w:b/>
                <w:bCs/>
                <w:color w:val="000000"/>
                <w:sz w:val="22"/>
                <w:szCs w:val="22"/>
              </w:rPr>
            </w:pPr>
            <w:r>
              <w:rPr>
                <w:rFonts w:hint="eastAsia" w:cs="Arial"/>
                <w:b/>
                <w:bCs/>
                <w:color w:val="000000"/>
                <w:sz w:val="22"/>
                <w:szCs w:val="22"/>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204</w:t>
            </w:r>
          </w:p>
        </w:tc>
        <w:tc>
          <w:tcPr>
            <w:tcW w:w="1812"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公共安全支出</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782.21</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449.75</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332.46</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20404</w:t>
            </w:r>
          </w:p>
        </w:tc>
        <w:tc>
          <w:tcPr>
            <w:tcW w:w="1812"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检察</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782.21</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449.75</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332.46</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2040401</w:t>
            </w:r>
          </w:p>
        </w:tc>
        <w:tc>
          <w:tcPr>
            <w:tcW w:w="1812"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行政运行</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449.75</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449.75</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2040402</w:t>
            </w:r>
          </w:p>
        </w:tc>
        <w:tc>
          <w:tcPr>
            <w:tcW w:w="1812"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一般行政管理事务</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296.08</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296.08</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2040410</w:t>
            </w:r>
          </w:p>
        </w:tc>
        <w:tc>
          <w:tcPr>
            <w:tcW w:w="1812"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检察监督</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36.38</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36.38</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208</w:t>
            </w:r>
          </w:p>
        </w:tc>
        <w:tc>
          <w:tcPr>
            <w:tcW w:w="1812"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社会保障和就业支出</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106.03</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106.03</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20805</w:t>
            </w:r>
          </w:p>
        </w:tc>
        <w:tc>
          <w:tcPr>
            <w:tcW w:w="1812"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行政事业单位养老支出</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106.03</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106.03</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2080501</w:t>
            </w:r>
          </w:p>
        </w:tc>
        <w:tc>
          <w:tcPr>
            <w:tcW w:w="1812"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行政单位离退休</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8.63</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8.63</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2080505</w:t>
            </w:r>
          </w:p>
        </w:tc>
        <w:tc>
          <w:tcPr>
            <w:tcW w:w="1812"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机关事业单位基本养老保险缴费支出</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64.93</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64.93</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2080506</w:t>
            </w:r>
          </w:p>
        </w:tc>
        <w:tc>
          <w:tcPr>
            <w:tcW w:w="1812"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机关事业单位职业年金缴费支出</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32.47</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32.47</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210</w:t>
            </w:r>
          </w:p>
        </w:tc>
        <w:tc>
          <w:tcPr>
            <w:tcW w:w="1812"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卫生健康支出</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65.06</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65.06</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21011</w:t>
            </w:r>
          </w:p>
        </w:tc>
        <w:tc>
          <w:tcPr>
            <w:tcW w:w="1812"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行政事业单位医疗</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65.06</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65.06</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2101101</w:t>
            </w:r>
          </w:p>
        </w:tc>
        <w:tc>
          <w:tcPr>
            <w:tcW w:w="1812"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行政单位医疗</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30.44</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30.44</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2101103</w:t>
            </w:r>
          </w:p>
        </w:tc>
        <w:tc>
          <w:tcPr>
            <w:tcW w:w="1812"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公务员医疗补助</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34.62</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34.62</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221</w:t>
            </w:r>
          </w:p>
        </w:tc>
        <w:tc>
          <w:tcPr>
            <w:tcW w:w="1812"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住房保障支出</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36.64</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36.64</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22102</w:t>
            </w:r>
          </w:p>
        </w:tc>
        <w:tc>
          <w:tcPr>
            <w:tcW w:w="1812"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住房改革支出</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36.64</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36.64</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2210201</w:t>
            </w:r>
          </w:p>
        </w:tc>
        <w:tc>
          <w:tcPr>
            <w:tcW w:w="1812"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住房公积金</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36.64</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36.64</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229</w:t>
            </w:r>
          </w:p>
        </w:tc>
        <w:tc>
          <w:tcPr>
            <w:tcW w:w="1812"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其他支出</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703.13</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365.56</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337.56</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22999</w:t>
            </w:r>
          </w:p>
        </w:tc>
        <w:tc>
          <w:tcPr>
            <w:tcW w:w="1812"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其他支出</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703.13</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365.56</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337.56</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2299901</w:t>
            </w:r>
          </w:p>
        </w:tc>
        <w:tc>
          <w:tcPr>
            <w:tcW w:w="1812"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其他支出</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703.13</w:t>
            </w:r>
          </w:p>
        </w:tc>
        <w:tc>
          <w:tcPr>
            <w:tcW w:w="18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365.56</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337.56</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843"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98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bl>
    <w:p/>
    <w:p>
      <w:r>
        <w:rPr>
          <w:rFonts w:hint="eastAsia"/>
        </w:rPr>
        <w:t>注：本表反映本年度各项支出情况。</w:t>
      </w:r>
    </w:p>
    <w:p/>
    <w:p/>
    <w:p/>
    <w:p/>
    <w:p/>
    <w:p/>
    <w:p/>
    <w:p/>
    <w:p/>
    <w:p/>
    <w:p/>
    <w:p/>
    <w:p>
      <w:pPr>
        <w:ind w:firstLine="3600" w:firstLineChars="1000"/>
      </w:pPr>
      <w:r>
        <w:rPr>
          <w:rFonts w:hint="eastAsia" w:ascii="方正小标宋简体" w:hAnsi="宋体" w:eastAsia="方正小标宋简体" w:cs="宋体"/>
          <w:kern w:val="0"/>
          <w:sz w:val="36"/>
          <w:szCs w:val="36"/>
        </w:rPr>
        <w:t>表四：财政拨款收入支出决算总表</w:t>
      </w:r>
    </w:p>
    <w:tbl>
      <w:tblPr>
        <w:tblStyle w:val="5"/>
        <w:tblpPr w:leftFromText="180" w:rightFromText="180" w:vertAnchor="text" w:horzAnchor="page" w:tblpXSpec="center" w:tblpY="24"/>
        <w:tblOverlap w:val="never"/>
        <w:tblW w:w="13765" w:type="dxa"/>
        <w:jc w:val="center"/>
        <w:tblLayout w:type="fixed"/>
        <w:tblCellMar>
          <w:top w:w="0" w:type="dxa"/>
          <w:left w:w="108" w:type="dxa"/>
          <w:bottom w:w="0" w:type="dxa"/>
          <w:right w:w="108" w:type="dxa"/>
        </w:tblCellMar>
      </w:tblPr>
      <w:tblGrid>
        <w:gridCol w:w="4858"/>
        <w:gridCol w:w="551"/>
        <w:gridCol w:w="936"/>
        <w:gridCol w:w="3007"/>
        <w:gridCol w:w="681"/>
        <w:gridCol w:w="1267"/>
        <w:gridCol w:w="1149"/>
        <w:gridCol w:w="1316"/>
      </w:tblGrid>
      <w:tr>
        <w:tblPrEx>
          <w:tblCellMar>
            <w:top w:w="0" w:type="dxa"/>
            <w:left w:w="108" w:type="dxa"/>
            <w:bottom w:w="0" w:type="dxa"/>
            <w:right w:w="108" w:type="dxa"/>
          </w:tblCellMar>
        </w:tblPrEx>
        <w:trPr>
          <w:trHeight w:val="300" w:hRule="atLeast"/>
          <w:jc w:val="center"/>
        </w:trPr>
        <w:tc>
          <w:tcPr>
            <w:tcW w:w="6345"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420"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jc w:val="center"/>
        </w:trPr>
        <w:tc>
          <w:tcPr>
            <w:tcW w:w="4858"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55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9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00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55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3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007"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936"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989.94</w:t>
            </w:r>
          </w:p>
        </w:tc>
        <w:tc>
          <w:tcPr>
            <w:tcW w:w="3007"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267"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936"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07"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267"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93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07"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三、教育支出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93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07"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四、科学技术支出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93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07"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五、文化旅游体育与传媒支出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93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07"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六、社会保障和就业支出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267"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106.03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106.03</w:t>
            </w:r>
          </w:p>
        </w:tc>
        <w:tc>
          <w:tcPr>
            <w:tcW w:w="1316"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0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93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07"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七、公共安全支出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267"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782.21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782.21</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0</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93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07"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八、卫生健康支出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267"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65.06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65.06</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93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07"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九、住房保障支出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267"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36.64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36.64</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0</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93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07"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93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07"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936"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989.94　</w:t>
            </w:r>
          </w:p>
        </w:tc>
        <w:tc>
          <w:tcPr>
            <w:tcW w:w="300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3732" w:type="dxa"/>
            <w:gridSpan w:val="3"/>
            <w:tcBorders>
              <w:top w:val="single" w:color="auto" w:sz="4" w:space="0"/>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989.94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936"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157.8　</w:t>
            </w:r>
          </w:p>
        </w:tc>
        <w:tc>
          <w:tcPr>
            <w:tcW w:w="300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3732" w:type="dxa"/>
            <w:gridSpan w:val="3"/>
            <w:tcBorders>
              <w:top w:val="single" w:color="auto" w:sz="4" w:space="0"/>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157.8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kern w:val="0"/>
                <w:sz w:val="22"/>
                <w:szCs w:val="22"/>
              </w:rPr>
            </w:pPr>
            <w:r>
              <w:rPr>
                <w:rFonts w:hint="eastAsia" w:ascii="宋体" w:hAnsi="宋体" w:cs="Arial"/>
                <w:kern w:val="0"/>
                <w:sz w:val="22"/>
                <w:szCs w:val="22"/>
              </w:rPr>
              <w:t>一般公共预算财政拨款</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936"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157.8　</w:t>
            </w:r>
          </w:p>
        </w:tc>
        <w:tc>
          <w:tcPr>
            <w:tcW w:w="3007"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936"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07"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93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07"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936" w:type="dxa"/>
            <w:tcBorders>
              <w:top w:val="nil"/>
              <w:left w:val="nil"/>
              <w:bottom w:val="single" w:color="auto" w:sz="4" w:space="0"/>
              <w:right w:val="single" w:color="auto" w:sz="4" w:space="0"/>
            </w:tcBorders>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1147.75</w:t>
            </w:r>
          </w:p>
        </w:tc>
        <w:tc>
          <w:tcPr>
            <w:tcW w:w="300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3732" w:type="dxa"/>
            <w:gridSpan w:val="3"/>
            <w:tcBorders>
              <w:top w:val="single" w:color="auto" w:sz="4" w:space="0"/>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1147.75　</w:t>
            </w:r>
          </w:p>
        </w:tc>
      </w:tr>
    </w:tbl>
    <w:p>
      <w:pPr>
        <w:jc w:val="right"/>
        <w:rPr>
          <w:sz w:val="22"/>
          <w:szCs w:val="22"/>
        </w:rPr>
      </w:pPr>
      <w:r>
        <w:rPr>
          <w:rFonts w:hint="eastAsia"/>
          <w:sz w:val="22"/>
          <w:szCs w:val="22"/>
        </w:rPr>
        <w:t>单位：万元</w:t>
      </w:r>
    </w:p>
    <w:p>
      <w:r>
        <w:rPr>
          <w:rFonts w:hint="eastAsia"/>
        </w:rPr>
        <w:t>注：本表反映本年度一般公共预算财政拨款和政府性基金预算财政拨款的总收支和年末结转结余情况。</w:t>
      </w:r>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5"/>
        <w:tblW w:w="13479" w:type="dxa"/>
        <w:tblInd w:w="0" w:type="dxa"/>
        <w:tblLayout w:type="fixed"/>
        <w:tblCellMar>
          <w:top w:w="0" w:type="dxa"/>
          <w:left w:w="108" w:type="dxa"/>
          <w:bottom w:w="0" w:type="dxa"/>
          <w:right w:w="108" w:type="dxa"/>
        </w:tblCellMar>
      </w:tblPr>
      <w:tblGrid>
        <w:gridCol w:w="1283"/>
        <w:gridCol w:w="3000"/>
        <w:gridCol w:w="2900"/>
        <w:gridCol w:w="2900"/>
        <w:gridCol w:w="3396"/>
      </w:tblGrid>
      <w:tr>
        <w:tblPrEx>
          <w:tblCellMar>
            <w:top w:w="0" w:type="dxa"/>
            <w:left w:w="108" w:type="dxa"/>
            <w:bottom w:w="0" w:type="dxa"/>
            <w:right w:w="108" w:type="dxa"/>
          </w:tblCellMar>
        </w:tblPrEx>
        <w:trPr>
          <w:trHeight w:val="300" w:hRule="atLeast"/>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CellMar>
            <w:top w:w="0" w:type="dxa"/>
            <w:left w:w="108" w:type="dxa"/>
            <w:bottom w:w="0" w:type="dxa"/>
            <w:right w:w="108" w:type="dxa"/>
          </w:tblCellMar>
        </w:tblPrEx>
        <w:trPr>
          <w:trHeight w:val="300" w:hRule="atLeast"/>
        </w:trPr>
        <w:tc>
          <w:tcPr>
            <w:tcW w:w="1283" w:type="dxa"/>
            <w:tcBorders>
              <w:top w:val="nil"/>
              <w:left w:val="single" w:color="auto" w:sz="4" w:space="0"/>
              <w:bottom w:val="single" w:color="auto" w:sz="4" w:space="0"/>
              <w:right w:val="single" w:color="auto" w:sz="4" w:space="0"/>
            </w:tcBorders>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00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tcBorders>
              <w:top w:val="nil"/>
              <w:left w:val="nil"/>
              <w:bottom w:val="single" w:color="auto" w:sz="4" w:space="0"/>
              <w:right w:val="single" w:color="auto" w:sz="4" w:space="0"/>
            </w:tcBorders>
            <w:vAlign w:val="center"/>
          </w:tcPr>
          <w:p>
            <w:pPr>
              <w:jc w:val="right"/>
              <w:rPr>
                <w:rFonts w:ascii="宋体" w:hAnsi="宋体" w:cs="Arial"/>
                <w:b/>
                <w:bCs/>
                <w:color w:val="000000"/>
                <w:sz w:val="22"/>
                <w:szCs w:val="22"/>
              </w:rPr>
            </w:pPr>
            <w:r>
              <w:rPr>
                <w:rFonts w:hint="eastAsia" w:cs="Arial"/>
                <w:b/>
                <w:bCs/>
                <w:color w:val="000000"/>
                <w:sz w:val="22"/>
                <w:szCs w:val="22"/>
              </w:rPr>
              <w:t>989.94</w:t>
            </w:r>
          </w:p>
        </w:tc>
        <w:tc>
          <w:tcPr>
            <w:tcW w:w="2900" w:type="dxa"/>
            <w:tcBorders>
              <w:top w:val="nil"/>
              <w:left w:val="nil"/>
              <w:bottom w:val="single" w:color="auto" w:sz="4" w:space="0"/>
              <w:right w:val="single" w:color="auto" w:sz="4" w:space="0"/>
            </w:tcBorders>
            <w:vAlign w:val="center"/>
          </w:tcPr>
          <w:p>
            <w:pPr>
              <w:jc w:val="right"/>
              <w:rPr>
                <w:rFonts w:ascii="宋体" w:hAnsi="宋体" w:cs="Arial"/>
                <w:b/>
                <w:bCs/>
                <w:color w:val="000000"/>
                <w:sz w:val="22"/>
                <w:szCs w:val="22"/>
              </w:rPr>
            </w:pPr>
            <w:r>
              <w:rPr>
                <w:rFonts w:hint="eastAsia" w:cs="Arial"/>
                <w:b/>
                <w:bCs/>
                <w:color w:val="000000"/>
                <w:sz w:val="22"/>
                <w:szCs w:val="22"/>
              </w:rPr>
              <w:t>657.48</w:t>
            </w:r>
          </w:p>
        </w:tc>
        <w:tc>
          <w:tcPr>
            <w:tcW w:w="3396" w:type="dxa"/>
            <w:tcBorders>
              <w:top w:val="nil"/>
              <w:left w:val="nil"/>
              <w:bottom w:val="single" w:color="auto" w:sz="4" w:space="0"/>
              <w:right w:val="single" w:color="auto" w:sz="4" w:space="0"/>
            </w:tcBorders>
            <w:vAlign w:val="center"/>
          </w:tcPr>
          <w:p>
            <w:pPr>
              <w:jc w:val="right"/>
              <w:rPr>
                <w:rFonts w:ascii="宋体" w:hAnsi="宋体" w:cs="Arial"/>
                <w:b/>
                <w:bCs/>
                <w:color w:val="000000"/>
                <w:sz w:val="22"/>
                <w:szCs w:val="22"/>
              </w:rPr>
            </w:pPr>
            <w:r>
              <w:rPr>
                <w:rFonts w:hint="eastAsia" w:cs="Arial"/>
                <w:b/>
                <w:bCs/>
                <w:color w:val="000000"/>
                <w:sz w:val="22"/>
                <w:szCs w:val="22"/>
              </w:rPr>
              <w:t>332.46</w:t>
            </w: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204</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公共安全支出</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782.21</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449.75</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332.46</w:t>
            </w: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20404</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检察</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782.21</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449.75</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332.46</w:t>
            </w: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2040401</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行政运行</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449.75</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449.75</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2040402</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一般行政管理事务</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296.08</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296.08</w:t>
            </w: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2040410</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检察监督</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36.38</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36.38</w:t>
            </w: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208</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社会保障和就业支出</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106.03</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106.03</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20805</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行政事业单位养老支出</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106.03</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106.03</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2080501</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行政单位离退休</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8.63</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8.63</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2080505</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机关事业单位基本养老保险缴费支出</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64.93</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64.93</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2080506</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机关事业单位职业年金缴费支出</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32.47</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32.47</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210</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卫生健康支出</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65.06</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65.06</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21011</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行政事业单位医疗</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65.06</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65.06</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2101101</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行政单位医疗</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30.44</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30.44</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2101103</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公务员医疗补助</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34.62</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34.62</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221</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住房保障支出</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36.64</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36.64</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22102</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住房改革支出</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36.64</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36.64</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88" w:hRule="atLeast"/>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2210201</w:t>
            </w:r>
          </w:p>
        </w:tc>
        <w:tc>
          <w:tcPr>
            <w:tcW w:w="300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住房公积金</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36.64</w:t>
            </w:r>
          </w:p>
        </w:tc>
        <w:tc>
          <w:tcPr>
            <w:tcW w:w="290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36.64</w:t>
            </w:r>
          </w:p>
        </w:tc>
        <w:tc>
          <w:tcPr>
            <w:tcW w:w="339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bl>
    <w:p/>
    <w:p>
      <w:r>
        <w:rPr>
          <w:rFonts w:hint="eastAsia"/>
        </w:rPr>
        <w:t>注：本表反映本年度一般公共预算财政拨款实际支出情况。</w:t>
      </w:r>
    </w:p>
    <w:p/>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5"/>
        <w:tblW w:w="9151" w:type="dxa"/>
        <w:jc w:val="center"/>
        <w:tblLayout w:type="fixed"/>
        <w:tblCellMar>
          <w:top w:w="0" w:type="dxa"/>
          <w:left w:w="108" w:type="dxa"/>
          <w:bottom w:w="0" w:type="dxa"/>
          <w:right w:w="108" w:type="dxa"/>
        </w:tblCellMar>
      </w:tblPr>
      <w:tblGrid>
        <w:gridCol w:w="916"/>
        <w:gridCol w:w="3240"/>
        <w:gridCol w:w="831"/>
        <w:gridCol w:w="849"/>
        <w:gridCol w:w="1710"/>
        <w:gridCol w:w="1605"/>
      </w:tblGrid>
      <w:tr>
        <w:tblPrEx>
          <w:tblCellMar>
            <w:top w:w="0" w:type="dxa"/>
            <w:left w:w="108" w:type="dxa"/>
            <w:bottom w:w="0" w:type="dxa"/>
            <w:right w:w="108" w:type="dxa"/>
          </w:tblCellMar>
        </w:tblPrEx>
        <w:trPr>
          <w:trHeight w:val="564" w:hRule="atLeast"/>
          <w:jc w:val="center"/>
        </w:trPr>
        <w:tc>
          <w:tcPr>
            <w:tcW w:w="498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16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312" w:hRule="atLeast"/>
          <w:jc w:val="center"/>
        </w:trPr>
        <w:tc>
          <w:tcPr>
            <w:tcW w:w="916"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324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831"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849"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171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301</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工资福利支出</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542.87</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商品和服务支出</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108.45</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30101</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基本工资</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156.46</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30201</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办公费</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14.11</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30102</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津贴补贴</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156.49</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30202</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印刷费</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0.53</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30103</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奖金</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30.35</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30203</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咨询费</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30106</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伙食补助费</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30204</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手续费</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30107</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绩效工资</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30205</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水费</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1.42</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30108</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机关事业单位基本养老保险缴费</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64.93</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30206</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电费</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5.33</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30109</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职业年金缴费</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32.47</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30207</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邮电费</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7.65</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30110</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职工基本医疗保险缴费</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30.44</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30208</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取暖费</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30111</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公务员医疗补助缴费</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34.62</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30209</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物业管理费</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0.82</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30112</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其他社会保障缴费</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0.46</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30211</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差旅费</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9.71</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30113</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住房公积金</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36.64</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30212</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因公出国（境）费用</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30114</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医疗费</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30213</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维修（护）费</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2.67</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30199</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其他工资福利支出</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30214</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租赁费</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303</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对个人和家庭的补助</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6.16</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30215</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会议费</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30301</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离休费</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30216</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培训费</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3.28</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30302</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退休费</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6.16</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30217</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公务接待费</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30303</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退职（役）费</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30218</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专用材料费</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30304</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抚恤金</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30224</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被装购置费</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30305</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生活补助</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30225</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专用燃料费</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30306</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救济费</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30226</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劳务费</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30307</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医疗费补助</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30227</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委托业务费</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30308</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助学金</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30228</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工会经费</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8.12</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30309</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奖励金</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30229</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福利费</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30310</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个人农业生产补贴</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30231</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公务用车运行维护费</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2.70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30311</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代缴社会保险费</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30239</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其他交通费用</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33.40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30399</w:t>
            </w: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其他对个人和家庭的补助</w:t>
            </w: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30240</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税金及附加费用</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sz w:val="22"/>
                <w:szCs w:val="22"/>
              </w:rPr>
            </w:pPr>
          </w:p>
        </w:tc>
        <w:tc>
          <w:tcPr>
            <w:tcW w:w="3240" w:type="dxa"/>
            <w:tcBorders>
              <w:top w:val="nil"/>
              <w:left w:val="nil"/>
              <w:bottom w:val="single" w:color="auto" w:sz="4" w:space="0"/>
              <w:right w:val="single" w:color="auto" w:sz="4" w:space="0"/>
            </w:tcBorders>
            <w:vAlign w:val="center"/>
          </w:tcPr>
          <w:p>
            <w:pPr>
              <w:rPr>
                <w:rFonts w:ascii="宋体" w:hAnsi="宋体" w:cs="Arial"/>
                <w:color w:val="000000"/>
                <w:sz w:val="22"/>
                <w:szCs w:val="22"/>
              </w:rPr>
            </w:pPr>
          </w:p>
        </w:tc>
        <w:tc>
          <w:tcPr>
            <w:tcW w:w="83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　</w:t>
            </w:r>
          </w:p>
        </w:tc>
        <w:tc>
          <w:tcPr>
            <w:tcW w:w="849"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30299</w:t>
            </w:r>
          </w:p>
        </w:tc>
        <w:tc>
          <w:tcPr>
            <w:tcW w:w="1710" w:type="dxa"/>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其他商品和服务支出</w:t>
            </w:r>
          </w:p>
        </w:tc>
        <w:tc>
          <w:tcPr>
            <w:tcW w:w="160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18.72</w:t>
            </w:r>
          </w:p>
        </w:tc>
      </w:tr>
      <w:tr>
        <w:tblPrEx>
          <w:tblCellMar>
            <w:top w:w="0" w:type="dxa"/>
            <w:left w:w="108" w:type="dxa"/>
            <w:bottom w:w="0" w:type="dxa"/>
            <w:right w:w="108" w:type="dxa"/>
          </w:tblCellMar>
        </w:tblPrEx>
        <w:trPr>
          <w:trHeight w:val="264" w:hRule="atLeast"/>
          <w:jc w:val="center"/>
        </w:trPr>
        <w:tc>
          <w:tcPr>
            <w:tcW w:w="4156"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831" w:type="dxa"/>
            <w:tcBorders>
              <w:top w:val="nil"/>
              <w:left w:val="nil"/>
              <w:bottom w:val="single" w:color="auto" w:sz="4" w:space="0"/>
              <w:right w:val="single" w:color="auto" w:sz="4" w:space="0"/>
            </w:tcBorders>
            <w:vAlign w:val="bottom"/>
          </w:tcPr>
          <w:p>
            <w:pPr>
              <w:jc w:val="left"/>
              <w:rPr>
                <w:rFonts w:ascii="宋体" w:hAnsi="宋体" w:cs="Arial"/>
                <w:color w:val="000000"/>
                <w:sz w:val="22"/>
                <w:szCs w:val="22"/>
              </w:rPr>
            </w:pPr>
            <w:r>
              <w:rPr>
                <w:rFonts w:hint="eastAsia" w:cs="Arial"/>
                <w:color w:val="000000"/>
                <w:sz w:val="22"/>
                <w:szCs w:val="22"/>
              </w:rPr>
              <w:t>549.03</w:t>
            </w:r>
          </w:p>
        </w:tc>
        <w:tc>
          <w:tcPr>
            <w:tcW w:w="2559"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60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108.45</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5"/>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17.96</w:t>
            </w:r>
          </w:p>
        </w:tc>
        <w:tc>
          <w:tcPr>
            <w:tcW w:w="1603"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28"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17.96</w:t>
            </w:r>
          </w:p>
        </w:tc>
        <w:tc>
          <w:tcPr>
            <w:tcW w:w="12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15.26</w:t>
            </w:r>
          </w:p>
        </w:tc>
        <w:tc>
          <w:tcPr>
            <w:tcW w:w="124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2.70</w:t>
            </w:r>
          </w:p>
        </w:tc>
        <w:tc>
          <w:tcPr>
            <w:tcW w:w="121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0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17.96</w:t>
            </w:r>
          </w:p>
        </w:tc>
        <w:tc>
          <w:tcPr>
            <w:tcW w:w="1560"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06"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17.96</w:t>
            </w:r>
          </w:p>
        </w:tc>
        <w:tc>
          <w:tcPr>
            <w:tcW w:w="1398"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15.26</w:t>
            </w:r>
          </w:p>
        </w:tc>
        <w:tc>
          <w:tcPr>
            <w:tcW w:w="1208"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2.70</w:t>
            </w:r>
          </w:p>
        </w:tc>
        <w:tc>
          <w:tcPr>
            <w:tcW w:w="1183"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注：本表反映本年度“三公”经费支出预决算情况。其中，2020年度预算数为“三公”经费年初预算数，决算数是包括当年一般公共预算财政拨款和以前年度结转资金安排的实际支出。</w:t>
      </w:r>
    </w:p>
    <w:p/>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pPr>
      <w:r>
        <w:rPr>
          <w:rFonts w:hint="eastAsia"/>
        </w:rPr>
        <w:t>注：本表反映本年度政府性基金预算财政拨款收入支出及结转和结余情况。</w:t>
      </w:r>
    </w:p>
    <w:p>
      <w:pPr>
        <w:ind w:firstLine="420" w:firstLineChars="200"/>
        <w:rPr>
          <w:rFonts w:ascii="仿宋_GB2312" w:hAnsi="黑体" w:eastAsia="仿宋_GB2312"/>
          <w:sz w:val="32"/>
          <w:szCs w:val="32"/>
        </w:rPr>
      </w:pPr>
      <w:r>
        <w:rPr>
          <w:rFonts w:hint="eastAsia"/>
        </w:rPr>
        <w:t>鱼峰检察院没有政府性基金预算财政拨款收入，也没有政府性基金预算财政拨款安排的支出，故本表无数据。</w:t>
      </w:r>
    </w:p>
    <w:p>
      <w:pPr>
        <w:jc w:val="center"/>
      </w:pPr>
    </w:p>
    <w:p>
      <w:pPr>
        <w:spacing w:line="560" w:lineRule="exact"/>
      </w:pPr>
    </w:p>
    <w:tbl>
      <w:tblPr>
        <w:tblStyle w:val="5"/>
        <w:tblW w:w="13520" w:type="dxa"/>
        <w:tblInd w:w="0" w:type="dxa"/>
        <w:tblLayout w:type="fixed"/>
        <w:tblCellMar>
          <w:top w:w="15" w:type="dxa"/>
          <w:left w:w="15" w:type="dxa"/>
          <w:bottom w:w="15" w:type="dxa"/>
          <w:right w:w="15" w:type="dxa"/>
        </w:tblCellMar>
      </w:tblPr>
      <w:tblGrid>
        <w:gridCol w:w="1318"/>
        <w:gridCol w:w="1292"/>
        <w:gridCol w:w="2249"/>
        <w:gridCol w:w="3242"/>
        <w:gridCol w:w="1344"/>
        <w:gridCol w:w="4075"/>
      </w:tblGrid>
      <w:tr>
        <w:tblPrEx>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宋体"/>
                <w:color w:val="000000"/>
                <w:kern w:val="0"/>
                <w:sz w:val="24"/>
              </w:rPr>
              <w:t>表九：国有资本经营预算财政拨款支出决算表</w:t>
            </w:r>
          </w:p>
        </w:tc>
      </w:tr>
      <w:tr>
        <w:tblPrEx>
          <w:tblCellMar>
            <w:top w:w="15" w:type="dxa"/>
            <w:left w:w="15" w:type="dxa"/>
            <w:bottom w:w="15" w:type="dxa"/>
            <w:right w:w="15" w:type="dxa"/>
          </w:tblCellMar>
        </w:tblPrEx>
        <w:trPr>
          <w:trHeight w:val="350" w:hRule="atLeast"/>
        </w:trPr>
        <w:tc>
          <w:tcPr>
            <w:tcW w:w="1318" w:type="dxa"/>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w:t>
            </w:r>
          </w:p>
        </w:tc>
        <w:tc>
          <w:tcPr>
            <w:tcW w:w="1292" w:type="dxa"/>
            <w:shd w:val="clear" w:color="auto" w:fill="FFFFFF"/>
            <w:vAlign w:val="center"/>
          </w:tcPr>
          <w:p>
            <w:pPr>
              <w:jc w:val="center"/>
              <w:rPr>
                <w:rFonts w:ascii="宋体" w:hAnsi="宋体" w:cs="宋体"/>
                <w:color w:val="000000"/>
                <w:sz w:val="20"/>
                <w:szCs w:val="20"/>
              </w:rPr>
            </w:pPr>
          </w:p>
        </w:tc>
        <w:tc>
          <w:tcPr>
            <w:tcW w:w="2249" w:type="dxa"/>
            <w:shd w:val="clear" w:color="auto" w:fill="FFFFFF"/>
            <w:vAlign w:val="center"/>
          </w:tcPr>
          <w:p>
            <w:pPr>
              <w:jc w:val="center"/>
              <w:rPr>
                <w:rFonts w:ascii="宋体" w:hAnsi="宋体" w:cs="宋体"/>
                <w:color w:val="000000"/>
                <w:sz w:val="20"/>
                <w:szCs w:val="20"/>
              </w:rPr>
            </w:pPr>
          </w:p>
        </w:tc>
        <w:tc>
          <w:tcPr>
            <w:tcW w:w="3242" w:type="dxa"/>
            <w:tcBorders>
              <w:bottom w:val="single" w:color="000000" w:sz="12" w:space="0"/>
            </w:tcBorders>
            <w:shd w:val="clear" w:color="auto" w:fill="FFFFFF"/>
            <w:vAlign w:val="center"/>
          </w:tcPr>
          <w:p>
            <w:pPr>
              <w:rPr>
                <w:rFonts w:ascii="宋体" w:hAnsi="宋体" w:cs="宋体"/>
                <w:color w:val="000000"/>
                <w:sz w:val="20"/>
                <w:szCs w:val="20"/>
              </w:rPr>
            </w:pPr>
          </w:p>
        </w:tc>
        <w:tc>
          <w:tcPr>
            <w:tcW w:w="1344" w:type="dxa"/>
            <w:tcBorders>
              <w:bottom w:val="single" w:color="000000" w:sz="12" w:space="0"/>
            </w:tcBorders>
            <w:shd w:val="clear" w:color="auto" w:fill="FFFFFF"/>
            <w:vAlign w:val="center"/>
          </w:tcPr>
          <w:p>
            <w:pPr>
              <w:rPr>
                <w:rFonts w:ascii="宋体" w:hAnsi="宋体" w:cs="宋体"/>
                <w:color w:val="000000"/>
                <w:sz w:val="20"/>
                <w:szCs w:val="20"/>
              </w:rPr>
            </w:pPr>
          </w:p>
        </w:tc>
        <w:tc>
          <w:tcPr>
            <w:tcW w:w="4075" w:type="dxa"/>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项 </w:t>
            </w:r>
            <w:r>
              <w:rPr>
                <w:rStyle w:val="9"/>
                <w:rFonts w:hint="default"/>
              </w:rPr>
              <w:t xml:space="preserve">   </w:t>
            </w:r>
            <w:r>
              <w:rPr>
                <w:rStyle w:val="10"/>
                <w:rFonts w:hint="default"/>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本年支出</w:t>
            </w:r>
          </w:p>
        </w:tc>
      </w:tr>
      <w:tr>
        <w:tblPrEx>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项目支出</w:t>
            </w: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r>
      <w:tr>
        <w:tblPrEx>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976" w:hRule="atLeast"/>
        </w:trPr>
        <w:tc>
          <w:tcPr>
            <w:tcW w:w="13520" w:type="dxa"/>
            <w:gridSpan w:val="6"/>
            <w:tcBorders>
              <w:top w:val="single" w:color="000000" w:sz="12" w:space="0"/>
            </w:tcBorders>
            <w:shd w:val="clear" w:color="auto" w:fill="auto"/>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注：本表反映本年度国有资本经营预算财政拨款支出情况。</w:t>
            </w:r>
          </w:p>
          <w:p>
            <w:pPr>
              <w:ind w:firstLine="420" w:firstLineChars="200"/>
              <w:rPr>
                <w:rFonts w:ascii="仿宋_GB2312" w:hAnsi="黑体" w:eastAsia="仿宋_GB2312"/>
                <w:sz w:val="32"/>
                <w:szCs w:val="32"/>
              </w:rPr>
            </w:pPr>
            <w:r>
              <w:rPr>
                <w:rFonts w:hint="eastAsia"/>
              </w:rPr>
              <w:t>鱼峰检察院没有国有资本经营预算财政拨款收入，也没有国有资本经营预算财政拨款安排的支出，故本表无数据。</w:t>
            </w:r>
          </w:p>
          <w:p>
            <w:pPr>
              <w:jc w:val="center"/>
            </w:pPr>
          </w:p>
          <w:p>
            <w:pPr>
              <w:spacing w:line="560" w:lineRule="exact"/>
              <w:ind w:firstLine="420"/>
            </w:pPr>
          </w:p>
          <w:p>
            <w:pPr>
              <w:widowControl/>
              <w:jc w:val="left"/>
              <w:textAlignment w:val="center"/>
              <w:rPr>
                <w:rFonts w:ascii="宋体" w:hAnsi="宋体" w:cs="宋体"/>
                <w:color w:val="000000"/>
                <w:sz w:val="24"/>
              </w:rPr>
            </w:pPr>
          </w:p>
        </w:tc>
      </w:tr>
    </w:tbl>
    <w:p>
      <w:pPr>
        <w:spacing w:line="560" w:lineRule="exact"/>
        <w:ind w:firstLine="420"/>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鱼峰区人民检察院</w:t>
      </w:r>
      <w:r>
        <w:rPr>
          <w:rFonts w:hint="eastAsia" w:ascii="仿宋_GB2312" w:eastAsia="仿宋_GB2312"/>
          <w:b/>
          <w:sz w:val="32"/>
          <w:szCs w:val="32"/>
        </w:rPr>
        <w:t>2020年度决算情况说明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2020年度收入总计1693.07万元，支出总计1693.07万元，与2019年相比，收、支分别增加-128.5万元，56.5万元；分别增长-7.59%、3.45%。</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本年收入总计1693.07万元，其中：一般公共预算财政拨款收入989.94万元；占比58.47% ；政府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基金预算财政拨款收入0万元；占比0%；上级补助收入0万元，占比0% ；事业收入0万元，占比0%；事业单位经营收入0万元，占比0%；其他收入703.13万元，占比41.53%。</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本年支出合计1693.07万元，其中：基本支出 1023.05万元，占 60.43%；项目支出 670.02万元， 占39.57%；经营支出0万元，占 0%；</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2020年度财政拨款收、支总决算 989.94万元、989.94万元。与 2019 年相比，财政拨款收、支总计各增加-680.68 万元，-569.75万元，增长-40.74%，-36.53%。</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2020年度财政拨款支出 989.94 万元，占本年支出合计的 58.47%。与 2019 年相比，财政拨款支出减 569.75万元，下降36.53%。</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（二）财政拨款支出决算结构情况（根据公开表格作表述）</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 989.94 万元，主要用于以下方面：一般公共服务（类）支出 0万元， 占0%；公共安全支出782.21万元，占79.02%；社会保障和就业支出106.03万元，占10.71%；卫生健康支出65.06万元，占6.57%，住房保障（类）支出36.64万元，占 3.7%。</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年度财政拨款支出年初预算为0万元，支出决算为989.94 万元，支出决算数大于预算数，原因是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1.一般公共安全支出（类）检察（款）行政运行（项）。 年初预算为0万元，基本支出决算为</w:t>
      </w:r>
      <w:r>
        <w:rPr>
          <w:rFonts w:ascii="仿宋_GB2312" w:eastAsia="仿宋_GB2312" w:cs="仿宋_GB2312"/>
          <w:bCs/>
          <w:kern w:val="0"/>
          <w:sz w:val="32"/>
          <w:szCs w:val="32"/>
        </w:rPr>
        <w:t>449.75</w:t>
      </w:r>
      <w:r>
        <w:rPr>
          <w:rFonts w:hint="eastAsia" w:ascii="仿宋_GB2312" w:eastAsia="仿宋_GB2312" w:cs="仿宋_GB2312"/>
          <w:bCs/>
          <w:kern w:val="0"/>
          <w:sz w:val="32"/>
          <w:szCs w:val="32"/>
        </w:rPr>
        <w:t xml:space="preserve"> 万元， 2020年预算数为0元，原因是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 一般公共安全支出（类）检察（款）一般行政管理事 务（项）。年初预算为 0 万元，项目支出决算为296.08 万元。 2020年预算数为0元，原因是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 一般公共安全支出（类）检察（款）检察监督（项）。年初预算为0万元，项目支出决算为36.38万元。2020年预算数为0元，原因是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 社会保障和就业支出（类）行政事业单位养老支出（款）行政单位离退休（项）。年初预算为0万元，基本支出决算为8.63万元。2020年预算数为0元，原因是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5、社会保障和就业支出（类）行政事业单位养老支出（款）  机关事业单位基本养老保险缴费支出（项）。年初预算为0万元，基本支出决算为64.93万元。2020年预算数为0元，原因是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6、社会保障和就业支出（类）行政事业单位养老支出（款）机关事业单位职业年金缴费支出（项）。年初预算为0万元，基本支出决算为32.47万元。2020年预算数为0元，原因是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7、卫生健康支出（类）行政事业单位医疗（款）行政单位医疗（项）。年初预算为0万元，基本支出决算为30.44万元。2020年预算数为0元，原因是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8、卫生健康支出（类）行政事业单位医疗（款）公务员医疗补助（项）。年初预算为0万元，基本支出决算为34.62万元。2020年预算数为0元，原因是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9、住房保障支出（类）住房改革支出（款）住房公积金（项）。年初预算为0万元，基本支出决算为36.64万元。2020年预算数为0元，原因是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六、2020年度一般公共预算财政拨款基本支出决算情况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2020年度财政拨款基本支出657.48万元，其中：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人员经费549.03万元，主要包括：基本工资、津贴补贴、 奖金、伙食补助费、绩效工资、机关事业单位基本养老保险缴费、职业年金缴费、其他社会保障缴费、其他工资福利支出、 离休费、退休费、抚恤金、生活补助、医疗费、奖励金、住房公积金。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公用经费108.45万元，主要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七、2020 年度一般公共预算财政拨款“三公” 经费支出决算情况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 17.96万元，支出决算为17.96万元，完成预算的100%，其中：因公出国（境）费支出决算为0万元，完成预算的0%；公务用车购置及运行费支出决算为17.96万元，完成预算的100%；公务接待费支出决算为0万元，完成预算的0%。2020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增加10.21万元，增加131.74%，其中：因公出国（境）费支出决算减少0万元，下降0%；公务用车购置及运行费支出决算增加15.26万元，增加100%；公务接待费支出决算减少0万元，下降0%。</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因公出国（境）费支出与上年持平；公务用车购置及运行费支出增加的主要原因是2020年新购入一辆公务车；公务接待费支出与上年持平。</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 支出决算17.96万元，占100 %；公务接待费支出决算0 万元，占0 %。具体情况如下：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1.因公出国（境）费支出0万元。全年安排机关和所属单位因公出国 （境）团组0个，累计0人次。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2.公务用车购置及运行费支出17.96万元。其中： 公务用车购置支出为15.26万元。公务用车运行支出2.7万元。主要用于本院公务用车维护运行等费用。2020年，机关所属单位开支财政拨款的公务用车保有量为6辆。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3.公务接待费支出0万元。其中：</w:t>
      </w:r>
    </w:p>
    <w:p>
      <w:pPr>
        <w:autoSpaceDE w:val="0"/>
        <w:autoSpaceDN w:val="0"/>
        <w:adjustRightInd w:val="0"/>
        <w:spacing w:line="580" w:lineRule="exact"/>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外宾接待支出0万元。2020 年共接待国（境）外来访团组0个、来访外宾0人次。</w:t>
      </w:r>
    </w:p>
    <w:p>
      <w:pPr>
        <w:autoSpaceDE w:val="0"/>
        <w:autoSpaceDN w:val="0"/>
        <w:adjustRightInd w:val="0"/>
        <w:spacing w:line="580" w:lineRule="exact"/>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国内公务接待支出0万元。2020 年共接待国内来访团组0个、来宾0人次。</w:t>
      </w:r>
    </w:p>
    <w:p>
      <w:pPr>
        <w:autoSpaceDE w:val="0"/>
        <w:autoSpaceDN w:val="0"/>
        <w:adjustRightInd w:val="0"/>
        <w:spacing w:line="580" w:lineRule="exact"/>
        <w:jc w:val="left"/>
        <w:rPr>
          <w:rFonts w:ascii="仿宋_GB2312" w:eastAsia="仿宋_GB2312" w:cs="仿宋_GB2312"/>
          <w:b/>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2020年度政府性基金预算财政拨款本年支出 0万元。</w:t>
      </w:r>
    </w:p>
    <w:p>
      <w:pPr>
        <w:numPr>
          <w:ilvl w:val="0"/>
          <w:numId w:val="3"/>
        </w:numPr>
        <w:autoSpaceDE w:val="0"/>
        <w:autoSpaceDN w:val="0"/>
        <w:adjustRightInd w:val="0"/>
        <w:spacing w:line="580" w:lineRule="exact"/>
        <w:jc w:val="left"/>
        <w:rPr>
          <w:rFonts w:ascii="仿宋_GB2312" w:eastAsia="仿宋_GB2312" w:cs="仿宋_GB2312"/>
          <w:b/>
          <w:kern w:val="0"/>
          <w:sz w:val="32"/>
          <w:szCs w:val="32"/>
        </w:rPr>
      </w:pPr>
      <w:r>
        <w:rPr>
          <w:rFonts w:hint="eastAsia" w:ascii="仿宋_GB2312" w:eastAsia="仿宋_GB2312" w:cs="仿宋_GB2312"/>
          <w:b/>
          <w:kern w:val="0"/>
          <w:sz w:val="32"/>
          <w:szCs w:val="32"/>
        </w:rPr>
        <w:t>2020年度国有资本经营预算财政拨款支出情况说明</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2020年度国有资本经营预算财政拨款本年支出 0万元。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w:t>
      </w:r>
      <w:r>
        <w:rPr>
          <w:rFonts w:hint="eastAsia" w:ascii="仿宋_GB2312" w:eastAsia="仿宋_GB2312" w:cs="仿宋_GB2312"/>
          <w:b/>
          <w:kern w:val="0"/>
          <w:sz w:val="32"/>
          <w:szCs w:val="32"/>
        </w:rPr>
        <w:t>2020 年度预算绩效情况说明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从2020年起我市各县（区）检察院作为柳州市人民检察院二级预算单位纳入柳州市财政局统一管理，因是首次纳入市级预算管理，相关工作尚待理顺，2020年各县（区）检察院未开展绩效考评工作。</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（一）机关运行经费支出情况。2020年度机关运行经费支出108.45万元，比 2019年增加 17.43万元，增长19.15 %，增（减）原因办案业务增加。</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（二）政府采购支出情况。2020年度政府采购支出总额85.8万元，其中：货物支出0万元、工程支出0万元、服务支出85.8万元。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（三）国有资产占用情况。截至年末单位共有车辆5辆，其中：公务用车3 辆；执法执勤用车2辆；专业技术用车0辆；单价50万元 以上通用设备0台（套），单价100 万元以上专用设备0台（套）。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MingLiU">
    <w:altName w:val="QIJIFALLBACK"/>
    <w:panose1 w:val="02020509000000000000"/>
    <w:charset w:val="88"/>
    <w:family w:val="modern"/>
    <w:pitch w:val="default"/>
    <w:sig w:usb0="00000000" w:usb1="00000000" w:usb2="00000016" w:usb3="00000000" w:csb0="00100001" w:csb1="00000000"/>
  </w:font>
  <w:font w:name="QIJIFALLBACK">
    <w:panose1 w:val="02000509000000000000"/>
    <w:charset w:val="88"/>
    <w:family w:val="auto"/>
    <w:pitch w:val="default"/>
    <w:sig w:usb0="00000000" w:usb1="08000000" w:usb2="00000000" w:usb3="00000000" w:csb0="0010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6</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- 23 -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7F0EC"/>
    <w:multiLevelType w:val="singleLevel"/>
    <w:tmpl w:val="07B7F0EC"/>
    <w:lvl w:ilvl="0" w:tentative="0">
      <w:start w:val="9"/>
      <w:numFmt w:val="chineseCounting"/>
      <w:suff w:val="nothing"/>
      <w:lvlText w:val="%1、"/>
      <w:lvlJc w:val="left"/>
      <w:rPr>
        <w:rFonts w:hint="eastAsia"/>
      </w:rPr>
    </w:lvl>
  </w:abstractNum>
  <w:abstractNum w:abstractNumId="1">
    <w:nsid w:val="158B3B6F"/>
    <w:multiLevelType w:val="multilevel"/>
    <w:tmpl w:val="158B3B6F"/>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1387DC0"/>
    <w:multiLevelType w:val="multilevel"/>
    <w:tmpl w:val="31387DC0"/>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3">
    <w:nsid w:val="5B3C8BA7"/>
    <w:multiLevelType w:val="singleLevel"/>
    <w:tmpl w:val="5B3C8BA7"/>
    <w:lvl w:ilvl="0" w:tentative="0">
      <w:start w:val="1"/>
      <w:numFmt w:val="chineseCounting"/>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hjNDNkODRjZTUyODY5NDBlZDQxOWMwN2RjODhiODIifQ=="/>
  </w:docVars>
  <w:rsids>
    <w:rsidRoot w:val="4C256E3D"/>
    <w:rsid w:val="000077CA"/>
    <w:rsid w:val="00066CA3"/>
    <w:rsid w:val="000B1E83"/>
    <w:rsid w:val="000B3744"/>
    <w:rsid w:val="001F4DD2"/>
    <w:rsid w:val="002173B2"/>
    <w:rsid w:val="00257DBA"/>
    <w:rsid w:val="0026628B"/>
    <w:rsid w:val="002824BB"/>
    <w:rsid w:val="002C353E"/>
    <w:rsid w:val="002F03F5"/>
    <w:rsid w:val="002F4C9D"/>
    <w:rsid w:val="00353B22"/>
    <w:rsid w:val="00381462"/>
    <w:rsid w:val="00396A52"/>
    <w:rsid w:val="003A399A"/>
    <w:rsid w:val="003B1455"/>
    <w:rsid w:val="003D73BA"/>
    <w:rsid w:val="0040761D"/>
    <w:rsid w:val="0041154B"/>
    <w:rsid w:val="00423FC1"/>
    <w:rsid w:val="0047570B"/>
    <w:rsid w:val="004A77A6"/>
    <w:rsid w:val="004E59E3"/>
    <w:rsid w:val="00534FEC"/>
    <w:rsid w:val="00565709"/>
    <w:rsid w:val="005E2B82"/>
    <w:rsid w:val="005F28F6"/>
    <w:rsid w:val="00600293"/>
    <w:rsid w:val="0064009B"/>
    <w:rsid w:val="006B14C4"/>
    <w:rsid w:val="006B42CC"/>
    <w:rsid w:val="006C1367"/>
    <w:rsid w:val="0070353D"/>
    <w:rsid w:val="00715385"/>
    <w:rsid w:val="007525FC"/>
    <w:rsid w:val="0075754B"/>
    <w:rsid w:val="007851EC"/>
    <w:rsid w:val="007E1A44"/>
    <w:rsid w:val="00803FC2"/>
    <w:rsid w:val="008A274F"/>
    <w:rsid w:val="008C4491"/>
    <w:rsid w:val="00920EEF"/>
    <w:rsid w:val="009B5F16"/>
    <w:rsid w:val="009E0316"/>
    <w:rsid w:val="00A316EA"/>
    <w:rsid w:val="00A31F47"/>
    <w:rsid w:val="00A57677"/>
    <w:rsid w:val="00AA0C9E"/>
    <w:rsid w:val="00AC0A88"/>
    <w:rsid w:val="00AC0B43"/>
    <w:rsid w:val="00B16687"/>
    <w:rsid w:val="00B559F6"/>
    <w:rsid w:val="00B6548E"/>
    <w:rsid w:val="00B67847"/>
    <w:rsid w:val="00B95811"/>
    <w:rsid w:val="00BF1B34"/>
    <w:rsid w:val="00C20FBC"/>
    <w:rsid w:val="00C240FF"/>
    <w:rsid w:val="00C41C79"/>
    <w:rsid w:val="00C91BD3"/>
    <w:rsid w:val="00D10660"/>
    <w:rsid w:val="00D16DAC"/>
    <w:rsid w:val="00D25F04"/>
    <w:rsid w:val="00D41C9F"/>
    <w:rsid w:val="00D43D65"/>
    <w:rsid w:val="00E368C0"/>
    <w:rsid w:val="00ED04E6"/>
    <w:rsid w:val="00EF107F"/>
    <w:rsid w:val="00EF54AA"/>
    <w:rsid w:val="00F57E03"/>
    <w:rsid w:val="00F66C5B"/>
    <w:rsid w:val="00FD4CEA"/>
    <w:rsid w:val="0E074DDF"/>
    <w:rsid w:val="124204B5"/>
    <w:rsid w:val="13F80356"/>
    <w:rsid w:val="182962AB"/>
    <w:rsid w:val="18B828C6"/>
    <w:rsid w:val="18BE612E"/>
    <w:rsid w:val="19D073EB"/>
    <w:rsid w:val="1B065B6B"/>
    <w:rsid w:val="1CC31F67"/>
    <w:rsid w:val="1DDF7C04"/>
    <w:rsid w:val="1EF87EC0"/>
    <w:rsid w:val="20DA5ADA"/>
    <w:rsid w:val="24D337DC"/>
    <w:rsid w:val="25115838"/>
    <w:rsid w:val="26460DBA"/>
    <w:rsid w:val="26760048"/>
    <w:rsid w:val="2A710421"/>
    <w:rsid w:val="2B6F74EB"/>
    <w:rsid w:val="2C4219FE"/>
    <w:rsid w:val="34020F86"/>
    <w:rsid w:val="355C48AD"/>
    <w:rsid w:val="35C661CB"/>
    <w:rsid w:val="38194CD8"/>
    <w:rsid w:val="39A63F06"/>
    <w:rsid w:val="3C853325"/>
    <w:rsid w:val="3ED1439F"/>
    <w:rsid w:val="4769708F"/>
    <w:rsid w:val="47C702AC"/>
    <w:rsid w:val="48374EDC"/>
    <w:rsid w:val="4B1C090F"/>
    <w:rsid w:val="4C256E3D"/>
    <w:rsid w:val="4CB52F0F"/>
    <w:rsid w:val="4F5F526E"/>
    <w:rsid w:val="4FB235F0"/>
    <w:rsid w:val="532F1F9A"/>
    <w:rsid w:val="5579695E"/>
    <w:rsid w:val="578E4942"/>
    <w:rsid w:val="5E995A3E"/>
    <w:rsid w:val="5F772160"/>
    <w:rsid w:val="62163194"/>
    <w:rsid w:val="624D024D"/>
    <w:rsid w:val="650E086A"/>
    <w:rsid w:val="664803B2"/>
    <w:rsid w:val="68120C78"/>
    <w:rsid w:val="6BAA0708"/>
    <w:rsid w:val="70595AC5"/>
    <w:rsid w:val="717B0ABD"/>
    <w:rsid w:val="75DC0B17"/>
    <w:rsid w:val="75E63101"/>
    <w:rsid w:val="78C00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uiPriority w:val="0"/>
    <w:rPr>
      <w:rFonts w:hint="eastAsia" w:ascii="宋体" w:hAnsi="宋体" w:eastAsia="宋体" w:cs="宋体"/>
      <w:color w:val="000000"/>
      <w:sz w:val="22"/>
      <w:szCs w:val="22"/>
      <w:u w:val="none"/>
    </w:rPr>
  </w:style>
  <w:style w:type="character" w:customStyle="1" w:styleId="10">
    <w:name w:val="font01"/>
    <w:basedOn w:val="6"/>
    <w:uiPriority w:val="0"/>
    <w:rPr>
      <w:rFonts w:hint="eastAsia" w:ascii="宋体" w:hAnsi="宋体" w:eastAsia="宋体" w:cs="宋体"/>
      <w:color w:val="000000"/>
      <w:sz w:val="24"/>
      <w:szCs w:val="24"/>
      <w:u w:val="none"/>
    </w:rPr>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8FEE732-C1EF-445E-A084-1BC0584B070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9068</Words>
  <Characters>11689</Characters>
  <Lines>39</Lines>
  <Paragraphs>27</Paragraphs>
  <TotalTime>1241</TotalTime>
  <ScaleCrop>false</ScaleCrop>
  <LinksUpToDate>false</LinksUpToDate>
  <CharactersWithSpaces>12275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2022-10-31T10:00:43Z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5CD112BA8CD54DEC9B7ACB5FA4C57E4D</vt:lpwstr>
  </property>
</Properties>
</file>