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柳州市政府集中采购中心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黑体" w:eastAsia="黑体" w:cs="黑体"/>
          <w:kern w:val="0"/>
          <w:sz w:val="44"/>
          <w:szCs w:val="44"/>
        </w:rPr>
      </w:pPr>
    </w:p>
    <w:p>
      <w:pP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pStyle w:val="5"/>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第一部分：柳州市政府集中采购中心单位概况</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一、主要职责</w:t>
      </w:r>
    </w:p>
    <w:p>
      <w:pPr>
        <w:pStyle w:val="5"/>
        <w:spacing w:before="0" w:beforeAutospacing="0" w:after="0" w:afterAutospacing="0" w:line="560" w:lineRule="exact"/>
        <w:ind w:firstLine="640" w:firstLineChars="200"/>
        <w:rPr>
          <w:rFonts w:ascii="仿宋_GB2312" w:eastAsia="仿宋_GB2312"/>
          <w:sz w:val="32"/>
          <w:szCs w:val="32"/>
        </w:rPr>
      </w:pPr>
      <w:r>
        <w:rPr>
          <w:rFonts w:hint="eastAsia" w:ascii="仿宋_GB2312" w:hAnsi="华文仿宋" w:eastAsia="仿宋_GB2312"/>
          <w:bCs/>
          <w:color w:val="000000"/>
          <w:sz w:val="32"/>
          <w:szCs w:val="32"/>
        </w:rPr>
        <w:t>二、机构设置情况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bCs/>
          <w:color w:val="000000"/>
          <w:sz w:val="32"/>
          <w:szCs w:val="32"/>
        </w:rPr>
        <w:t>柳州市政府集中采购中心</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bCs/>
          <w:color w:val="000000"/>
          <w:sz w:val="32"/>
          <w:szCs w:val="32"/>
        </w:rPr>
        <w:t>柳州市政府集中采购中心</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3" w:firstLineChars="200"/>
        <w:rPr>
          <w:rFonts w:ascii="仿宋_GB2312" w:eastAsia="仿宋_GB2312"/>
          <w:b/>
          <w:sz w:val="32"/>
          <w:szCs w:val="32"/>
        </w:rPr>
      </w:pPr>
      <w:r>
        <w:rPr>
          <w:rFonts w:hint="eastAsia" w:ascii="仿宋_GB2312" w:eastAsia="仿宋_GB2312"/>
          <w:b/>
          <w:sz w:val="32"/>
          <w:szCs w:val="32"/>
        </w:rPr>
        <w:t>第四部分：名词解释</w:t>
      </w:r>
    </w:p>
    <w:p>
      <w:pPr>
        <w:pStyle w:val="5"/>
        <w:spacing w:before="0" w:beforeAutospacing="0" w:after="0" w:afterAutospacing="0" w:line="560" w:lineRule="exact"/>
        <w:ind w:firstLine="640" w:firstLineChars="200"/>
        <w:rPr>
          <w:rFonts w:ascii="仿宋_GB2312" w:hAnsi="华文仿宋" w:eastAsia="仿宋_GB2312"/>
          <w:b/>
          <w:bCs/>
          <w:color w:val="000000"/>
          <w:sz w:val="32"/>
          <w:szCs w:val="32"/>
        </w:rPr>
      </w:pPr>
      <w:r>
        <w:rPr>
          <w:rFonts w:hint="eastAsia" w:ascii="仿宋_GB2312" w:eastAsia="仿宋_GB2312" w:cs="仿宋_GB2312"/>
          <w:bCs/>
          <w:sz w:val="32"/>
          <w:szCs w:val="32"/>
        </w:rPr>
        <w:br w:type="page"/>
      </w:r>
      <w:r>
        <w:rPr>
          <w:rFonts w:hint="eastAsia" w:ascii="仿宋_GB2312" w:eastAsia="仿宋_GB2312" w:cs="仿宋_GB2312"/>
          <w:bCs/>
          <w:sz w:val="32"/>
          <w:szCs w:val="32"/>
        </w:rPr>
        <w:t xml:space="preserve">  </w:t>
      </w:r>
      <w:r>
        <w:rPr>
          <w:rFonts w:hint="eastAsia" w:ascii="仿宋_GB2312" w:hAnsi="华文仿宋" w:eastAsia="仿宋_GB2312"/>
          <w:b/>
          <w:bCs/>
          <w:color w:val="000000"/>
          <w:sz w:val="32"/>
          <w:szCs w:val="32"/>
        </w:rPr>
        <w:t>第一部分：柳州市政府集中采购中心单位概况</w:t>
      </w:r>
    </w:p>
    <w:p>
      <w:pPr>
        <w:ind w:firstLine="643" w:firstLineChars="200"/>
        <w:rPr>
          <w:rFonts w:ascii="仿宋_GB2312" w:eastAsia="仿宋_GB2312"/>
          <w:b/>
          <w:bCs/>
          <w:sz w:val="32"/>
          <w:szCs w:val="32"/>
        </w:rPr>
      </w:pPr>
      <w:r>
        <w:rPr>
          <w:rFonts w:hint="eastAsia" w:ascii="仿宋_GB2312" w:eastAsia="仿宋_GB2312"/>
          <w:b/>
          <w:bCs/>
          <w:sz w:val="32"/>
          <w:szCs w:val="32"/>
        </w:rPr>
        <w:t>一、主要职责</w:t>
      </w:r>
    </w:p>
    <w:p>
      <w:pPr>
        <w:spacing w:line="560" w:lineRule="exact"/>
        <w:ind w:firstLine="640" w:firstLineChars="200"/>
        <w:rPr>
          <w:rFonts w:ascii="仿宋_GB2312" w:hAnsi="仿宋_GB2312" w:eastAsia="仿宋_GB2312" w:cs="仿宋_GB2312"/>
          <w:sz w:val="32"/>
          <w:szCs w:val="22"/>
        </w:rPr>
      </w:pPr>
      <w:r>
        <w:rPr>
          <w:rFonts w:hint="eastAsia" w:ascii="楷体_GB2312" w:hAnsi="华文仿宋" w:eastAsia="楷体_GB2312" w:cs="宋体"/>
          <w:bCs/>
          <w:color w:val="000000"/>
          <w:kern w:val="0"/>
          <w:sz w:val="32"/>
          <w:szCs w:val="32"/>
        </w:rPr>
        <w:t>（一）</w:t>
      </w:r>
      <w:r>
        <w:rPr>
          <w:rFonts w:hint="eastAsia" w:ascii="仿宋_GB2312" w:hAnsi="仿宋_GB2312" w:eastAsia="仿宋_GB2312" w:cs="仿宋_GB2312"/>
          <w:sz w:val="32"/>
          <w:szCs w:val="22"/>
        </w:rPr>
        <w:t>负责拟定政府集中采购操作规程和管理制度并组织实施。负责编制采购文件，制定评分原则和评分标准等工作。</w:t>
      </w:r>
    </w:p>
    <w:p>
      <w:pPr>
        <w:pStyle w:val="5"/>
        <w:spacing w:before="0" w:beforeAutospacing="0" w:after="0" w:afterAutospacing="0" w:line="56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(二）负责组织实施年度集中采购目录以内项目的政府采购。</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（三）接受采购人委托，组织采购集中采购目录以外或限额标准以上的政府采购项目，组织采购秘密级或机密级政府采购项目，办理政府采购的相关事宜。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（四）按规定发布政府采购信息。组织协调签订政府采购合同。为采购方和供应商提供相关咨询服务并受理供应商的质疑。</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（五）负责对采购人开展业务培训工作。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（六）负责管理政府采购项目档案，登记管理政府采购供应商库。</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（七）完成主管部门交办的其他任务。</w:t>
      </w:r>
    </w:p>
    <w:p>
      <w:pPr>
        <w:ind w:firstLine="643" w:firstLineChars="200"/>
        <w:rPr>
          <w:rFonts w:ascii="仿宋_GB2312" w:eastAsia="仿宋_GB2312"/>
          <w:b/>
          <w:bCs/>
          <w:sz w:val="32"/>
          <w:szCs w:val="32"/>
        </w:rPr>
      </w:pPr>
      <w:r>
        <w:rPr>
          <w:rFonts w:hint="eastAsia" w:ascii="仿宋_GB2312" w:eastAsia="仿宋_GB2312"/>
          <w:b/>
          <w:bCs/>
          <w:sz w:val="32"/>
          <w:szCs w:val="32"/>
        </w:rPr>
        <w:t>二、机构设置情况</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rPr>
        <w:t>柳州市政府集中采购中心</w:t>
      </w:r>
      <w:r>
        <w:rPr>
          <w:rFonts w:hint="eastAsia" w:ascii="仿宋_GB2312" w:hAnsi="仿宋_GB2312" w:eastAsia="仿宋_GB2312" w:cs="仿宋_GB2312"/>
          <w:sz w:val="32"/>
          <w:szCs w:val="22"/>
          <w:lang w:val="en-US"/>
        </w:rPr>
        <w:t>为全额拨款事业单位</w:t>
      </w:r>
      <w:r>
        <w:rPr>
          <w:rFonts w:hint="eastAsia" w:ascii="仿宋_GB2312" w:hAnsi="仿宋_GB2312" w:eastAsia="仿宋_GB2312" w:cs="仿宋_GB2312"/>
          <w:sz w:val="32"/>
          <w:szCs w:val="22"/>
        </w:rPr>
        <w:t>，编制数</w:t>
      </w:r>
      <w:r>
        <w:rPr>
          <w:rFonts w:hint="eastAsia" w:ascii="仿宋_GB2312" w:hAnsi="仿宋_GB2312" w:eastAsia="仿宋_GB2312" w:cs="仿宋_GB2312"/>
          <w:sz w:val="32"/>
          <w:szCs w:val="22"/>
          <w:lang w:val="en-US"/>
        </w:rPr>
        <w:t>32名，其中单位领导职数4名。</w:t>
      </w:r>
    </w:p>
    <w:p>
      <w:pPr>
        <w:ind w:firstLine="645"/>
        <w:rPr>
          <w:rFonts w:ascii="仿宋_GB2312" w:eastAsia="仿宋_GB2312"/>
          <w:sz w:val="32"/>
          <w:szCs w:val="32"/>
        </w:rPr>
      </w:pPr>
      <w:r>
        <w:rPr>
          <w:rFonts w:hint="eastAsia" w:ascii="仿宋_GB2312" w:hAnsi="仿宋_GB2312" w:eastAsia="仿宋_GB2312" w:cs="仿宋_GB2312"/>
          <w:sz w:val="32"/>
          <w:szCs w:val="22"/>
          <w:lang w:val="zh-CN"/>
        </w:rPr>
        <w:t>柳州市政府集中采购中心</w:t>
      </w:r>
      <w:r>
        <w:rPr>
          <w:rFonts w:hint="eastAsia" w:ascii="仿宋_GB2312" w:hAnsi="仿宋_GB2312" w:eastAsia="仿宋_GB2312" w:cs="仿宋_GB2312"/>
          <w:sz w:val="32"/>
          <w:szCs w:val="22"/>
        </w:rPr>
        <w:t>内设机构7个，分别为：</w:t>
      </w:r>
      <w:r>
        <w:rPr>
          <w:rFonts w:hint="eastAsia" w:ascii="仿宋_GB2312" w:hAnsi="华文仿宋" w:eastAsia="仿宋_GB2312" w:cs="仿宋_GB2312"/>
          <w:color w:val="000000"/>
          <w:sz w:val="32"/>
          <w:szCs w:val="32"/>
        </w:rPr>
        <w:t>综合科、监督科、采购一科、采购二科、采购三科、信息科、合同科。</w:t>
      </w:r>
    </w:p>
    <w:p>
      <w:pPr>
        <w:jc w:val="center"/>
      </w:pPr>
      <w:r>
        <w:rPr>
          <w:rFonts w:hint="eastAsia" w:ascii="仿宋_GB2312" w:eastAsia="仿宋_GB2312"/>
          <w:b/>
          <w:sz w:val="32"/>
          <w:szCs w:val="32"/>
        </w:rPr>
        <w:t>第二部分：</w:t>
      </w:r>
      <w:r>
        <w:rPr>
          <w:rFonts w:hint="eastAsia" w:ascii="仿宋_GB2312" w:hAnsi="华文仿宋" w:eastAsia="仿宋_GB2312"/>
          <w:b/>
          <w:bCs/>
          <w:color w:val="000000"/>
          <w:sz w:val="32"/>
          <w:szCs w:val="32"/>
          <w:lang w:val="zh-CN"/>
        </w:rPr>
        <w:t>柳州市政府集中采购中心</w:t>
      </w:r>
      <w:r>
        <w:rPr>
          <w:rFonts w:hint="eastAsia" w:ascii="仿宋_GB2312" w:eastAsia="仿宋_GB2312"/>
          <w:b/>
          <w:sz w:val="32"/>
          <w:szCs w:val="32"/>
        </w:rPr>
        <w:t>2020年单位决算报表</w:t>
      </w:r>
    </w:p>
    <w:p>
      <w:pPr>
        <w:jc w:val="center"/>
      </w:pPr>
    </w:p>
    <w:p/>
    <w:tbl>
      <w:tblPr>
        <w:tblStyle w:val="6"/>
        <w:tblW w:w="13490" w:type="dxa"/>
        <w:jc w:val="center"/>
        <w:tblLayout w:type="fixed"/>
        <w:tblCellMar>
          <w:top w:w="0" w:type="dxa"/>
          <w:left w:w="108" w:type="dxa"/>
          <w:bottom w:w="0" w:type="dxa"/>
          <w:right w:w="108" w:type="dxa"/>
        </w:tblCellMar>
      </w:tblPr>
      <w:tblGrid>
        <w:gridCol w:w="5235"/>
        <w:gridCol w:w="2130"/>
        <w:gridCol w:w="3765"/>
        <w:gridCol w:w="2360"/>
      </w:tblGrid>
      <w:tr>
        <w:tblPrEx>
          <w:tblCellMar>
            <w:top w:w="0" w:type="dxa"/>
            <w:left w:w="108" w:type="dxa"/>
            <w:bottom w:w="0" w:type="dxa"/>
            <w:right w:w="108" w:type="dxa"/>
          </w:tblCellMar>
        </w:tblPrEx>
        <w:trPr>
          <w:trHeight w:val="570" w:hRule="atLeast"/>
          <w:jc w:val="center"/>
        </w:trPr>
        <w:tc>
          <w:tcPr>
            <w:tcW w:w="1349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736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612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21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7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23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21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485.83</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422.51</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color w:val="000000"/>
                <w:sz w:val="22"/>
                <w:szCs w:val="22"/>
              </w:rPr>
              <w:t>八、社会保障和就业支出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42.01</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color w:val="000000"/>
                <w:sz w:val="22"/>
                <w:szCs w:val="22"/>
              </w:rPr>
              <w:t>九、卫生健康支出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11.99</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color w:val="000000"/>
                <w:sz w:val="22"/>
                <w:szCs w:val="22"/>
              </w:rPr>
              <w:t>十九、住房保障支出</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27.28</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213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485.83</w:t>
            </w:r>
          </w:p>
        </w:tc>
        <w:tc>
          <w:tcPr>
            <w:tcW w:w="376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503.80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79.55</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61.59</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13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6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52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213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565.39</w:t>
            </w:r>
          </w:p>
        </w:tc>
        <w:tc>
          <w:tcPr>
            <w:tcW w:w="376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2360"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565.39</w:t>
            </w:r>
          </w:p>
        </w:tc>
      </w:tr>
    </w:tbl>
    <w:p>
      <w:p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1701" w:bottom="1418" w:left="1134"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730"/>
        <w:gridCol w:w="1122"/>
        <w:gridCol w:w="1540"/>
        <w:gridCol w:w="1540"/>
        <w:gridCol w:w="1540"/>
        <w:gridCol w:w="1540"/>
        <w:gridCol w:w="154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3778" w:type="dxa"/>
            <w:gridSpan w:val="2"/>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122"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348" w:type="dxa"/>
            <w:vMerge w:val="restart"/>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730"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122" w:type="dxa"/>
            <w:vMerge w:val="continue"/>
            <w:tcBorders>
              <w:tl2br w:val="nil"/>
              <w:tr2bl w:val="nil"/>
            </w:tcBorders>
            <w:vAlign w:val="center"/>
          </w:tcPr>
          <w:p>
            <w:pPr>
              <w:widowControl/>
              <w:jc w:val="left"/>
              <w:rPr>
                <w:rFonts w:ascii="宋体" w:hAnsi="宋体" w:cs="Arial"/>
                <w:kern w:val="0"/>
                <w:sz w:val="22"/>
                <w:szCs w:val="22"/>
              </w:rPr>
            </w:pPr>
          </w:p>
        </w:tc>
        <w:tc>
          <w:tcPr>
            <w:tcW w:w="1540" w:type="dxa"/>
            <w:vMerge w:val="continue"/>
            <w:tcBorders>
              <w:tl2br w:val="nil"/>
              <w:tr2bl w:val="nil"/>
            </w:tcBorders>
            <w:vAlign w:val="center"/>
          </w:tcPr>
          <w:p>
            <w:pPr>
              <w:widowControl/>
              <w:jc w:val="left"/>
              <w:rPr>
                <w:rFonts w:ascii="宋体" w:hAnsi="宋体" w:cs="Arial"/>
                <w:kern w:val="0"/>
                <w:sz w:val="22"/>
                <w:szCs w:val="22"/>
              </w:rPr>
            </w:pPr>
          </w:p>
        </w:tc>
        <w:tc>
          <w:tcPr>
            <w:tcW w:w="1540" w:type="dxa"/>
            <w:vMerge w:val="continue"/>
            <w:tcBorders>
              <w:tl2br w:val="nil"/>
              <w:tr2bl w:val="nil"/>
            </w:tcBorders>
            <w:vAlign w:val="center"/>
          </w:tcPr>
          <w:p>
            <w:pPr>
              <w:widowControl/>
              <w:jc w:val="left"/>
              <w:rPr>
                <w:rFonts w:ascii="宋体" w:hAnsi="宋体" w:cs="Arial"/>
                <w:kern w:val="0"/>
                <w:sz w:val="22"/>
                <w:szCs w:val="22"/>
              </w:rPr>
            </w:pPr>
          </w:p>
        </w:tc>
        <w:tc>
          <w:tcPr>
            <w:tcW w:w="1540" w:type="dxa"/>
            <w:vMerge w:val="continue"/>
            <w:tcBorders>
              <w:tl2br w:val="nil"/>
              <w:tr2bl w:val="nil"/>
            </w:tcBorders>
            <w:vAlign w:val="center"/>
          </w:tcPr>
          <w:p>
            <w:pPr>
              <w:widowControl/>
              <w:jc w:val="left"/>
              <w:rPr>
                <w:rFonts w:ascii="宋体" w:hAnsi="宋体" w:cs="Arial"/>
                <w:color w:val="000000"/>
                <w:kern w:val="0"/>
                <w:sz w:val="22"/>
                <w:szCs w:val="22"/>
              </w:rPr>
            </w:pPr>
          </w:p>
        </w:tc>
        <w:tc>
          <w:tcPr>
            <w:tcW w:w="1540" w:type="dxa"/>
            <w:vMerge w:val="continue"/>
            <w:tcBorders>
              <w:tl2br w:val="nil"/>
              <w:tr2bl w:val="nil"/>
            </w:tcBorders>
            <w:vAlign w:val="center"/>
          </w:tcPr>
          <w:p>
            <w:pPr>
              <w:widowControl/>
              <w:jc w:val="left"/>
              <w:rPr>
                <w:rFonts w:ascii="宋体" w:hAnsi="宋体" w:cs="Arial"/>
                <w:color w:val="000000"/>
                <w:kern w:val="0"/>
                <w:sz w:val="22"/>
                <w:szCs w:val="22"/>
              </w:rPr>
            </w:pPr>
          </w:p>
        </w:tc>
        <w:tc>
          <w:tcPr>
            <w:tcW w:w="1540" w:type="dxa"/>
            <w:vMerge w:val="continue"/>
            <w:tcBorders>
              <w:tl2br w:val="nil"/>
              <w:tr2bl w:val="nil"/>
            </w:tcBorders>
            <w:vAlign w:val="center"/>
          </w:tcPr>
          <w:p>
            <w:pPr>
              <w:widowControl/>
              <w:jc w:val="left"/>
              <w:rPr>
                <w:rFonts w:ascii="宋体" w:hAnsi="宋体" w:cs="Arial"/>
                <w:kern w:val="0"/>
                <w:sz w:val="22"/>
                <w:szCs w:val="22"/>
              </w:rPr>
            </w:pPr>
          </w:p>
        </w:tc>
        <w:tc>
          <w:tcPr>
            <w:tcW w:w="1348" w:type="dxa"/>
            <w:vMerge w:val="continue"/>
            <w:tcBorders>
              <w:tl2br w:val="nil"/>
              <w:tr2bl w:val="nil"/>
            </w:tcBorders>
            <w:vAlign w:val="center"/>
          </w:tcPr>
          <w:p>
            <w:pPr>
              <w:widowControl/>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78" w:type="dxa"/>
            <w:gridSpan w:val="2"/>
            <w:tcBorders>
              <w:tl2br w:val="nil"/>
              <w:tr2bl w:val="nil"/>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122"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l2br w:val="nil"/>
              <w:tr2bl w:val="nil"/>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l2br w:val="nil"/>
              <w:tr2bl w:val="nil"/>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348"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78" w:type="dxa"/>
            <w:gridSpan w:val="2"/>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22" w:type="dxa"/>
            <w:tcBorders>
              <w:tl2br w:val="nil"/>
              <w:tr2bl w:val="nil"/>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485.83</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485.83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一般公共服务支出</w:t>
            </w:r>
          </w:p>
        </w:tc>
        <w:tc>
          <w:tcPr>
            <w:tcW w:w="1122" w:type="dxa"/>
            <w:tcBorders>
              <w:tl2br w:val="nil"/>
              <w:tr2bl w:val="nil"/>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380.99</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380.99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政府办公厅（室）及相关机构事务</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380.99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380.99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2010303</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机关服务</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255.28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255.28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2010350</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事业运行</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0.71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0.71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2010399</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其他政府办公厅（室）及相关机构事务支出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125.00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125.00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社会保障和就业支出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66.98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66.98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行政事业单位养老支出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66.98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66.98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2080505</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48.64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48.64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2080506</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机关事业单位职业年金缴费支出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18.34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18.34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卫生健康支出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21011</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行政事业单位医疗</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2101102</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事业单位医疗</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10.58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住房保障支出</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b/>
                <w:bCs/>
                <w:color w:val="000000"/>
                <w:kern w:val="0"/>
                <w:sz w:val="22"/>
                <w:szCs w:val="22"/>
              </w:rPr>
            </w:pPr>
            <w:r>
              <w:rPr>
                <w:rFonts w:hint="eastAsia" w:ascii="宋体" w:hAnsi="宋体" w:cs="宋体"/>
                <w:color w:val="000000"/>
                <w:kern w:val="0"/>
                <w:sz w:val="22"/>
                <w:szCs w:val="22"/>
              </w:rPr>
              <w:t>22102</w:t>
            </w:r>
          </w:p>
        </w:tc>
        <w:tc>
          <w:tcPr>
            <w:tcW w:w="2730" w:type="dxa"/>
            <w:tcBorders>
              <w:tl2br w:val="nil"/>
              <w:tr2bl w:val="nil"/>
            </w:tcBorders>
            <w:vAlign w:val="center"/>
          </w:tcPr>
          <w:p>
            <w:pPr>
              <w:widowControl/>
              <w:jc w:val="left"/>
              <w:textAlignment w:val="center"/>
              <w:rPr>
                <w:rFonts w:ascii="宋体" w:hAnsi="宋体" w:cs="Arial"/>
                <w:b/>
                <w:bCs/>
                <w:color w:val="000000"/>
                <w:kern w:val="0"/>
                <w:sz w:val="22"/>
                <w:szCs w:val="22"/>
              </w:rPr>
            </w:pPr>
            <w:r>
              <w:rPr>
                <w:rFonts w:hint="eastAsia" w:ascii="宋体" w:hAnsi="宋体" w:cs="宋体"/>
                <w:color w:val="000000"/>
                <w:kern w:val="0"/>
                <w:sz w:val="22"/>
                <w:szCs w:val="22"/>
              </w:rPr>
              <w:t>住房改革支出</w:t>
            </w:r>
          </w:p>
        </w:tc>
        <w:tc>
          <w:tcPr>
            <w:tcW w:w="1122"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27.28 </w:t>
            </w:r>
          </w:p>
        </w:tc>
        <w:tc>
          <w:tcPr>
            <w:tcW w:w="1540"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27.28 </w:t>
            </w:r>
          </w:p>
        </w:tc>
        <w:tc>
          <w:tcPr>
            <w:tcW w:w="1540"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b/>
                <w:bCs/>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2210201</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住房公积金</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25.15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25.15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48"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2210203</w:t>
            </w:r>
          </w:p>
        </w:tc>
        <w:tc>
          <w:tcPr>
            <w:tcW w:w="273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购房补贴</w:t>
            </w:r>
          </w:p>
        </w:tc>
        <w:tc>
          <w:tcPr>
            <w:tcW w:w="112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2.13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2.13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540"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348"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bl>
    <w:p/>
    <w:p>
      <w:r>
        <w:rPr>
          <w:rFonts w:hint="eastAsia"/>
        </w:rPr>
        <w:t>注：本表反映部门本年度取得的各项收入情况。</w:t>
      </w:r>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l2br w:val="nil"/>
              <w:tr2bl w:val="nil"/>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l2br w:val="nil"/>
              <w:tr2bl w:val="nil"/>
            </w:tcBorders>
            <w:vAlign w:val="center"/>
          </w:tcPr>
          <w:p>
            <w:pPr>
              <w:widowControl/>
              <w:jc w:val="left"/>
              <w:rPr>
                <w:rFonts w:ascii="宋体" w:hAnsi="宋体" w:cs="Arial"/>
                <w:kern w:val="0"/>
                <w:sz w:val="22"/>
                <w:szCs w:val="22"/>
              </w:rPr>
            </w:pPr>
          </w:p>
        </w:tc>
        <w:tc>
          <w:tcPr>
            <w:tcW w:w="1842" w:type="dxa"/>
            <w:vMerge w:val="continue"/>
            <w:tcBorders>
              <w:tl2br w:val="nil"/>
              <w:tr2bl w:val="nil"/>
            </w:tcBorders>
            <w:vAlign w:val="center"/>
          </w:tcPr>
          <w:p>
            <w:pPr>
              <w:widowControl/>
              <w:jc w:val="left"/>
              <w:rPr>
                <w:rFonts w:ascii="宋体" w:hAnsi="宋体" w:cs="Arial"/>
                <w:color w:val="000000"/>
                <w:kern w:val="0"/>
                <w:sz w:val="22"/>
                <w:szCs w:val="22"/>
              </w:rPr>
            </w:pPr>
          </w:p>
        </w:tc>
        <w:tc>
          <w:tcPr>
            <w:tcW w:w="1701" w:type="dxa"/>
            <w:vMerge w:val="continue"/>
            <w:tcBorders>
              <w:tl2br w:val="nil"/>
              <w:tr2bl w:val="nil"/>
            </w:tcBorders>
            <w:vAlign w:val="center"/>
          </w:tcPr>
          <w:p>
            <w:pPr>
              <w:widowControl/>
              <w:jc w:val="left"/>
              <w:rPr>
                <w:rFonts w:ascii="宋体" w:hAnsi="宋体" w:cs="Arial"/>
                <w:color w:val="000000"/>
                <w:kern w:val="0"/>
                <w:sz w:val="22"/>
                <w:szCs w:val="22"/>
              </w:rPr>
            </w:pPr>
          </w:p>
        </w:tc>
        <w:tc>
          <w:tcPr>
            <w:tcW w:w="1701" w:type="dxa"/>
            <w:vMerge w:val="continue"/>
            <w:tcBorders>
              <w:tl2br w:val="nil"/>
              <w:tr2bl w:val="nil"/>
            </w:tcBorders>
            <w:vAlign w:val="center"/>
          </w:tcPr>
          <w:p>
            <w:pPr>
              <w:widowControl/>
              <w:jc w:val="left"/>
              <w:rPr>
                <w:rFonts w:ascii="宋体" w:hAnsi="宋体" w:cs="Arial"/>
                <w:kern w:val="0"/>
                <w:sz w:val="22"/>
                <w:szCs w:val="22"/>
              </w:rPr>
            </w:pPr>
          </w:p>
        </w:tc>
        <w:tc>
          <w:tcPr>
            <w:tcW w:w="1843" w:type="dxa"/>
            <w:vMerge w:val="continue"/>
            <w:tcBorders>
              <w:tl2br w:val="nil"/>
              <w:tr2bl w:val="nil"/>
            </w:tcBorders>
            <w:vAlign w:val="center"/>
          </w:tcPr>
          <w:p>
            <w:pPr>
              <w:widowControl/>
              <w:jc w:val="left"/>
              <w:rPr>
                <w:rFonts w:ascii="宋体" w:hAnsi="宋体" w:cs="Arial"/>
                <w:color w:val="000000"/>
                <w:kern w:val="0"/>
                <w:sz w:val="22"/>
                <w:szCs w:val="22"/>
              </w:rPr>
            </w:pPr>
          </w:p>
        </w:tc>
        <w:tc>
          <w:tcPr>
            <w:tcW w:w="1985" w:type="dxa"/>
            <w:vMerge w:val="continue"/>
            <w:tcBorders>
              <w:tl2br w:val="nil"/>
              <w:tr2bl w:val="nil"/>
            </w:tcBorders>
            <w:vAlign w:val="center"/>
          </w:tcPr>
          <w:p>
            <w:pPr>
              <w:widowControl/>
              <w:jc w:val="left"/>
              <w:rPr>
                <w:rFonts w:ascii="宋体" w:hAnsi="宋体" w:cs="Arial"/>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tcBorders>
              <w:tl2br w:val="nil"/>
              <w:tr2bl w:val="nil"/>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l2br w:val="nil"/>
              <w:tr2bl w:val="nil"/>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l2br w:val="nil"/>
              <w:tr2bl w:val="nil"/>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l2br w:val="nil"/>
              <w:tr2bl w:val="nil"/>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l2br w:val="nil"/>
              <w:tr2bl w:val="nil"/>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l2br w:val="nil"/>
              <w:tr2bl w:val="nil"/>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tcBorders>
              <w:tl2br w:val="nil"/>
              <w:tr2bl w:val="nil"/>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503.</w:t>
            </w:r>
            <w:r>
              <w:rPr>
                <w:rFonts w:hint="eastAsia" w:ascii="Arial" w:hAnsi="Arial" w:cs="Arial"/>
                <w:color w:val="000000"/>
                <w:kern w:val="0"/>
                <w:sz w:val="20"/>
                <w:szCs w:val="20"/>
              </w:rPr>
              <w:t>80</w:t>
            </w:r>
            <w:r>
              <w:rPr>
                <w:rFonts w:ascii="Arial" w:hAnsi="Arial" w:cs="Arial"/>
                <w:color w:val="000000"/>
                <w:kern w:val="0"/>
                <w:sz w:val="20"/>
                <w:szCs w:val="20"/>
              </w:rPr>
              <w:t xml:space="preserve">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392.05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111.75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一般公共服务支出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422.51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310.76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111.75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政府办公厅（室）及相关机构事务</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422.51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310.76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111.75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2010303</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机关服务</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308.77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308.77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2010350</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事业运行</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1.99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1.99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2010399</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其他政府办公厅（室）及相关机构事务支出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111.75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111.75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社会保障和就业支出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42.01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42.01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行政事业单位养老支出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42.01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42.01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2080505</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机关事业单位基本养老保险缴费支出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28.01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28.01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2080506</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机关事业单位职业年金缴费支出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14.00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14.00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卫生健康支出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21011</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行政事业单位医疗</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2101102</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事业单位医疗</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11.99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住房保障支出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22102</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住房改革支出</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27.28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2210201</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住房公积金</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25.15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25.15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2210203</w:t>
            </w:r>
          </w:p>
        </w:tc>
        <w:tc>
          <w:tcPr>
            <w:tcW w:w="1812" w:type="dxa"/>
            <w:tcBorders>
              <w:tl2br w:val="nil"/>
              <w:tr2bl w:val="nil"/>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 xml:space="preserve">  购房补贴</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2.13 </w:t>
            </w:r>
          </w:p>
        </w:tc>
        <w:tc>
          <w:tcPr>
            <w:tcW w:w="1842"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2.13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701"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843"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c>
          <w:tcPr>
            <w:tcW w:w="1985" w:type="dxa"/>
            <w:tcBorders>
              <w:tl2br w:val="nil"/>
              <w:tr2bl w:val="nil"/>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0.00 </w:t>
            </w:r>
          </w:p>
        </w:tc>
      </w:tr>
    </w:tbl>
    <w:p/>
    <w:p>
      <w:r>
        <w:rPr>
          <w:rFonts w:hint="eastAsia"/>
        </w:rPr>
        <w:t>注：本表反映部门本年度各项支出情况。</w:t>
      </w:r>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6"/>
        <w:tblW w:w="13765" w:type="dxa"/>
        <w:jc w:val="center"/>
        <w:tblLayout w:type="fixed"/>
        <w:tblCellMar>
          <w:top w:w="0" w:type="dxa"/>
          <w:left w:w="108" w:type="dxa"/>
          <w:bottom w:w="0" w:type="dxa"/>
          <w:right w:w="108" w:type="dxa"/>
        </w:tblCellMar>
      </w:tblPr>
      <w:tblGrid>
        <w:gridCol w:w="4858"/>
        <w:gridCol w:w="551"/>
        <w:gridCol w:w="954"/>
        <w:gridCol w:w="2989"/>
        <w:gridCol w:w="681"/>
        <w:gridCol w:w="1267"/>
        <w:gridCol w:w="1149"/>
        <w:gridCol w:w="1316"/>
      </w:tblGrid>
      <w:tr>
        <w:tblPrEx>
          <w:tblCellMar>
            <w:top w:w="0" w:type="dxa"/>
            <w:left w:w="108" w:type="dxa"/>
            <w:bottom w:w="0" w:type="dxa"/>
            <w:right w:w="108" w:type="dxa"/>
          </w:tblCellMar>
        </w:tblPrEx>
        <w:trPr>
          <w:trHeight w:val="300" w:hRule="atLeast"/>
          <w:jc w:val="center"/>
        </w:trPr>
        <w:tc>
          <w:tcPr>
            <w:tcW w:w="6363"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402"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jc w:val="center"/>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5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95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298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5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989"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485.83　</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422.51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422.51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149"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149"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149"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149"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hAnsi="宋体" w:cs="Arial"/>
                <w:color w:val="000000"/>
                <w:kern w:val="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42.01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42.01</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11.99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11.99　</w:t>
            </w:r>
          </w:p>
        </w:tc>
        <w:tc>
          <w:tcPr>
            <w:tcW w:w="131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95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2989"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27.28</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27.28</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0.00</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485.83　</w:t>
            </w:r>
          </w:p>
        </w:tc>
        <w:tc>
          <w:tcPr>
            <w:tcW w:w="298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503.80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79.55　</w:t>
            </w:r>
          </w:p>
        </w:tc>
        <w:tc>
          <w:tcPr>
            <w:tcW w:w="298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61.59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79.55　</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2989"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95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565.39　</w:t>
            </w:r>
          </w:p>
        </w:tc>
        <w:tc>
          <w:tcPr>
            <w:tcW w:w="298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565.39</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3000"/>
        <w:gridCol w:w="2900"/>
        <w:gridCol w:w="2900"/>
        <w:gridCol w:w="3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283" w:type="dxa"/>
            <w:gridSpan w:val="2"/>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83" w:type="dxa"/>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vAlign w:val="center"/>
          </w:tcPr>
          <w:p>
            <w:pPr>
              <w:widowControl/>
              <w:jc w:val="left"/>
              <w:rPr>
                <w:rFonts w:ascii="Arial" w:hAnsi="Arial" w:cs="Arial"/>
                <w:color w:val="000000"/>
                <w:kern w:val="0"/>
                <w:sz w:val="20"/>
                <w:szCs w:val="20"/>
              </w:rPr>
            </w:pPr>
          </w:p>
        </w:tc>
        <w:tc>
          <w:tcPr>
            <w:tcW w:w="2900" w:type="dxa"/>
            <w:vMerge w:val="continue"/>
            <w:vAlign w:val="center"/>
          </w:tcPr>
          <w:p>
            <w:pPr>
              <w:widowControl/>
              <w:jc w:val="left"/>
              <w:rPr>
                <w:rFonts w:ascii="Arial" w:hAnsi="Arial" w:cs="Arial"/>
                <w:color w:val="000000"/>
                <w:kern w:val="0"/>
                <w:sz w:val="20"/>
                <w:szCs w:val="20"/>
              </w:rPr>
            </w:pPr>
          </w:p>
        </w:tc>
        <w:tc>
          <w:tcPr>
            <w:tcW w:w="3396" w:type="dxa"/>
            <w:vMerge w:val="continue"/>
            <w:vAlign w:val="center"/>
          </w:tcPr>
          <w:p>
            <w:pPr>
              <w:widowControl/>
              <w:jc w:val="left"/>
              <w:rPr>
                <w:rFonts w:ascii="Arial" w:hAnsi="Arial" w:cs="Arial"/>
                <w:color w:val="00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4283" w:type="dxa"/>
            <w:gridSpan w:val="2"/>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4283" w:type="dxa"/>
            <w:gridSpan w:val="2"/>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503.</w:t>
            </w:r>
            <w:r>
              <w:rPr>
                <w:rFonts w:hint="eastAsia" w:ascii="Arial" w:hAnsi="Arial" w:cs="Arial"/>
                <w:color w:val="000000"/>
                <w:kern w:val="0"/>
                <w:sz w:val="20"/>
                <w:szCs w:val="20"/>
              </w:rPr>
              <w:t>80</w:t>
            </w:r>
            <w:r>
              <w:rPr>
                <w:rFonts w:ascii="Arial" w:hAnsi="Arial" w:cs="Arial"/>
                <w:color w:val="000000"/>
                <w:kern w:val="0"/>
                <w:sz w:val="20"/>
                <w:szCs w:val="20"/>
              </w:rPr>
              <w:t xml:space="preserve">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392.05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111.75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83" w:type="dxa"/>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一般公共服务支出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422.51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310.76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111.75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83" w:type="dxa"/>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政府办公厅（室）及相关机构事务</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422.51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310.76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111.75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283" w:type="dxa"/>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2010303</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机关服务</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308.77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308.77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2010350</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事业运行</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1.99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1.99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2010399</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其他政府办公厅（室）及相关机构事务支出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111.75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111.75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20113</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商贸事务</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2011308</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招商引资</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208</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社会保障和就业支出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42.01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42.01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20805</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行政事业单位养老支出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42.01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42.01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2080505</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机关事业单位基本养老保险缴费支出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28.01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28.01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2080506</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机关事业单位职业年金缴费支出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14.00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14.00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210</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卫生健康支出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21011</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行政事业单位医疗</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2101102</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事业单位医疗</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11.99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221</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住房保障支出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27.28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27.28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22102</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住房改革支出</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27.28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27.28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2210201</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住房公积金</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25.15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25.15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283"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2210203</w:t>
            </w:r>
          </w:p>
        </w:tc>
        <w:tc>
          <w:tcPr>
            <w:tcW w:w="3000" w:type="dxa"/>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 xml:space="preserve">  购房补贴</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2.13 </w:t>
            </w:r>
          </w:p>
        </w:tc>
        <w:tc>
          <w:tcPr>
            <w:tcW w:w="2900"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2.13 </w:t>
            </w:r>
          </w:p>
        </w:tc>
        <w:tc>
          <w:tcPr>
            <w:tcW w:w="3396" w:type="dxa"/>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 xml:space="preserve">0.00 </w:t>
            </w:r>
          </w:p>
        </w:tc>
      </w:tr>
    </w:tbl>
    <w:p/>
    <w:p>
      <w:r>
        <w:rPr>
          <w:rFonts w:hint="eastAsia"/>
        </w:rPr>
        <w:t>注：本表反映部门本年度一般公共预算财政拨款实际支出情况。</w:t>
      </w:r>
    </w:p>
    <w:p/>
    <w:p/>
    <w:p/>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bookmarkStart w:id="0" w:name="_GoBack"/>
      <w:bookmarkEnd w:id="0"/>
      <w:r>
        <w:rPr>
          <w:rFonts w:hint="eastAsia" w:ascii="宋体" w:hAnsi="宋体" w:cs="宋体"/>
          <w:kern w:val="0"/>
          <w:sz w:val="22"/>
          <w:szCs w:val="22"/>
        </w:rPr>
        <w:t>单位：万元</w:t>
      </w:r>
    </w:p>
    <w:tbl>
      <w:tblPr>
        <w:tblStyle w:val="6"/>
        <w:tblpPr w:leftFromText="180" w:rightFromText="180" w:vertAnchor="text" w:horzAnchor="page" w:tblpXSpec="center" w:tblpY="783"/>
        <w:tblOverlap w:val="never"/>
        <w:tblW w:w="12570" w:type="dxa"/>
        <w:jc w:val="center"/>
        <w:tblLayout w:type="fixed"/>
        <w:tblCellMar>
          <w:top w:w="0" w:type="dxa"/>
          <w:left w:w="108" w:type="dxa"/>
          <w:bottom w:w="0" w:type="dxa"/>
          <w:right w:w="108" w:type="dxa"/>
        </w:tblCellMar>
      </w:tblPr>
      <w:tblGrid>
        <w:gridCol w:w="1455"/>
        <w:gridCol w:w="3240"/>
        <w:gridCol w:w="1872"/>
        <w:gridCol w:w="1203"/>
        <w:gridCol w:w="2625"/>
        <w:gridCol w:w="2175"/>
      </w:tblGrid>
      <w:tr>
        <w:tblPrEx>
          <w:tblCellMar>
            <w:top w:w="0" w:type="dxa"/>
            <w:left w:w="108" w:type="dxa"/>
            <w:bottom w:w="0" w:type="dxa"/>
            <w:right w:w="108" w:type="dxa"/>
          </w:tblCellMar>
        </w:tblPrEx>
        <w:trPr>
          <w:trHeight w:val="564" w:hRule="atLeast"/>
          <w:jc w:val="center"/>
        </w:trPr>
        <w:tc>
          <w:tcPr>
            <w:tcW w:w="656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600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455"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7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20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62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7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372.67 </w:t>
            </w:r>
          </w:p>
        </w:tc>
        <w:tc>
          <w:tcPr>
            <w:tcW w:w="12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62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19.36 </w:t>
            </w:r>
          </w:p>
        </w:tc>
      </w:tr>
      <w:tr>
        <w:tblPrEx>
          <w:tblCellMar>
            <w:top w:w="0" w:type="dxa"/>
            <w:left w:w="108" w:type="dxa"/>
            <w:bottom w:w="0" w:type="dxa"/>
            <w:right w:w="108" w:type="dxa"/>
          </w:tblCellMar>
        </w:tblPrEx>
        <w:trPr>
          <w:trHeight w:val="264"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240" w:type="dxa"/>
            <w:tcBorders>
              <w:top w:val="nil"/>
              <w:left w:val="nil"/>
              <w:bottom w:val="single" w:color="auto" w:sz="4" w:space="0"/>
              <w:right w:val="single" w:color="auto" w:sz="4" w:space="0"/>
            </w:tcBorders>
            <w:vAlign w:val="bottom"/>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基本工资</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82.99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30201</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3.94 </w:t>
            </w:r>
          </w:p>
        </w:tc>
      </w:tr>
      <w:tr>
        <w:tblPrEx>
          <w:tblCellMar>
            <w:top w:w="0" w:type="dxa"/>
            <w:left w:w="108" w:type="dxa"/>
            <w:bottom w:w="0" w:type="dxa"/>
            <w:right w:w="108" w:type="dxa"/>
          </w:tblCellMar>
        </w:tblPrEx>
        <w:trPr>
          <w:trHeight w:val="264"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240" w:type="dxa"/>
            <w:tcBorders>
              <w:top w:val="nil"/>
              <w:left w:val="nil"/>
              <w:bottom w:val="single" w:color="auto" w:sz="4" w:space="0"/>
              <w:right w:val="single" w:color="auto" w:sz="4" w:space="0"/>
            </w:tcBorders>
            <w:vAlign w:val="bottom"/>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津贴补贴</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7.70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30202</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印刷费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1.42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240" w:type="dxa"/>
            <w:tcBorders>
              <w:top w:val="nil"/>
              <w:left w:val="nil"/>
              <w:bottom w:val="single" w:color="auto" w:sz="4" w:space="0"/>
              <w:right w:val="single" w:color="auto" w:sz="4" w:space="0"/>
            </w:tcBorders>
            <w:vAlign w:val="bottom"/>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奖金  　</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1.05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30203</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咨询费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伙食补助费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11.46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30204</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手续费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绩效工资</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180.97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30205</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水费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机关事业单位基本养老保险缴费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28.01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30206</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电费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职业年金缴费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14.00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30207</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邮电费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1.37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职工基本医疗保险缴费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12.90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30208</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取暖费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公务员医疗补助缴费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c>
          <w:tcPr>
            <w:tcW w:w="120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30309</w:t>
            </w:r>
          </w:p>
        </w:tc>
        <w:tc>
          <w:tcPr>
            <w:tcW w:w="2625" w:type="dxa"/>
            <w:tcBorders>
              <w:top w:val="nil"/>
              <w:left w:val="nil"/>
              <w:bottom w:val="single" w:color="auto" w:sz="4" w:space="0"/>
              <w:right w:val="single" w:color="auto" w:sz="4" w:space="0"/>
            </w:tcBorders>
            <w:vAlign w:val="bottom"/>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物业管理费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1.05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30211</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差旅费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宋体" w:hAnsi="宋体" w:cs="Arial"/>
                <w:color w:val="000000"/>
                <w:kern w:val="0"/>
                <w:sz w:val="22"/>
                <w:szCs w:val="22"/>
              </w:rPr>
            </w:pPr>
            <w:r>
              <w:rPr>
                <w:rFonts w:ascii="Arial" w:hAnsi="Arial" w:cs="Arial"/>
                <w:color w:val="000000"/>
                <w:kern w:val="0"/>
                <w:sz w:val="20"/>
                <w:szCs w:val="20"/>
              </w:rPr>
              <w:t xml:space="preserve">0.90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32.53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30212</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因公出国（境）费用</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医疗费</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30213</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维修（护）费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0.95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其他工资福利支出</w:t>
            </w:r>
          </w:p>
        </w:tc>
        <w:tc>
          <w:tcPr>
            <w:tcW w:w="1872"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30214</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租赁费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2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8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Arial" w:hAnsi="Arial" w:cs="Arial"/>
                <w:color w:val="000000"/>
                <w:kern w:val="0"/>
                <w:sz w:val="20"/>
                <w:szCs w:val="20"/>
              </w:rPr>
              <w:t>0.02</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30215</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30301</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离休费</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30216</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培训费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0.09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30302</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退休费</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30217</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公务接待费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0.12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30303</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退职（役）费</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30218</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专用材料费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30304</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抚恤金</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30224</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被装购置费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30305</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生活补助</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30225</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专用燃料费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30306</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救济费</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30226</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劳务费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2.17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30307</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医疗费补助</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30227</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委托业务费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30308</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助学金</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w:t>
            </w:r>
            <w:r>
              <w:rPr>
                <w:rFonts w:hint="eastAsia" w:ascii="Arial" w:hAnsi="Arial" w:cs="Arial"/>
                <w:color w:val="000000"/>
                <w:kern w:val="0"/>
                <w:sz w:val="20"/>
                <w:szCs w:val="20"/>
              </w:rPr>
              <w:t>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30228</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工会经费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3.48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奖励金</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hint="eastAsia" w:ascii="Arial" w:hAnsi="Arial" w:cs="Arial"/>
                <w:color w:val="000000"/>
                <w:kern w:val="0"/>
                <w:sz w:val="20"/>
                <w:szCs w:val="20"/>
              </w:rPr>
              <w:t>0.02</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30229</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福利费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30310</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个人农业生产补贴</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30231</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30399</w:t>
            </w:r>
          </w:p>
        </w:tc>
        <w:tc>
          <w:tcPr>
            <w:tcW w:w="3240"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其他对个人和家庭的补助</w:t>
            </w: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30239</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其他交通费用</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0.00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30240</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税金及附加费用</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1.65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30299</w:t>
            </w:r>
          </w:p>
        </w:tc>
        <w:tc>
          <w:tcPr>
            <w:tcW w:w="262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其他商品和服务支出</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sz w:val="20"/>
                <w:szCs w:val="20"/>
              </w:rPr>
            </w:pPr>
            <w:r>
              <w:rPr>
                <w:rFonts w:ascii="Arial" w:hAnsi="Arial" w:cs="Arial"/>
                <w:color w:val="000000"/>
                <w:kern w:val="0"/>
                <w:sz w:val="20"/>
                <w:szCs w:val="20"/>
              </w:rPr>
              <w:t xml:space="preserve">3.26 </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72" w:type="dxa"/>
            <w:tcBorders>
              <w:top w:val="nil"/>
              <w:left w:val="nil"/>
              <w:bottom w:val="single" w:color="auto" w:sz="4" w:space="0"/>
              <w:right w:val="single" w:color="auto" w:sz="4" w:space="0"/>
            </w:tcBorders>
            <w:vAlign w:val="bottom"/>
          </w:tcPr>
          <w:p>
            <w:pPr>
              <w:widowControl/>
              <w:jc w:val="right"/>
              <w:rPr>
                <w:rFonts w:ascii="Arial" w:hAnsi="Arial" w:cs="Arial"/>
                <w:color w:val="000000"/>
                <w:kern w:val="0"/>
                <w:sz w:val="20"/>
                <w:szCs w:val="20"/>
              </w:rPr>
            </w:pPr>
          </w:p>
        </w:tc>
        <w:tc>
          <w:tcPr>
            <w:tcW w:w="12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62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2175" w:type="dxa"/>
            <w:tcBorders>
              <w:top w:val="nil"/>
              <w:left w:val="nil"/>
              <w:bottom w:val="single" w:color="auto" w:sz="4" w:space="0"/>
              <w:right w:val="single" w:color="auto" w:sz="4" w:space="0"/>
            </w:tcBorders>
            <w:vAlign w:val="bottom"/>
          </w:tcPr>
          <w:p>
            <w:pPr>
              <w:widowControl/>
              <w:jc w:val="right"/>
              <w:textAlignment w:val="bottom"/>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87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62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2175"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Arial" w:hAnsi="Arial" w:cs="Arial"/>
                <w:color w:val="000000"/>
                <w:kern w:val="0"/>
                <w:sz w:val="20"/>
                <w:szCs w:val="20"/>
              </w:rPr>
              <w:t>　</w:t>
            </w:r>
            <w:r>
              <w:rPr>
                <w:rFonts w:hint="eastAsia" w:ascii="Arial" w:hAnsi="Arial" w:cs="Arial"/>
                <w:color w:val="000000"/>
                <w:kern w:val="0"/>
                <w:sz w:val="20"/>
                <w:szCs w:val="20"/>
              </w:rPr>
              <w:t>0.00</w:t>
            </w:r>
          </w:p>
        </w:tc>
      </w:tr>
      <w:tr>
        <w:tblPrEx>
          <w:tblCellMar>
            <w:top w:w="0" w:type="dxa"/>
            <w:left w:w="108" w:type="dxa"/>
            <w:bottom w:w="0" w:type="dxa"/>
            <w:right w:w="108" w:type="dxa"/>
          </w:tblCellMar>
        </w:tblPrEx>
        <w:trPr>
          <w:trHeight w:val="276" w:hRule="atLeast"/>
          <w:jc w:val="center"/>
        </w:trPr>
        <w:tc>
          <w:tcPr>
            <w:tcW w:w="145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87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62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21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ascii="Arial" w:hAnsi="Arial" w:cs="Arial"/>
                <w:color w:val="000000"/>
                <w:kern w:val="0"/>
                <w:sz w:val="20"/>
                <w:szCs w:val="20"/>
              </w:rPr>
              <w:t>　</w:t>
            </w:r>
            <w:r>
              <w:rPr>
                <w:rFonts w:hint="eastAsia" w:ascii="Arial" w:hAnsi="Arial" w:cs="Arial"/>
                <w:color w:val="000000"/>
                <w:kern w:val="0"/>
                <w:sz w:val="20"/>
                <w:szCs w:val="20"/>
              </w:rPr>
              <w:t>0.00</w:t>
            </w:r>
          </w:p>
        </w:tc>
      </w:tr>
      <w:tr>
        <w:tblPrEx>
          <w:tblCellMar>
            <w:top w:w="0" w:type="dxa"/>
            <w:left w:w="108" w:type="dxa"/>
            <w:bottom w:w="0" w:type="dxa"/>
            <w:right w:w="108" w:type="dxa"/>
          </w:tblCellMar>
        </w:tblPrEx>
        <w:trPr>
          <w:trHeight w:val="264" w:hRule="atLeast"/>
          <w:jc w:val="center"/>
        </w:trPr>
        <w:tc>
          <w:tcPr>
            <w:tcW w:w="4695"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87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Arial" w:hAnsi="Arial" w:cs="Arial"/>
                <w:color w:val="000000"/>
                <w:kern w:val="0"/>
                <w:sz w:val="20"/>
                <w:szCs w:val="20"/>
              </w:rPr>
              <w:t>372.69</w:t>
            </w:r>
          </w:p>
        </w:tc>
        <w:tc>
          <w:tcPr>
            <w:tcW w:w="3828"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217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Arial" w:hAnsi="Arial" w:cs="Arial"/>
                <w:color w:val="000000"/>
                <w:kern w:val="0"/>
                <w:sz w:val="20"/>
                <w:szCs w:val="20"/>
              </w:rPr>
              <w:t>19.36</w:t>
            </w:r>
          </w:p>
        </w:tc>
      </w:tr>
    </w:tbl>
    <w:p/>
    <w:p/>
    <w:p/>
    <w:p/>
    <w:p/>
    <w:p/>
    <w:p/>
    <w:p/>
    <w:p/>
    <w:p/>
    <w:p/>
    <w:p/>
    <w:p/>
    <w:p/>
    <w:p/>
    <w:p/>
    <w:p/>
    <w:p/>
    <w:p/>
    <w:p/>
    <w:p/>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0.84</w:t>
            </w:r>
          </w:p>
        </w:tc>
        <w:tc>
          <w:tcPr>
            <w:tcW w:w="1603" w:type="dxa"/>
            <w:tcBorders>
              <w:top w:val="nil"/>
              <w:left w:val="nil"/>
              <w:bottom w:val="single" w:color="auto" w:sz="4" w:space="0"/>
              <w:right w:val="single" w:color="auto" w:sz="4" w:space="0"/>
            </w:tcBorders>
          </w:tcPr>
          <w:p>
            <w:pPr>
              <w:widowControl/>
              <w:ind w:firstLine="200" w:firstLineChars="100"/>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rPr>
                <w:rFonts w:ascii="Arial" w:hAnsi="Arial" w:cs="Arial"/>
                <w:color w:val="000000"/>
                <w:kern w:val="0"/>
                <w:sz w:val="20"/>
                <w:szCs w:val="20"/>
              </w:rPr>
            </w:pPr>
            <w:r>
              <w:rPr>
                <w:rFonts w:hint="eastAsia" w:ascii="Arial" w:hAnsi="Arial" w:cs="Arial"/>
                <w:color w:val="000000"/>
                <w:kern w:val="0"/>
                <w:sz w:val="20"/>
                <w:szCs w:val="20"/>
              </w:rPr>
              <w:t>0.00</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p>
            <w:pPr>
              <w:widowControl/>
              <w:rPr>
                <w:rFonts w:ascii="Arial" w:hAnsi="Arial" w:cs="Arial"/>
                <w:color w:val="000000"/>
                <w:kern w:val="0"/>
                <w:sz w:val="20"/>
                <w:szCs w:val="20"/>
              </w:rPr>
            </w:pPr>
            <w:r>
              <w:rPr>
                <w:rFonts w:hint="eastAsia" w:ascii="Arial" w:hAnsi="Arial" w:cs="Arial"/>
                <w:color w:val="000000"/>
                <w:kern w:val="0"/>
                <w:sz w:val="20"/>
                <w:szCs w:val="20"/>
              </w:rPr>
              <w:t>0.00</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p>
            <w:pPr>
              <w:widowControl/>
              <w:rPr>
                <w:rFonts w:ascii="Arial" w:hAnsi="Arial" w:cs="Arial"/>
                <w:color w:val="000000"/>
                <w:kern w:val="0"/>
                <w:sz w:val="20"/>
                <w:szCs w:val="20"/>
              </w:rPr>
            </w:pPr>
            <w:r>
              <w:rPr>
                <w:rFonts w:hint="eastAsia" w:ascii="Arial" w:hAnsi="Arial" w:cs="Arial"/>
                <w:color w:val="000000"/>
                <w:kern w:val="0"/>
                <w:sz w:val="20"/>
                <w:szCs w:val="20"/>
              </w:rPr>
              <w:t>0.00</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0.84</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0.12</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0.00</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400" w:firstLineChars="200"/>
              <w:jc w:val="left"/>
              <w:rPr>
                <w:rFonts w:ascii="Arial" w:hAnsi="Arial" w:cs="Arial"/>
                <w:color w:val="000000"/>
                <w:kern w:val="0"/>
                <w:sz w:val="20"/>
                <w:szCs w:val="20"/>
              </w:rPr>
            </w:pPr>
            <w:r>
              <w:rPr>
                <w:rFonts w:hint="eastAsia" w:ascii="Arial" w:hAnsi="Arial" w:cs="Arial"/>
                <w:color w:val="000000"/>
                <w:kern w:val="0"/>
                <w:sz w:val="20"/>
                <w:szCs w:val="20"/>
              </w:rPr>
              <w:t>0.00</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p>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0.12</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rPr>
          <w:sz w:val="24"/>
        </w:rPr>
      </w:pPr>
      <w:r>
        <w:rPr>
          <w:rFonts w:ascii="仿宋_GB2312" w:hAnsi="黑体" w:eastAsia="仿宋_GB2312"/>
          <w:b/>
          <w:sz w:val="24"/>
        </w:rPr>
        <w:t>“</w:t>
      </w:r>
      <w:r>
        <w:rPr>
          <w:rFonts w:hint="eastAsia" w:ascii="仿宋_GB2312" w:hAnsi="黑体" w:eastAsia="仿宋_GB2312"/>
          <w:b/>
          <w:sz w:val="24"/>
        </w:rPr>
        <w:t>柳州市政府集中采购中心没有政府性基金预算财政拨款收入，也没有政府性基金预算财政拨款安排的支出，故本表无数据”。</w:t>
      </w:r>
    </w:p>
    <w:p>
      <w:pPr>
        <w:spacing w:line="560" w:lineRule="exact"/>
        <w:ind w:firstLine="420"/>
      </w:pPr>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 xml:space="preserve">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pPr>
              <w:spacing w:line="560" w:lineRule="exact"/>
              <w:ind w:firstLine="420"/>
              <w:rPr>
                <w:sz w:val="24"/>
              </w:rPr>
            </w:pPr>
            <w:r>
              <w:rPr>
                <w:rFonts w:ascii="仿宋_GB2312" w:hAnsi="黑体" w:eastAsia="仿宋_GB2312"/>
                <w:b/>
                <w:sz w:val="24"/>
              </w:rPr>
              <w:t>“</w:t>
            </w:r>
            <w:r>
              <w:rPr>
                <w:rFonts w:hint="eastAsia" w:ascii="仿宋_GB2312" w:hAnsi="黑体" w:eastAsia="仿宋_GB2312"/>
                <w:b/>
                <w:sz w:val="24"/>
              </w:rPr>
              <w:t>柳州市政府集中采购中心没有政府性基金预算财政拨款收入，也没有政府性基金预算财政拨款安排的支出，故本表无数据”。</w:t>
            </w:r>
          </w:p>
          <w:p>
            <w:pPr>
              <w:widowControl/>
              <w:jc w:val="left"/>
              <w:textAlignment w:val="center"/>
              <w:rPr>
                <w:rFonts w:ascii="宋体" w:hAnsi="宋体" w:cs="宋体"/>
                <w:color w:val="000000"/>
                <w:kern w:val="0"/>
                <w:sz w:val="24"/>
              </w:rPr>
            </w:pP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ind w:firstLine="643" w:firstLineChars="200"/>
        <w:jc w:val="left"/>
        <w:rPr>
          <w:rFonts w:ascii="仿宋_GB2312" w:eastAsia="仿宋_GB2312"/>
          <w:b/>
          <w:sz w:val="32"/>
          <w:szCs w:val="32"/>
        </w:rPr>
      </w:pPr>
      <w:r>
        <w:rPr>
          <w:rFonts w:hint="eastAsia" w:ascii="仿宋_GB2312" w:eastAsia="仿宋_GB2312"/>
          <w:b/>
          <w:sz w:val="32"/>
          <w:szCs w:val="32"/>
        </w:rPr>
        <w:t>第三部分：柳州市政府集中采购中心2020年度单位决算情况说明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2020年度收入总计565.39万元，支出总计565.39万元，与2019年相比，收、支分别增加97.10万元；分别增加20.74%。</w:t>
      </w:r>
    </w:p>
    <w:p>
      <w:pPr>
        <w:spacing w:line="560" w:lineRule="exact"/>
        <w:ind w:firstLine="640" w:firstLineChars="200"/>
        <w:rPr>
          <w:rFonts w:ascii="仿宋_GB2312" w:eastAsia="仿宋_GB2312" w:cs="仿宋_GB2312"/>
          <w:bCs/>
          <w:kern w:val="0"/>
          <w:sz w:val="32"/>
          <w:szCs w:val="32"/>
        </w:rPr>
      </w:pPr>
      <w:r>
        <w:rPr>
          <w:rFonts w:hint="eastAsia" w:ascii="仿宋_GB2312" w:hAnsi="华文仿宋" w:eastAsia="仿宋_GB2312"/>
          <w:sz w:val="32"/>
          <w:szCs w:val="32"/>
        </w:rPr>
        <w:t>2020年度收入支出决算总体增加主要是增加人员经费，增加的主要原因：工资标准提高，社保基数相应增加，五险一金增加。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本年收入总计485.83万元 ，其中：一般公共预算财政拨款收入485.83万元；占比100%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基金预算财政拨款收入0万元；占比0；上级补助收入0万元，占比0 ；事业收入0万元，占比0 ；事业单位经营收入0万元，占比0；其他收入0万元，占比0。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503.80 万元，其中：基本支出 392.05万元，占77.82%；项目支出 111.75万元， 占22.18%；经营支出0万元，占0。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 485.83万元、503.80万元。与2019年相比，财政拨款收、支总计各增加24.44万元、135.40万元，增长5.30%、36.75%。</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 503.80 万元，占本年支出合计的100%。与 2019 年相比，财政拨款支出增135.40 万元，增加36.75%。</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年度财政拨款支出503.80万元，主要用于以下方面：一般公共服务（类）支出 422.51万元，占83.86%；教育（类）支出0万元，占0%；科学技术（类）支出0万元，占 0%；文化体育与传媒（类）支出0万元，占0%；社会保障和就业（类）支出42.01万元，占8.34%；农林水（类）支出0万元，占0%；卫生健康（类）支出11.99万元，占2.38%; 住房保障（类）支出27.28万元，占5.42%。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458.33万元，支出决算为503.80万元，完成年初预算的109.92%。决算数大于预算数的主要原因：一是年中追加安排财政拨款支出预算，涉及项目有人员经费变动、增人增资-考核优秀奖金、评审专家劳务费变动、政府集中采购专题培训变动、财政住房货币补贴；二是部分支出按规定，通过使用以前年度财政拨款结转资金解决。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政府办公厅（室）及相关机构事务（款）机关服务（项）。年初预算为219.30万元，支出决算为308.77万元，完成年初预算的140.80%。决算数大于预算数的主要原因是动用上年结转资金，人员经费变动，公用经费变动。</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2.一般公共服务（类）政府办公厅（室）及相关机构事务（款）事业运行（项）。年初预算为0万元，支出决算为 1.99 万元。决算数大于预算数的主要原因是动用上年结转资金、增人增资人员经费变动 。 </w:t>
      </w:r>
    </w:p>
    <w:p>
      <w:pPr>
        <w:autoSpaceDE w:val="0"/>
        <w:autoSpaceDN w:val="0"/>
        <w:adjustRightInd w:val="0"/>
        <w:spacing w:line="580" w:lineRule="exact"/>
        <w:ind w:firstLine="640" w:firstLineChars="200"/>
        <w:jc w:val="left"/>
        <w:rPr>
          <w:rFonts w:eastAsia="仿宋_GB2312" w:cs="仿宋_GB2312"/>
          <w:bCs/>
          <w:kern w:val="0"/>
          <w:sz w:val="32"/>
          <w:szCs w:val="32"/>
        </w:rPr>
      </w:pPr>
      <w:r>
        <w:rPr>
          <w:rFonts w:hint="eastAsia" w:ascii="仿宋_GB2312" w:eastAsia="仿宋_GB2312" w:cs="仿宋_GB2312"/>
          <w:bCs/>
          <w:kern w:val="0"/>
          <w:sz w:val="32"/>
          <w:szCs w:val="32"/>
        </w:rPr>
        <w:t>3.</w:t>
      </w:r>
      <w:r>
        <w:rPr>
          <w:rFonts w:hint="eastAsia" w:eastAsia="仿宋_GB2312" w:cs="仿宋_GB2312"/>
          <w:bCs/>
          <w:kern w:val="0"/>
          <w:sz w:val="32"/>
          <w:szCs w:val="32"/>
        </w:rPr>
        <w:t>一般公共服务（类）政府办公厅（室）及相关机构事务（款）其他政府办公厅（室）及相关机构事务支出（项）。</w:t>
      </w:r>
      <w:r>
        <w:rPr>
          <w:rFonts w:hint="eastAsia" w:ascii="仿宋_GB2312" w:eastAsia="仿宋_GB2312" w:cs="仿宋_GB2312"/>
          <w:bCs/>
          <w:kern w:val="0"/>
          <w:sz w:val="32"/>
          <w:szCs w:val="32"/>
        </w:rPr>
        <w:t>年初预算为163.06万元，支出决算为111.75万元。完成年初预算的68.53%。决算数小于预算数的主要原因是财政收回预算、</w:t>
      </w:r>
      <w:r>
        <w:rPr>
          <w:rFonts w:hint="eastAsia" w:eastAsia="仿宋_GB2312" w:cs="仿宋_GB2312"/>
          <w:bCs/>
          <w:kern w:val="0"/>
          <w:sz w:val="32"/>
          <w:szCs w:val="32"/>
        </w:rPr>
        <w:t>年末项目经费结转。</w:t>
      </w:r>
    </w:p>
    <w:p>
      <w:pPr>
        <w:autoSpaceDE w:val="0"/>
        <w:autoSpaceDN w:val="0"/>
        <w:adjustRightInd w:val="0"/>
        <w:spacing w:line="560" w:lineRule="exact"/>
        <w:ind w:firstLine="640" w:firstLineChars="200"/>
        <w:jc w:val="left"/>
        <w:rPr>
          <w:rFonts w:eastAsia="仿宋_GB2312" w:cs="仿宋_GB2312"/>
          <w:bCs/>
          <w:kern w:val="0"/>
          <w:sz w:val="32"/>
          <w:szCs w:val="32"/>
        </w:rPr>
      </w:pPr>
      <w:r>
        <w:rPr>
          <w:rFonts w:hint="eastAsia" w:eastAsia="仿宋_GB2312" w:cs="仿宋_GB2312"/>
          <w:bCs/>
          <w:kern w:val="0"/>
          <w:sz w:val="32"/>
          <w:szCs w:val="32"/>
        </w:rPr>
        <w:t>4</w:t>
      </w:r>
      <w:r>
        <w:rPr>
          <w:rFonts w:hint="eastAsia" w:ascii="仿宋_GB2312" w:eastAsia="仿宋_GB2312" w:cs="仿宋_GB2312"/>
          <w:bCs/>
          <w:kern w:val="0"/>
          <w:sz w:val="32"/>
          <w:szCs w:val="32"/>
        </w:rPr>
        <w:t>.</w:t>
      </w:r>
      <w:r>
        <w:rPr>
          <w:rFonts w:hint="eastAsia" w:eastAsia="仿宋_GB2312" w:cs="仿宋_GB2312"/>
          <w:bCs/>
          <w:kern w:val="0"/>
          <w:sz w:val="32"/>
          <w:szCs w:val="32"/>
        </w:rPr>
        <w:t>社会保障和就业（类）行政事业单位养老支出（款）机关事业单位基本养老保险缴费支出（项）。年初预算为</w:t>
      </w:r>
      <w:r>
        <w:rPr>
          <w:rFonts w:hint="eastAsia" w:ascii="仿宋_GB2312" w:eastAsia="仿宋_GB2312" w:cs="仿宋_GB2312"/>
          <w:bCs/>
          <w:kern w:val="0"/>
          <w:sz w:val="32"/>
          <w:szCs w:val="32"/>
        </w:rPr>
        <w:t>27.88</w:t>
      </w:r>
      <w:r>
        <w:rPr>
          <w:rFonts w:hint="eastAsia" w:eastAsia="仿宋_GB2312" w:cs="仿宋_GB2312"/>
          <w:bCs/>
          <w:kern w:val="0"/>
          <w:sz w:val="32"/>
          <w:szCs w:val="32"/>
        </w:rPr>
        <w:t>万元，支出决算为</w:t>
      </w:r>
      <w:r>
        <w:rPr>
          <w:rFonts w:hint="eastAsia" w:ascii="仿宋_GB2312" w:eastAsia="仿宋_GB2312" w:cs="仿宋_GB2312"/>
          <w:bCs/>
          <w:kern w:val="0"/>
          <w:sz w:val="32"/>
          <w:szCs w:val="32"/>
        </w:rPr>
        <w:t>28.01</w:t>
      </w:r>
      <w:r>
        <w:rPr>
          <w:rFonts w:hint="eastAsia" w:eastAsia="仿宋_GB2312" w:cs="仿宋_GB2312"/>
          <w:bCs/>
          <w:kern w:val="0"/>
          <w:sz w:val="32"/>
          <w:szCs w:val="32"/>
        </w:rPr>
        <w:t>万元，完成年初预算的</w:t>
      </w:r>
      <w:r>
        <w:rPr>
          <w:rFonts w:hint="eastAsia" w:ascii="仿宋_GB2312" w:eastAsia="仿宋_GB2312" w:cs="仿宋_GB2312"/>
          <w:bCs/>
          <w:kern w:val="0"/>
          <w:sz w:val="32"/>
          <w:szCs w:val="32"/>
        </w:rPr>
        <w:t>100.47%</w:t>
      </w:r>
      <w:r>
        <w:rPr>
          <w:rFonts w:hint="eastAsia" w:eastAsia="仿宋_GB2312" w:cs="仿宋_GB2312"/>
          <w:bCs/>
          <w:kern w:val="0"/>
          <w:sz w:val="32"/>
          <w:szCs w:val="32"/>
        </w:rPr>
        <w:t>。决算数大于预算数的主要原因是</w:t>
      </w:r>
      <w:r>
        <w:rPr>
          <w:rFonts w:hint="eastAsia" w:ascii="仿宋_GB2312" w:eastAsia="仿宋_GB2312" w:cs="仿宋_GB2312"/>
          <w:bCs/>
          <w:kern w:val="0"/>
          <w:sz w:val="32"/>
          <w:szCs w:val="32"/>
        </w:rPr>
        <w:t>动用上年结转资金、补2018、2019年基本支出安排的事业单位绩效工资总量差额、增人增资造成养老保险增加</w:t>
      </w:r>
      <w:r>
        <w:rPr>
          <w:rFonts w:hint="eastAsia" w:eastAsia="仿宋_GB2312" w:cs="仿宋_GB2312"/>
          <w:bCs/>
          <w:kern w:val="0"/>
          <w:sz w:val="32"/>
          <w:szCs w:val="32"/>
        </w:rPr>
        <w:t>。</w:t>
      </w:r>
    </w:p>
    <w:p>
      <w:pPr>
        <w:autoSpaceDE w:val="0"/>
        <w:autoSpaceDN w:val="0"/>
        <w:adjustRightInd w:val="0"/>
        <w:spacing w:line="580" w:lineRule="exact"/>
        <w:ind w:firstLine="640" w:firstLineChars="200"/>
        <w:jc w:val="left"/>
        <w:rPr>
          <w:rFonts w:eastAsia="仿宋_GB2312" w:cs="仿宋_GB2312"/>
          <w:bCs/>
          <w:kern w:val="0"/>
          <w:sz w:val="32"/>
          <w:szCs w:val="32"/>
        </w:rPr>
      </w:pPr>
      <w:r>
        <w:rPr>
          <w:rFonts w:hint="eastAsia" w:eastAsia="仿宋_GB2312" w:cs="仿宋_GB2312"/>
          <w:bCs/>
          <w:kern w:val="0"/>
          <w:sz w:val="32"/>
          <w:szCs w:val="32"/>
        </w:rPr>
        <w:t>5</w:t>
      </w:r>
      <w:r>
        <w:rPr>
          <w:rFonts w:hint="eastAsia" w:ascii="仿宋_GB2312" w:eastAsia="仿宋_GB2312" w:cs="仿宋_GB2312"/>
          <w:bCs/>
          <w:kern w:val="0"/>
          <w:sz w:val="32"/>
          <w:szCs w:val="32"/>
        </w:rPr>
        <w:t>.</w:t>
      </w:r>
      <w:r>
        <w:rPr>
          <w:rFonts w:hint="eastAsia" w:eastAsia="仿宋_GB2312" w:cs="仿宋_GB2312"/>
          <w:bCs/>
          <w:kern w:val="0"/>
          <w:sz w:val="32"/>
          <w:szCs w:val="32"/>
        </w:rPr>
        <w:t>社会保障和就业（类）行政事业单位养老支出（款）机关事业单位职业年金缴费支出（项）。年初预算为</w:t>
      </w:r>
      <w:r>
        <w:rPr>
          <w:rFonts w:hint="eastAsia" w:ascii="仿宋_GB2312" w:eastAsia="仿宋_GB2312" w:cs="仿宋_GB2312"/>
          <w:bCs/>
          <w:kern w:val="0"/>
          <w:sz w:val="32"/>
          <w:szCs w:val="32"/>
        </w:rPr>
        <w:t>13.94</w:t>
      </w:r>
      <w:r>
        <w:rPr>
          <w:rFonts w:hint="eastAsia" w:eastAsia="仿宋_GB2312" w:cs="仿宋_GB2312"/>
          <w:bCs/>
          <w:kern w:val="0"/>
          <w:sz w:val="32"/>
          <w:szCs w:val="32"/>
        </w:rPr>
        <w:t>万元，支出决算为</w:t>
      </w:r>
      <w:r>
        <w:rPr>
          <w:rFonts w:hint="eastAsia" w:ascii="仿宋_GB2312" w:eastAsia="仿宋_GB2312" w:cs="仿宋_GB2312"/>
          <w:bCs/>
          <w:kern w:val="0"/>
          <w:sz w:val="32"/>
          <w:szCs w:val="32"/>
        </w:rPr>
        <w:t>14.00</w:t>
      </w:r>
      <w:r>
        <w:rPr>
          <w:rFonts w:hint="eastAsia" w:eastAsia="仿宋_GB2312" w:cs="仿宋_GB2312"/>
          <w:bCs/>
          <w:kern w:val="0"/>
          <w:sz w:val="32"/>
          <w:szCs w:val="32"/>
        </w:rPr>
        <w:t>万元，完成年初预算的</w:t>
      </w:r>
      <w:r>
        <w:rPr>
          <w:rFonts w:hint="eastAsia" w:ascii="仿宋_GB2312" w:eastAsia="仿宋_GB2312" w:cs="仿宋_GB2312"/>
          <w:bCs/>
          <w:kern w:val="0"/>
          <w:sz w:val="32"/>
          <w:szCs w:val="32"/>
        </w:rPr>
        <w:t>100.43%</w:t>
      </w:r>
      <w:r>
        <w:rPr>
          <w:rFonts w:hint="eastAsia" w:eastAsia="仿宋_GB2312" w:cs="仿宋_GB2312"/>
          <w:bCs/>
          <w:kern w:val="0"/>
          <w:sz w:val="32"/>
          <w:szCs w:val="32"/>
        </w:rPr>
        <w:t>。决算数大于预算数的主要原因是</w:t>
      </w:r>
      <w:r>
        <w:rPr>
          <w:rFonts w:hint="eastAsia" w:ascii="仿宋_GB2312" w:eastAsia="仿宋_GB2312" w:cs="仿宋_GB2312"/>
          <w:bCs/>
          <w:kern w:val="0"/>
          <w:sz w:val="32"/>
          <w:szCs w:val="32"/>
        </w:rPr>
        <w:t>增人增资造成职业年金增加</w:t>
      </w:r>
      <w:r>
        <w:rPr>
          <w:rFonts w:hint="eastAsia" w:eastAsia="仿宋_GB2312" w:cs="仿宋_GB2312"/>
          <w:bCs/>
          <w:kern w:val="0"/>
          <w:sz w:val="32"/>
          <w:szCs w:val="32"/>
        </w:rPr>
        <w:t>。</w:t>
      </w:r>
    </w:p>
    <w:p>
      <w:pPr>
        <w:autoSpaceDE w:val="0"/>
        <w:autoSpaceDN w:val="0"/>
        <w:adjustRightInd w:val="0"/>
        <w:spacing w:line="580" w:lineRule="exact"/>
        <w:ind w:firstLine="640" w:firstLineChars="200"/>
        <w:jc w:val="left"/>
        <w:rPr>
          <w:rFonts w:eastAsia="仿宋_GB2312" w:cs="仿宋_GB2312"/>
          <w:bCs/>
          <w:kern w:val="0"/>
          <w:sz w:val="32"/>
          <w:szCs w:val="32"/>
        </w:rPr>
      </w:pPr>
      <w:r>
        <w:rPr>
          <w:rFonts w:hint="eastAsia" w:eastAsia="仿宋_GB2312" w:cs="仿宋_GB2312"/>
          <w:bCs/>
          <w:kern w:val="0"/>
          <w:sz w:val="32"/>
          <w:szCs w:val="32"/>
        </w:rPr>
        <w:t>6</w:t>
      </w:r>
      <w:r>
        <w:rPr>
          <w:rFonts w:hint="eastAsia" w:ascii="仿宋_GB2312" w:eastAsia="仿宋_GB2312" w:cs="仿宋_GB2312"/>
          <w:bCs/>
          <w:kern w:val="0"/>
          <w:sz w:val="32"/>
          <w:szCs w:val="32"/>
        </w:rPr>
        <w:t>.</w:t>
      </w:r>
      <w:r>
        <w:rPr>
          <w:rFonts w:hint="eastAsia" w:eastAsia="仿宋_GB2312" w:cs="仿宋_GB2312"/>
          <w:bCs/>
          <w:kern w:val="0"/>
          <w:sz w:val="32"/>
          <w:szCs w:val="32"/>
        </w:rPr>
        <w:t>卫生健康支出（类）行政事业单位医疗（款）事业单位医疗（项）。年初预算为</w:t>
      </w:r>
      <w:r>
        <w:rPr>
          <w:rFonts w:hint="eastAsia" w:ascii="仿宋_GB2312" w:eastAsia="仿宋_GB2312" w:cs="仿宋_GB2312"/>
          <w:bCs/>
          <w:kern w:val="0"/>
          <w:sz w:val="32"/>
          <w:szCs w:val="32"/>
        </w:rPr>
        <w:t>13.24</w:t>
      </w:r>
      <w:r>
        <w:rPr>
          <w:rFonts w:hint="eastAsia" w:eastAsia="仿宋_GB2312" w:cs="仿宋_GB2312"/>
          <w:bCs/>
          <w:kern w:val="0"/>
          <w:sz w:val="32"/>
          <w:szCs w:val="32"/>
        </w:rPr>
        <w:t>万元，支出决算为</w:t>
      </w:r>
      <w:r>
        <w:rPr>
          <w:rFonts w:hint="eastAsia" w:ascii="仿宋_GB2312" w:eastAsia="仿宋_GB2312" w:cs="仿宋_GB2312"/>
          <w:bCs/>
          <w:kern w:val="0"/>
          <w:sz w:val="32"/>
          <w:szCs w:val="32"/>
        </w:rPr>
        <w:t>11.99</w:t>
      </w:r>
      <w:r>
        <w:rPr>
          <w:rFonts w:hint="eastAsia" w:eastAsia="仿宋_GB2312" w:cs="仿宋_GB2312"/>
          <w:bCs/>
          <w:kern w:val="0"/>
          <w:sz w:val="32"/>
          <w:szCs w:val="32"/>
        </w:rPr>
        <w:t>万元,完成年初预算的</w:t>
      </w:r>
      <w:r>
        <w:rPr>
          <w:rFonts w:hint="eastAsia" w:ascii="仿宋_GB2312" w:eastAsia="仿宋_GB2312" w:cs="仿宋_GB2312"/>
          <w:bCs/>
          <w:kern w:val="0"/>
          <w:sz w:val="32"/>
          <w:szCs w:val="32"/>
        </w:rPr>
        <w:t>90.56%</w:t>
      </w:r>
      <w:r>
        <w:rPr>
          <w:rFonts w:hint="eastAsia" w:eastAsia="仿宋_GB2312" w:cs="仿宋_GB2312"/>
          <w:bCs/>
          <w:kern w:val="0"/>
          <w:sz w:val="32"/>
          <w:szCs w:val="32"/>
        </w:rPr>
        <w:t>。决算数小于预算数的主要原因是</w:t>
      </w:r>
      <w:r>
        <w:rPr>
          <w:rFonts w:hint="eastAsia" w:ascii="仿宋_GB2312" w:eastAsia="仿宋_GB2312" w:cs="仿宋_GB2312"/>
          <w:bCs/>
          <w:kern w:val="0"/>
          <w:sz w:val="32"/>
          <w:szCs w:val="32"/>
        </w:rPr>
        <w:t>动用上年结转资金、</w:t>
      </w:r>
      <w:r>
        <w:rPr>
          <w:rFonts w:hint="eastAsia" w:eastAsia="仿宋_GB2312" w:cs="仿宋_GB2312"/>
          <w:bCs/>
          <w:kern w:val="0"/>
          <w:sz w:val="32"/>
          <w:szCs w:val="32"/>
        </w:rPr>
        <w:t>压减部门预算一般性支出。</w:t>
      </w:r>
    </w:p>
    <w:p>
      <w:pPr>
        <w:autoSpaceDE w:val="0"/>
        <w:autoSpaceDN w:val="0"/>
        <w:adjustRightInd w:val="0"/>
        <w:spacing w:line="580" w:lineRule="exact"/>
        <w:ind w:firstLine="640" w:firstLineChars="200"/>
        <w:jc w:val="left"/>
        <w:rPr>
          <w:rFonts w:eastAsia="仿宋_GB2312" w:cs="仿宋_GB2312"/>
          <w:bCs/>
          <w:kern w:val="0"/>
          <w:sz w:val="32"/>
          <w:szCs w:val="32"/>
        </w:rPr>
      </w:pPr>
      <w:r>
        <w:rPr>
          <w:rFonts w:hint="eastAsia" w:eastAsia="仿宋_GB2312" w:cs="仿宋_GB2312"/>
          <w:bCs/>
          <w:kern w:val="0"/>
          <w:sz w:val="32"/>
          <w:szCs w:val="32"/>
        </w:rPr>
        <w:t>7</w:t>
      </w:r>
      <w:r>
        <w:rPr>
          <w:rFonts w:hint="eastAsia" w:ascii="仿宋_GB2312" w:eastAsia="仿宋_GB2312" w:cs="仿宋_GB2312"/>
          <w:bCs/>
          <w:kern w:val="0"/>
          <w:sz w:val="32"/>
          <w:szCs w:val="32"/>
        </w:rPr>
        <w:t>.</w:t>
      </w:r>
      <w:r>
        <w:rPr>
          <w:rFonts w:hint="eastAsia"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rPr>
        <w:t>20.91</w:t>
      </w:r>
      <w:r>
        <w:rPr>
          <w:rFonts w:hint="eastAsia" w:eastAsia="仿宋_GB2312" w:cs="仿宋_GB2312"/>
          <w:bCs/>
          <w:kern w:val="0"/>
          <w:sz w:val="32"/>
          <w:szCs w:val="32"/>
        </w:rPr>
        <w:t>万元，支出决算为</w:t>
      </w:r>
      <w:r>
        <w:rPr>
          <w:rFonts w:hint="eastAsia" w:ascii="仿宋_GB2312" w:eastAsia="仿宋_GB2312" w:cs="仿宋_GB2312"/>
          <w:bCs/>
          <w:kern w:val="0"/>
          <w:sz w:val="32"/>
          <w:szCs w:val="32"/>
        </w:rPr>
        <w:t>25.15</w:t>
      </w:r>
      <w:r>
        <w:rPr>
          <w:rFonts w:hint="eastAsia" w:eastAsia="仿宋_GB2312" w:cs="仿宋_GB2312"/>
          <w:bCs/>
          <w:kern w:val="0"/>
          <w:sz w:val="32"/>
          <w:szCs w:val="32"/>
        </w:rPr>
        <w:t>万元，完成年初预算的</w:t>
      </w:r>
      <w:r>
        <w:rPr>
          <w:rFonts w:hint="eastAsia" w:ascii="仿宋_GB2312" w:eastAsia="仿宋_GB2312" w:cs="仿宋_GB2312"/>
          <w:bCs/>
          <w:kern w:val="0"/>
          <w:sz w:val="32"/>
          <w:szCs w:val="32"/>
        </w:rPr>
        <w:t>120.28%</w:t>
      </w:r>
      <w:r>
        <w:rPr>
          <w:rFonts w:hint="eastAsia" w:eastAsia="仿宋_GB2312" w:cs="仿宋_GB2312"/>
          <w:bCs/>
          <w:kern w:val="0"/>
          <w:sz w:val="32"/>
          <w:szCs w:val="32"/>
        </w:rPr>
        <w:t>。决算数大于预算数的主要原因是人员经费变动、增人增资。</w:t>
      </w:r>
    </w:p>
    <w:p>
      <w:pPr>
        <w:autoSpaceDE w:val="0"/>
        <w:autoSpaceDN w:val="0"/>
        <w:adjustRightInd w:val="0"/>
        <w:spacing w:line="580" w:lineRule="exact"/>
        <w:ind w:firstLine="640" w:firstLineChars="200"/>
        <w:jc w:val="left"/>
        <w:rPr>
          <w:rFonts w:eastAsia="仿宋_GB2312" w:cs="仿宋_GB2312"/>
          <w:bCs/>
          <w:kern w:val="0"/>
          <w:sz w:val="32"/>
          <w:szCs w:val="32"/>
        </w:rPr>
      </w:pPr>
      <w:r>
        <w:rPr>
          <w:rFonts w:hint="eastAsia" w:eastAsia="仿宋_GB2312" w:cs="仿宋_GB2312"/>
          <w:bCs/>
          <w:kern w:val="0"/>
          <w:sz w:val="32"/>
          <w:szCs w:val="32"/>
        </w:rPr>
        <w:t>8</w:t>
      </w:r>
      <w:r>
        <w:rPr>
          <w:rFonts w:hint="eastAsia" w:ascii="仿宋_GB2312" w:eastAsia="仿宋_GB2312" w:cs="仿宋_GB2312"/>
          <w:bCs/>
          <w:kern w:val="0"/>
          <w:sz w:val="32"/>
          <w:szCs w:val="32"/>
        </w:rPr>
        <w:t>.</w:t>
      </w:r>
      <w:r>
        <w:rPr>
          <w:rFonts w:hint="eastAsia" w:eastAsia="仿宋_GB2312" w:cs="仿宋_GB2312"/>
          <w:bCs/>
          <w:kern w:val="0"/>
          <w:sz w:val="32"/>
          <w:szCs w:val="32"/>
        </w:rPr>
        <w:t>住房保障支出（类）住房改革支出（款）购房补贴（项）。年初预算为</w:t>
      </w:r>
      <w:r>
        <w:rPr>
          <w:rFonts w:hint="eastAsia" w:ascii="仿宋_GB2312" w:eastAsia="仿宋_GB2312" w:cs="仿宋_GB2312"/>
          <w:bCs/>
          <w:kern w:val="0"/>
          <w:sz w:val="32"/>
          <w:szCs w:val="32"/>
        </w:rPr>
        <w:t>0</w:t>
      </w:r>
      <w:r>
        <w:rPr>
          <w:rFonts w:hint="eastAsia" w:eastAsia="仿宋_GB2312" w:cs="仿宋_GB2312"/>
          <w:bCs/>
          <w:kern w:val="0"/>
          <w:sz w:val="32"/>
          <w:szCs w:val="32"/>
        </w:rPr>
        <w:t>万元，支出决算为</w:t>
      </w:r>
      <w:r>
        <w:rPr>
          <w:rFonts w:hint="eastAsia" w:ascii="仿宋_GB2312" w:eastAsia="仿宋_GB2312" w:cs="仿宋_GB2312"/>
          <w:bCs/>
          <w:kern w:val="0"/>
          <w:sz w:val="32"/>
          <w:szCs w:val="32"/>
        </w:rPr>
        <w:t>2.13</w:t>
      </w:r>
      <w:r>
        <w:rPr>
          <w:rFonts w:hint="eastAsia" w:eastAsia="仿宋_GB2312" w:cs="仿宋_GB2312"/>
          <w:bCs/>
          <w:kern w:val="0"/>
          <w:sz w:val="32"/>
          <w:szCs w:val="32"/>
        </w:rPr>
        <w:t>万元。决算数大于预算数的主要原因是下达</w:t>
      </w:r>
      <w:r>
        <w:rPr>
          <w:rFonts w:hint="eastAsia" w:ascii="仿宋_GB2312" w:eastAsia="仿宋_GB2312" w:cs="仿宋_GB2312"/>
          <w:bCs/>
          <w:kern w:val="0"/>
          <w:sz w:val="32"/>
          <w:szCs w:val="32"/>
        </w:rPr>
        <w:t>2020</w:t>
      </w:r>
      <w:r>
        <w:rPr>
          <w:rFonts w:hint="eastAsia" w:eastAsia="仿宋_GB2312" w:cs="仿宋_GB2312"/>
          <w:bCs/>
          <w:kern w:val="0"/>
          <w:sz w:val="32"/>
          <w:szCs w:val="32"/>
        </w:rPr>
        <w:t>年购房补贴。</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2020年度财政拨款基本支出392.05万元，其中：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人员经费372.69万元，主要包括：基本工资、津贴补贴、 奖金、伙食补助费、绩效工资、机关事业单位基本养老保险缴费、职业年金缴费、职工基本医疗保险缴费、其他社会保障缴费、住房公积金、奖励金；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公用经费19.36万元，主要包括：办公费、印刷费、邮电费、差旅费、维修（护）费、培训费、公务接待费、劳务费、工会经费、税金及附加费用、其他商品和服务支出。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0.84万元，支出决算为0.12万元，完成预算的14.29%，其中：因公出国（境）费支出决算为0万元，完成预算的0%；公务用车购置及运行费支出决算为0万元，完成预算的0%；公务接待费支出决算为0.12万元，完成预算的14.29%。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2020年度“三公”经费财政拨款支出决算数比2019年增加0.12万元，其中：因公出国（境）费支出决算减少0万元，下降0%；公务用车购置及运行费支出决算减少0万元，下降0%；公务接待费支出决算增加0.12万元。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w:t>
      </w:r>
      <w:r>
        <w:rPr>
          <w:rFonts w:hint="eastAsia" w:eastAsia="仿宋_GB2312" w:cs="仿宋_GB2312"/>
          <w:bCs/>
          <w:kern w:val="0"/>
          <w:sz w:val="32"/>
          <w:szCs w:val="32"/>
        </w:rPr>
        <w:t>无因公出国（境）事项</w:t>
      </w:r>
      <w:r>
        <w:rPr>
          <w:rFonts w:hint="eastAsia" w:ascii="仿宋_GB2312" w:eastAsia="仿宋_GB2312" w:cs="仿宋_GB2312"/>
          <w:bCs/>
          <w:kern w:val="0"/>
          <w:sz w:val="32"/>
          <w:szCs w:val="32"/>
        </w:rPr>
        <w:t>；公务用车购置及运行费支出减少的主要原因是无公务用车；公务接待费支出增加的主要原因是本年</w:t>
      </w:r>
      <w:r>
        <w:rPr>
          <w:rFonts w:hint="eastAsia" w:eastAsia="仿宋_GB2312" w:cs="仿宋_GB2312"/>
          <w:bCs/>
          <w:kern w:val="0"/>
          <w:sz w:val="32"/>
          <w:szCs w:val="32"/>
        </w:rPr>
        <w:t>接待外单位考察</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2020年度“三公”经费财政拨款支出决算中，因公出国（境）费支出决算0万元，占0%；公务用车购置及运行费支出决算0万元，占0%；公务接待费支出决算0.12万元，占100%。具体情况如下：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2.公务用车购置及运行费支出0万元。其中：公务用车购置支出为0万元。公务用车运行支出0万元。</w:t>
      </w:r>
      <w:r>
        <w:rPr>
          <w:rFonts w:ascii="仿宋_GB2312" w:hAnsi="宋体" w:eastAsia="仿宋_GB2312" w:cs="仿宋_GB2312"/>
          <w:color w:val="333333"/>
          <w:sz w:val="31"/>
          <w:szCs w:val="31"/>
          <w:shd w:val="clear" w:color="auto" w:fill="FFFFFF"/>
        </w:rPr>
        <w:t>2020年，机关所属单位开支财政拨款的公务用车保有量为</w:t>
      </w:r>
      <w:r>
        <w:rPr>
          <w:rFonts w:hint="eastAsia" w:ascii="仿宋_GB2312" w:hAnsi="宋体" w:eastAsia="仿宋_GB2312" w:cs="仿宋_GB2312"/>
          <w:color w:val="333333"/>
          <w:sz w:val="31"/>
          <w:szCs w:val="31"/>
          <w:shd w:val="clear" w:color="auto" w:fill="FFFFFF"/>
        </w:rPr>
        <w:t>0</w:t>
      </w:r>
      <w:r>
        <w:rPr>
          <w:rFonts w:ascii="仿宋_GB2312" w:hAnsi="宋体" w:eastAsia="仿宋_GB2312" w:cs="仿宋_GB2312"/>
          <w:color w:val="333333"/>
          <w:sz w:val="31"/>
          <w:szCs w:val="31"/>
          <w:shd w:val="clear" w:color="auto" w:fill="FFFFFF"/>
        </w:rPr>
        <w:t>辆</w:t>
      </w:r>
      <w:r>
        <w:rPr>
          <w:rFonts w:hint="eastAsia" w:ascii="仿宋_GB2312" w:hAnsi="宋体" w:eastAsia="仿宋_GB2312" w:cs="仿宋_GB2312"/>
          <w:color w:val="333333"/>
          <w:sz w:val="31"/>
          <w:szCs w:val="31"/>
          <w:shd w:val="clear" w:color="auto" w:fill="FFFFFF"/>
        </w:rPr>
        <w:t>。</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3.公务接待费支出0.12万元。其中：</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 年共接待国（境）外来访团组0个、来访外宾0人次。</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国内公务接待支出0.12万元。主要用于</w:t>
      </w:r>
      <w:r>
        <w:rPr>
          <w:rFonts w:hint="eastAsia" w:eastAsia="仿宋_GB2312" w:cs="仿宋_GB2312"/>
          <w:bCs/>
          <w:kern w:val="0"/>
          <w:sz w:val="32"/>
          <w:szCs w:val="32"/>
        </w:rPr>
        <w:t>接待外来单位学习、交流</w:t>
      </w:r>
      <w:r>
        <w:rPr>
          <w:rFonts w:hint="eastAsia" w:ascii="仿宋_GB2312" w:eastAsia="仿宋_GB2312" w:cs="仿宋_GB2312"/>
          <w:bCs/>
          <w:kern w:val="0"/>
          <w:sz w:val="32"/>
          <w:szCs w:val="32"/>
        </w:rPr>
        <w:t>。2020 年共接待国内来访团组1个、来宾8人次</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八、2020 年度政府性基金预算财政拨款收入支出决算情况说明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本单位2020年度政府性基金预算财政拨款本年收入支出0万元，没有政府性基金预算财政拨款收入，也没有政府性基金预算财政拨款安排的支出。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 0万元，没有国有资本经营预算财政拨款收入，也没有国有资本经营预算财政拨款安排的支出。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本单位以主管部门汇总形式对2020年度一般公共预算项目支出全面开展绩效自评。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（二）部门决算中项目绩效自评结果97分。</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（一）本单位无机关运行经费支出情况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（二）政府采购支出情况。2020年度单位政府采购支出总额13.15万元，其中：货物支出6.17万元、工程支出0万元、服务支出6.98万元。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 辆；专业技术用车0辆；单价50万元以上通用设备0台（套），单价100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- 25 -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2A41B0"/>
    <w:rsid w:val="002E6C6E"/>
    <w:rsid w:val="002E7001"/>
    <w:rsid w:val="005D4603"/>
    <w:rsid w:val="006C1367"/>
    <w:rsid w:val="00715385"/>
    <w:rsid w:val="00AC61A4"/>
    <w:rsid w:val="00E13A54"/>
    <w:rsid w:val="00F66C5B"/>
    <w:rsid w:val="02934E1B"/>
    <w:rsid w:val="02CD4701"/>
    <w:rsid w:val="040A1483"/>
    <w:rsid w:val="046B19E4"/>
    <w:rsid w:val="04B926E0"/>
    <w:rsid w:val="050C365B"/>
    <w:rsid w:val="055507B4"/>
    <w:rsid w:val="057073EA"/>
    <w:rsid w:val="059735F6"/>
    <w:rsid w:val="05AF5900"/>
    <w:rsid w:val="062D5C82"/>
    <w:rsid w:val="075843AA"/>
    <w:rsid w:val="07B41BFB"/>
    <w:rsid w:val="09AE4397"/>
    <w:rsid w:val="09E83BC3"/>
    <w:rsid w:val="0A923102"/>
    <w:rsid w:val="0C5F35EA"/>
    <w:rsid w:val="0D0C244E"/>
    <w:rsid w:val="0D6851DA"/>
    <w:rsid w:val="0E074DDF"/>
    <w:rsid w:val="0E5E0B34"/>
    <w:rsid w:val="0E735B8A"/>
    <w:rsid w:val="0EBB4647"/>
    <w:rsid w:val="0F9E2829"/>
    <w:rsid w:val="105C7F1E"/>
    <w:rsid w:val="10ED3781"/>
    <w:rsid w:val="11A568B7"/>
    <w:rsid w:val="11AC7198"/>
    <w:rsid w:val="12376005"/>
    <w:rsid w:val="123A70BD"/>
    <w:rsid w:val="124204B5"/>
    <w:rsid w:val="141352AC"/>
    <w:rsid w:val="163D0ABE"/>
    <w:rsid w:val="17D84F9A"/>
    <w:rsid w:val="182962AB"/>
    <w:rsid w:val="182E6B59"/>
    <w:rsid w:val="18B314C3"/>
    <w:rsid w:val="18EB7E1F"/>
    <w:rsid w:val="194A3D82"/>
    <w:rsid w:val="19D073EB"/>
    <w:rsid w:val="19EE416F"/>
    <w:rsid w:val="1ACE504D"/>
    <w:rsid w:val="1B4F7E01"/>
    <w:rsid w:val="1B9052F0"/>
    <w:rsid w:val="1BEA3B8B"/>
    <w:rsid w:val="1C7404C9"/>
    <w:rsid w:val="1CC31F67"/>
    <w:rsid w:val="1DF643D6"/>
    <w:rsid w:val="1E0C603B"/>
    <w:rsid w:val="1E500771"/>
    <w:rsid w:val="1EA3645B"/>
    <w:rsid w:val="1EA41923"/>
    <w:rsid w:val="1F284235"/>
    <w:rsid w:val="1F52137F"/>
    <w:rsid w:val="20014B53"/>
    <w:rsid w:val="20B10327"/>
    <w:rsid w:val="21311468"/>
    <w:rsid w:val="214B2529"/>
    <w:rsid w:val="226507CE"/>
    <w:rsid w:val="226C1701"/>
    <w:rsid w:val="23ED4372"/>
    <w:rsid w:val="2402064B"/>
    <w:rsid w:val="24750CF5"/>
    <w:rsid w:val="24D337DC"/>
    <w:rsid w:val="24F21A39"/>
    <w:rsid w:val="25725D09"/>
    <w:rsid w:val="26460DBA"/>
    <w:rsid w:val="2707696F"/>
    <w:rsid w:val="27241898"/>
    <w:rsid w:val="28164E27"/>
    <w:rsid w:val="28823561"/>
    <w:rsid w:val="2A224043"/>
    <w:rsid w:val="2B6F74EB"/>
    <w:rsid w:val="2B7C5148"/>
    <w:rsid w:val="2C4219FE"/>
    <w:rsid w:val="2C9D58E7"/>
    <w:rsid w:val="2D8667AD"/>
    <w:rsid w:val="2FA15DD0"/>
    <w:rsid w:val="30100CEE"/>
    <w:rsid w:val="30FA16A2"/>
    <w:rsid w:val="31053F3B"/>
    <w:rsid w:val="32FE6116"/>
    <w:rsid w:val="336E4DC9"/>
    <w:rsid w:val="33FE4470"/>
    <w:rsid w:val="34020F86"/>
    <w:rsid w:val="34105BC9"/>
    <w:rsid w:val="34285EEC"/>
    <w:rsid w:val="35262C3A"/>
    <w:rsid w:val="35975AED"/>
    <w:rsid w:val="35DF0D2F"/>
    <w:rsid w:val="36353489"/>
    <w:rsid w:val="36760F2E"/>
    <w:rsid w:val="36D949D3"/>
    <w:rsid w:val="376B11B8"/>
    <w:rsid w:val="377E111B"/>
    <w:rsid w:val="393355E9"/>
    <w:rsid w:val="395400C6"/>
    <w:rsid w:val="39A63F06"/>
    <w:rsid w:val="39D34A64"/>
    <w:rsid w:val="3BC60CD2"/>
    <w:rsid w:val="3C1D0558"/>
    <w:rsid w:val="3C6F5C85"/>
    <w:rsid w:val="3CF21FA4"/>
    <w:rsid w:val="3ED1439F"/>
    <w:rsid w:val="3FA90FA6"/>
    <w:rsid w:val="401C1026"/>
    <w:rsid w:val="402078DD"/>
    <w:rsid w:val="40A315E2"/>
    <w:rsid w:val="41AD7895"/>
    <w:rsid w:val="41B13F05"/>
    <w:rsid w:val="41CD755C"/>
    <w:rsid w:val="42356548"/>
    <w:rsid w:val="425A2175"/>
    <w:rsid w:val="43A879A0"/>
    <w:rsid w:val="43B93231"/>
    <w:rsid w:val="44D65A64"/>
    <w:rsid w:val="45F1347E"/>
    <w:rsid w:val="46A80C12"/>
    <w:rsid w:val="46FB5642"/>
    <w:rsid w:val="47A13EA0"/>
    <w:rsid w:val="480C7476"/>
    <w:rsid w:val="48374EDC"/>
    <w:rsid w:val="48376A0C"/>
    <w:rsid w:val="48AC3F0B"/>
    <w:rsid w:val="49EF5898"/>
    <w:rsid w:val="4B580BA5"/>
    <w:rsid w:val="4B8D3DF6"/>
    <w:rsid w:val="4C256E3D"/>
    <w:rsid w:val="4CB52F0F"/>
    <w:rsid w:val="4D227280"/>
    <w:rsid w:val="4FF65CC8"/>
    <w:rsid w:val="4FF82FCD"/>
    <w:rsid w:val="503B332D"/>
    <w:rsid w:val="50504BB7"/>
    <w:rsid w:val="50BB64D4"/>
    <w:rsid w:val="52824C75"/>
    <w:rsid w:val="52F61A46"/>
    <w:rsid w:val="532F1F9A"/>
    <w:rsid w:val="54507027"/>
    <w:rsid w:val="549C7AB3"/>
    <w:rsid w:val="55FA57FF"/>
    <w:rsid w:val="58FD154C"/>
    <w:rsid w:val="595D1BDA"/>
    <w:rsid w:val="5ABC198D"/>
    <w:rsid w:val="5AC61583"/>
    <w:rsid w:val="5B3355BF"/>
    <w:rsid w:val="5C425CFC"/>
    <w:rsid w:val="5C8B657D"/>
    <w:rsid w:val="5C9A78E6"/>
    <w:rsid w:val="5DE5370D"/>
    <w:rsid w:val="5E995A3E"/>
    <w:rsid w:val="5F3216DC"/>
    <w:rsid w:val="60593643"/>
    <w:rsid w:val="606159C4"/>
    <w:rsid w:val="60D32591"/>
    <w:rsid w:val="61442BB3"/>
    <w:rsid w:val="62163194"/>
    <w:rsid w:val="624D024D"/>
    <w:rsid w:val="64A53728"/>
    <w:rsid w:val="64F82153"/>
    <w:rsid w:val="650E086A"/>
    <w:rsid w:val="659124FF"/>
    <w:rsid w:val="65A13A93"/>
    <w:rsid w:val="65A34D5A"/>
    <w:rsid w:val="65B90752"/>
    <w:rsid w:val="6643380F"/>
    <w:rsid w:val="667967BE"/>
    <w:rsid w:val="668E4826"/>
    <w:rsid w:val="66D103A8"/>
    <w:rsid w:val="674E134E"/>
    <w:rsid w:val="68B1128B"/>
    <w:rsid w:val="6BAA0708"/>
    <w:rsid w:val="6BE1354B"/>
    <w:rsid w:val="6C613F7C"/>
    <w:rsid w:val="6CAA3726"/>
    <w:rsid w:val="6CCA5ABE"/>
    <w:rsid w:val="6F123E07"/>
    <w:rsid w:val="6F541B76"/>
    <w:rsid w:val="7109439B"/>
    <w:rsid w:val="7119002F"/>
    <w:rsid w:val="71B53222"/>
    <w:rsid w:val="720D68E7"/>
    <w:rsid w:val="74430C43"/>
    <w:rsid w:val="751325D0"/>
    <w:rsid w:val="78F93F92"/>
    <w:rsid w:val="7A400227"/>
    <w:rsid w:val="7A78459B"/>
    <w:rsid w:val="7B04577F"/>
    <w:rsid w:val="7B3069DB"/>
    <w:rsid w:val="7C2448E8"/>
    <w:rsid w:val="7D900849"/>
    <w:rsid w:val="7D935F5F"/>
    <w:rsid w:val="7DDE0375"/>
    <w:rsid w:val="7ED12ABC"/>
    <w:rsid w:val="7ED63FD5"/>
    <w:rsid w:val="7F01514B"/>
    <w:rsid w:val="7F2947B2"/>
    <w:rsid w:val="7F403EC5"/>
    <w:rsid w:val="7F6A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1"/>
    <w:basedOn w:val="13"/>
    <w:qFormat/>
    <w:uiPriority w:val="0"/>
    <w:pPr>
      <w:jc w:val="both"/>
    </w:pPr>
    <w:rPr>
      <w:rFonts w:ascii="Times New Roman" w:hAnsi="Times New Roman" w:eastAsia="Times New Roman"/>
      <w:sz w:val="21"/>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7405</Words>
  <Characters>9794</Characters>
  <Lines>85</Lines>
  <Paragraphs>24</Paragraphs>
  <TotalTime>0</TotalTime>
  <ScaleCrop>false</ScaleCrop>
  <LinksUpToDate>false</LinksUpToDate>
  <CharactersWithSpaces>10584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2022-09-13T01:49:00Z</dcterms:created>
  <dc:creator>陈冬雪</dc:creator>
  <cp:lastModifiedBy>哒哒陳</cp:lastModifiedBy>
  <cp:lastPrinted>2021-07-07T01:10:00Z</cp:lastPrinted>
  <dcterms:modified xsi:type="dcterms:W3CDTF">2022-10-28T03:59:40Z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1C919A6E4E0547399705A6F46BEE67DE</vt:lpwstr>
  </property>
</Properties>
</file>