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kern w:val="0"/>
          <w:sz w:val="32"/>
          <w:szCs w:val="32"/>
        </w:rPr>
      </w:pPr>
    </w:p>
    <w:p>
      <w:pPr>
        <w:rPr>
          <w:rFonts w:ascii="黑体" w:eastAsia="黑体"/>
          <w:kern w:val="0"/>
          <w:sz w:val="72"/>
          <w:szCs w:val="72"/>
        </w:rPr>
      </w:pPr>
    </w:p>
    <w:p>
      <w:pPr>
        <w:rPr>
          <w:rFonts w:ascii="黑体" w:eastAsia="黑体"/>
          <w:kern w:val="0"/>
          <w:sz w:val="72"/>
          <w:szCs w:val="72"/>
        </w:rPr>
      </w:pPr>
    </w:p>
    <w:p>
      <w:pPr>
        <w:jc w:val="center"/>
        <w:rPr>
          <w:rFonts w:ascii="黑体" w:hAnsi="黑体" w:eastAsia="黑体"/>
          <w:color w:val="000000"/>
          <w:sz w:val="52"/>
          <w:szCs w:val="52"/>
        </w:rPr>
      </w:pPr>
      <w:r>
        <w:rPr>
          <w:rFonts w:hint="eastAsia" w:ascii="黑体" w:eastAsia="黑体" w:cs="黑体"/>
          <w:kern w:val="0"/>
          <w:sz w:val="52"/>
          <w:szCs w:val="52"/>
        </w:rPr>
        <w:t>柳州市</w:t>
      </w:r>
      <w:r>
        <w:rPr>
          <w:rFonts w:hint="eastAsia" w:ascii="黑体" w:hAnsi="黑体" w:eastAsia="黑体" w:cs="黑体"/>
          <w:color w:val="000000"/>
          <w:sz w:val="52"/>
          <w:szCs w:val="52"/>
        </w:rPr>
        <w:t>政府驻广州办事处</w:t>
      </w:r>
    </w:p>
    <w:p>
      <w:pPr>
        <w:jc w:val="center"/>
        <w:rPr>
          <w:rFonts w:ascii="黑体" w:eastAsia="黑体"/>
          <w:kern w:val="0"/>
          <w:sz w:val="52"/>
          <w:szCs w:val="52"/>
        </w:rPr>
      </w:pPr>
      <w:r>
        <w:rPr>
          <w:rFonts w:ascii="黑体" w:eastAsia="黑体" w:cs="黑体"/>
          <w:kern w:val="0"/>
          <w:sz w:val="52"/>
          <w:szCs w:val="52"/>
        </w:rPr>
        <w:t>2020</w:t>
      </w:r>
      <w:r>
        <w:rPr>
          <w:rFonts w:hint="eastAsia" w:ascii="黑体" w:eastAsia="黑体" w:cs="黑体"/>
          <w:kern w:val="0"/>
          <w:sz w:val="52"/>
          <w:szCs w:val="52"/>
        </w:rPr>
        <w:t>年度单位决算</w:t>
      </w:r>
    </w:p>
    <w:p>
      <w:pPr>
        <w:rPr>
          <w:rFonts w:ascii="ArialUnicodeMS" w:eastAsia="ArialUnicodeMS"/>
          <w:kern w:val="0"/>
          <w:sz w:val="84"/>
          <w:szCs w:val="84"/>
        </w:rPr>
      </w:pPr>
    </w:p>
    <w:p>
      <w:pPr>
        <w:rPr>
          <w:rFonts w:ascii="ArialUnicodeMS" w:eastAsia="ArialUnicodeMS"/>
          <w:kern w:val="0"/>
          <w:sz w:val="84"/>
          <w:szCs w:val="84"/>
        </w:rPr>
      </w:pPr>
    </w:p>
    <w:p>
      <w:pPr>
        <w:rPr>
          <w:rFonts w:ascii="ArialUnicodeMS" w:eastAsia="ArialUnicodeMS"/>
          <w:kern w:val="0"/>
          <w:sz w:val="84"/>
          <w:szCs w:val="84"/>
        </w:rPr>
      </w:pPr>
    </w:p>
    <w:p>
      <w:pPr>
        <w:rPr>
          <w:rFonts w:ascii="ArialUnicodeMS" w:eastAsia="ArialUnicodeMS"/>
          <w:kern w:val="0"/>
          <w:sz w:val="84"/>
          <w:szCs w:val="84"/>
        </w:rPr>
      </w:pPr>
    </w:p>
    <w:p>
      <w:pPr>
        <w:rPr>
          <w:rFonts w:ascii="ArialUnicodeMS" w:eastAsia="ArialUnicodeMS"/>
          <w:kern w:val="0"/>
          <w:sz w:val="84"/>
          <w:szCs w:val="84"/>
        </w:rPr>
      </w:pPr>
    </w:p>
    <w:p>
      <w:pPr>
        <w:rPr>
          <w:rFonts w:ascii="ArialUnicodeMS" w:eastAsia="ArialUnicodeMS"/>
          <w:kern w:val="0"/>
          <w:sz w:val="84"/>
          <w:szCs w:val="84"/>
        </w:rPr>
      </w:pPr>
    </w:p>
    <w:p>
      <w:pPr>
        <w:rPr>
          <w:rFonts w:ascii="ArialUnicodeMS" w:eastAsia="ArialUnicodeMS"/>
          <w:kern w:val="0"/>
          <w:sz w:val="84"/>
          <w:szCs w:val="84"/>
        </w:rPr>
      </w:pPr>
    </w:p>
    <w:p>
      <w:pPr>
        <w:jc w:val="center"/>
        <w:rPr>
          <w:rFonts w:ascii="黑体" w:eastAsia="黑体"/>
          <w:kern w:val="0"/>
          <w:sz w:val="44"/>
          <w:szCs w:val="44"/>
        </w:rPr>
      </w:pPr>
    </w:p>
    <w:p>
      <w:pPr>
        <w:ind w:firstLine="646"/>
        <w:jc w:val="center"/>
        <w:rPr>
          <w:rFonts w:ascii="方正小标宋简体" w:eastAsia="方正小标宋简体"/>
          <w:b/>
          <w:bCs/>
          <w:sz w:val="44"/>
          <w:szCs w:val="44"/>
        </w:rPr>
      </w:pPr>
      <w:r>
        <w:rPr>
          <w:rFonts w:hint="eastAsia" w:ascii="方正小标宋简体" w:eastAsia="方正小标宋简体" w:cs="方正小标宋简体"/>
          <w:b/>
          <w:bCs/>
          <w:sz w:val="44"/>
          <w:szCs w:val="44"/>
        </w:rPr>
        <w:t>目</w:t>
      </w:r>
      <w:r>
        <w:rPr>
          <w:rFonts w:ascii="方正小标宋简体" w:eastAsia="方正小标宋简体" w:cs="方正小标宋简体"/>
          <w:b/>
          <w:bCs/>
          <w:sz w:val="44"/>
          <w:szCs w:val="44"/>
        </w:rPr>
        <w:t xml:space="preserve">    </w:t>
      </w:r>
      <w:r>
        <w:rPr>
          <w:rFonts w:hint="eastAsia" w:ascii="方正小标宋简体" w:eastAsia="方正小标宋简体" w:cs="方正小标宋简体"/>
          <w:b/>
          <w:bCs/>
          <w:sz w:val="44"/>
          <w:szCs w:val="44"/>
        </w:rPr>
        <w:t>录</w:t>
      </w:r>
    </w:p>
    <w:p>
      <w:pPr>
        <w:ind w:firstLine="645"/>
        <w:rPr>
          <w:rFonts w:ascii="仿宋_GB2312" w:eastAsia="仿宋_GB2312"/>
          <w:b/>
          <w:bCs/>
          <w:sz w:val="32"/>
          <w:szCs w:val="32"/>
        </w:rPr>
      </w:pPr>
    </w:p>
    <w:p>
      <w:pPr>
        <w:ind w:firstLine="645"/>
        <w:rPr>
          <w:rFonts w:ascii="仿宋_GB2312" w:eastAsia="仿宋_GB2312"/>
          <w:b/>
          <w:bCs/>
          <w:sz w:val="32"/>
          <w:szCs w:val="32"/>
        </w:rPr>
      </w:pPr>
      <w:r>
        <w:rPr>
          <w:rFonts w:hint="eastAsia" w:ascii="仿宋_GB2312" w:eastAsia="仿宋_GB2312" w:cs="仿宋_GB2312"/>
          <w:b/>
          <w:bCs/>
          <w:sz w:val="32"/>
          <w:szCs w:val="32"/>
        </w:rPr>
        <w:t>第一部分：</w:t>
      </w:r>
      <w:r>
        <w:rPr>
          <w:rFonts w:hint="eastAsia" w:ascii="仿宋_GB2312" w:hAnsi="黑体" w:eastAsia="仿宋_GB2312" w:cs="仿宋_GB2312"/>
          <w:b/>
          <w:bCs/>
          <w:color w:val="000000"/>
          <w:sz w:val="32"/>
          <w:szCs w:val="32"/>
        </w:rPr>
        <w:t>柳州市人民政府驻广州办事处</w:t>
      </w:r>
      <w:r>
        <w:rPr>
          <w:rFonts w:hint="eastAsia" w:ascii="仿宋_GB2312" w:eastAsia="仿宋_GB2312" w:cs="仿宋_GB2312"/>
          <w:b/>
          <w:bCs/>
          <w:sz w:val="32"/>
          <w:szCs w:val="32"/>
        </w:rPr>
        <w:t>概况</w:t>
      </w:r>
    </w:p>
    <w:p>
      <w:pPr>
        <w:ind w:firstLine="645"/>
        <w:rPr>
          <w:rFonts w:ascii="仿宋_GB2312" w:eastAsia="仿宋_GB2312"/>
          <w:sz w:val="32"/>
          <w:szCs w:val="32"/>
        </w:rPr>
      </w:pPr>
      <w:r>
        <w:rPr>
          <w:rFonts w:hint="eastAsia" w:ascii="仿宋_GB2312" w:eastAsia="仿宋_GB2312" w:cs="仿宋_GB2312"/>
          <w:sz w:val="32"/>
          <w:szCs w:val="32"/>
        </w:rPr>
        <w:t>一、主要职能</w:t>
      </w:r>
    </w:p>
    <w:p>
      <w:pPr>
        <w:ind w:firstLine="645"/>
        <w:rPr>
          <w:rFonts w:ascii="仿宋_GB2312" w:eastAsia="仿宋_GB2312"/>
          <w:sz w:val="32"/>
          <w:szCs w:val="32"/>
        </w:rPr>
      </w:pPr>
      <w:r>
        <w:rPr>
          <w:rFonts w:hint="eastAsia" w:ascii="仿宋_GB2312" w:eastAsia="仿宋_GB2312" w:cs="仿宋_GB2312"/>
          <w:sz w:val="32"/>
          <w:szCs w:val="32"/>
        </w:rPr>
        <w:t>二、决算单位构成</w:t>
      </w:r>
    </w:p>
    <w:p>
      <w:pPr>
        <w:ind w:firstLine="645"/>
        <w:rPr>
          <w:rFonts w:ascii="仿宋_GB2312" w:eastAsia="仿宋_GB2312"/>
          <w:b/>
          <w:bCs/>
          <w:sz w:val="32"/>
          <w:szCs w:val="32"/>
        </w:rPr>
      </w:pPr>
      <w:r>
        <w:rPr>
          <w:rFonts w:hint="eastAsia" w:ascii="仿宋_GB2312" w:eastAsia="仿宋_GB2312" w:cs="仿宋_GB2312"/>
          <w:b/>
          <w:bCs/>
          <w:sz w:val="32"/>
          <w:szCs w:val="32"/>
        </w:rPr>
        <w:t>第二部分：</w:t>
      </w:r>
      <w:r>
        <w:rPr>
          <w:rFonts w:hint="eastAsia" w:ascii="仿宋_GB2312" w:hAnsi="黑体" w:eastAsia="仿宋_GB2312" w:cs="仿宋_GB2312"/>
          <w:b/>
          <w:bCs/>
          <w:color w:val="000000"/>
          <w:sz w:val="32"/>
          <w:szCs w:val="32"/>
        </w:rPr>
        <w:t>柳州市人民政府驻广州办事处</w:t>
      </w:r>
      <w:r>
        <w:rPr>
          <w:rFonts w:ascii="仿宋_GB2312" w:eastAsia="仿宋_GB2312" w:cs="仿宋_GB2312"/>
          <w:b/>
          <w:bCs/>
          <w:sz w:val="32"/>
          <w:szCs w:val="32"/>
        </w:rPr>
        <w:t>2020</w:t>
      </w:r>
      <w:r>
        <w:rPr>
          <w:rFonts w:hint="eastAsia" w:ascii="仿宋_GB2312" w:eastAsia="仿宋_GB2312" w:cs="仿宋_GB2312"/>
          <w:b/>
          <w:bCs/>
          <w:sz w:val="32"/>
          <w:szCs w:val="32"/>
        </w:rPr>
        <w:t>年</w:t>
      </w:r>
      <w:r>
        <w:rPr>
          <w:rFonts w:hint="default" w:ascii="仿宋_GB2312" w:eastAsia="仿宋_GB2312" w:cs="仿宋_GB2312"/>
          <w:b/>
          <w:bCs/>
          <w:sz w:val="32"/>
          <w:szCs w:val="32"/>
          <w:lang w:val="en"/>
        </w:rPr>
        <w:t>单位</w:t>
      </w:r>
      <w:r>
        <w:rPr>
          <w:rFonts w:hint="eastAsia" w:ascii="仿宋_GB2312" w:eastAsia="仿宋_GB2312" w:cs="仿宋_GB2312"/>
          <w:b/>
          <w:bCs/>
          <w:sz w:val="32"/>
          <w:szCs w:val="32"/>
        </w:rPr>
        <w:t>决算报表</w:t>
      </w:r>
    </w:p>
    <w:p>
      <w:pPr>
        <w:ind w:left="645"/>
        <w:rPr>
          <w:rFonts w:ascii="仿宋_GB2312" w:eastAsia="仿宋_GB2312"/>
          <w:sz w:val="32"/>
          <w:szCs w:val="32"/>
        </w:rPr>
      </w:pPr>
      <w:r>
        <w:rPr>
          <w:rFonts w:hint="eastAsia" w:ascii="仿宋_GB2312" w:eastAsia="仿宋_GB2312" w:cs="仿宋_GB2312"/>
          <w:sz w:val="32"/>
          <w:szCs w:val="32"/>
        </w:rPr>
        <w:t>表一：收入支出决算总表</w:t>
      </w:r>
    </w:p>
    <w:p>
      <w:pPr>
        <w:ind w:left="645"/>
        <w:rPr>
          <w:rFonts w:ascii="仿宋_GB2312" w:eastAsia="仿宋_GB2312"/>
          <w:sz w:val="32"/>
          <w:szCs w:val="32"/>
        </w:rPr>
      </w:pPr>
      <w:r>
        <w:rPr>
          <w:rFonts w:hint="eastAsia" w:ascii="仿宋_GB2312" w:eastAsia="仿宋_GB2312" w:cs="仿宋_GB2312"/>
          <w:sz w:val="32"/>
          <w:szCs w:val="32"/>
        </w:rPr>
        <w:t>表二：收入决算表</w:t>
      </w:r>
    </w:p>
    <w:p>
      <w:pPr>
        <w:ind w:left="645"/>
        <w:rPr>
          <w:rFonts w:ascii="仿宋_GB2312" w:eastAsia="仿宋_GB2312"/>
          <w:sz w:val="32"/>
          <w:szCs w:val="32"/>
        </w:rPr>
      </w:pPr>
      <w:r>
        <w:rPr>
          <w:rFonts w:hint="eastAsia" w:ascii="仿宋_GB2312" w:eastAsia="仿宋_GB2312" w:cs="仿宋_GB2312"/>
          <w:sz w:val="32"/>
          <w:szCs w:val="32"/>
        </w:rPr>
        <w:t>表三：支出决算表</w:t>
      </w:r>
    </w:p>
    <w:p>
      <w:pPr>
        <w:ind w:left="645"/>
        <w:rPr>
          <w:rFonts w:ascii="仿宋_GB2312" w:eastAsia="仿宋_GB2312"/>
          <w:sz w:val="32"/>
          <w:szCs w:val="32"/>
        </w:rPr>
      </w:pPr>
      <w:r>
        <w:rPr>
          <w:rFonts w:hint="eastAsia" w:ascii="仿宋_GB2312" w:eastAsia="仿宋_GB2312" w:cs="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cs="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cs="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cs="仿宋_GB2312"/>
          <w:sz w:val="32"/>
          <w:szCs w:val="32"/>
        </w:rPr>
        <w:t>表七：一般公共预算财政拨款安排的“三公”经费支出决算表</w:t>
      </w:r>
    </w:p>
    <w:p>
      <w:pPr>
        <w:ind w:left="645"/>
        <w:rPr>
          <w:rFonts w:ascii="仿宋_GB2312" w:eastAsia="仿宋_GB2312"/>
          <w:sz w:val="32"/>
          <w:szCs w:val="32"/>
        </w:rPr>
      </w:pPr>
      <w:r>
        <w:rPr>
          <w:rFonts w:hint="eastAsia" w:ascii="仿宋_GB2312" w:eastAsia="仿宋_GB2312" w:cs="仿宋_GB2312"/>
          <w:sz w:val="32"/>
          <w:szCs w:val="32"/>
        </w:rPr>
        <w:t>表八：政府性基金</w:t>
      </w:r>
      <w:r>
        <w:rPr>
          <w:rFonts w:hint="eastAsia" w:ascii="仿宋_GB2312" w:hAnsi="黑体" w:eastAsia="仿宋_GB2312" w:cs="仿宋_GB2312"/>
          <w:sz w:val="32"/>
          <w:szCs w:val="32"/>
        </w:rPr>
        <w:t>预算财政拨款</w:t>
      </w:r>
      <w:r>
        <w:rPr>
          <w:rFonts w:hint="eastAsia" w:ascii="仿宋_GB2312" w:eastAsia="仿宋_GB2312" w:cs="仿宋_GB2312"/>
          <w:sz w:val="32"/>
          <w:szCs w:val="32"/>
        </w:rPr>
        <w:t>收入支出决算表</w:t>
      </w:r>
    </w:p>
    <w:p>
      <w:pPr>
        <w:ind w:left="645"/>
        <w:rPr>
          <w:rFonts w:ascii="仿宋_GB2312" w:eastAsia="仿宋_GB2312"/>
          <w:sz w:val="32"/>
          <w:szCs w:val="32"/>
        </w:rPr>
      </w:pPr>
      <w:r>
        <w:rPr>
          <w:rFonts w:hint="eastAsia" w:ascii="仿宋_GB2312" w:eastAsia="仿宋_GB2312" w:cs="仿宋_GB2312"/>
          <w:sz w:val="32"/>
          <w:szCs w:val="32"/>
        </w:rPr>
        <w:t>表九：国有资本经营预算财政拨款支出决算表</w:t>
      </w:r>
    </w:p>
    <w:p>
      <w:pPr>
        <w:ind w:firstLine="645"/>
        <w:rPr>
          <w:rFonts w:ascii="仿宋_GB2312" w:eastAsia="仿宋_GB2312"/>
          <w:b/>
          <w:bCs/>
          <w:sz w:val="32"/>
          <w:szCs w:val="32"/>
        </w:rPr>
      </w:pPr>
      <w:r>
        <w:rPr>
          <w:rFonts w:hint="eastAsia" w:ascii="仿宋_GB2312" w:eastAsia="仿宋_GB2312" w:cs="仿宋_GB2312"/>
          <w:b/>
          <w:bCs/>
          <w:sz w:val="32"/>
          <w:szCs w:val="32"/>
        </w:rPr>
        <w:t>第三部分：</w:t>
      </w:r>
      <w:r>
        <w:rPr>
          <w:rFonts w:hint="eastAsia" w:ascii="仿宋_GB2312" w:hAnsi="黑体" w:eastAsia="仿宋_GB2312" w:cs="仿宋_GB2312"/>
          <w:b/>
          <w:bCs/>
          <w:color w:val="000000"/>
          <w:sz w:val="32"/>
          <w:szCs w:val="32"/>
        </w:rPr>
        <w:t>柳州市人民政府驻广州办事处</w:t>
      </w:r>
      <w:r>
        <w:rPr>
          <w:rFonts w:ascii="仿宋_GB2312" w:eastAsia="仿宋_GB2312" w:cs="仿宋_GB2312"/>
          <w:b/>
          <w:bCs/>
          <w:sz w:val="32"/>
          <w:szCs w:val="32"/>
        </w:rPr>
        <w:t>2020</w:t>
      </w:r>
      <w:r>
        <w:rPr>
          <w:rFonts w:hint="eastAsia" w:ascii="仿宋_GB2312" w:eastAsia="仿宋_GB2312" w:cs="仿宋_GB2312"/>
          <w:b/>
          <w:bCs/>
          <w:sz w:val="32"/>
          <w:szCs w:val="32"/>
        </w:rPr>
        <w:t>年度决算情况说明</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一、</w:t>
      </w:r>
      <w:r>
        <w:rPr>
          <w:rFonts w:eastAsia="仿宋_GB2312"/>
          <w:kern w:val="0"/>
          <w:sz w:val="32"/>
          <w:szCs w:val="32"/>
        </w:rPr>
        <w:t>2020</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二、</w:t>
      </w:r>
      <w:r>
        <w:rPr>
          <w:rFonts w:eastAsia="仿宋_GB2312"/>
          <w:kern w:val="0"/>
          <w:sz w:val="32"/>
          <w:szCs w:val="32"/>
        </w:rPr>
        <w:t>2020</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三、</w:t>
      </w:r>
      <w:r>
        <w:rPr>
          <w:rFonts w:eastAsia="仿宋_GB2312"/>
          <w:kern w:val="0"/>
          <w:sz w:val="32"/>
          <w:szCs w:val="32"/>
        </w:rPr>
        <w:t>2020</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四、</w:t>
      </w:r>
      <w:r>
        <w:rPr>
          <w:rFonts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五、</w:t>
      </w:r>
      <w:r>
        <w:rPr>
          <w:rFonts w:eastAsia="仿宋_GB2312"/>
          <w:kern w:val="0"/>
          <w:sz w:val="32"/>
          <w:szCs w:val="32"/>
        </w:rPr>
        <w:t>2020</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六、</w:t>
      </w:r>
      <w:r>
        <w:rPr>
          <w:rFonts w:eastAsia="仿宋_GB2312"/>
          <w:kern w:val="0"/>
          <w:sz w:val="32"/>
          <w:szCs w:val="32"/>
        </w:rPr>
        <w:t>2020</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七、</w:t>
      </w:r>
      <w:r>
        <w:rPr>
          <w:rFonts w:eastAsia="仿宋_GB2312"/>
          <w:kern w:val="0"/>
          <w:sz w:val="32"/>
          <w:szCs w:val="32"/>
        </w:rPr>
        <w:t>2020</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八、</w:t>
      </w:r>
      <w:r>
        <w:rPr>
          <w:rFonts w:eastAsia="仿宋_GB2312"/>
          <w:kern w:val="0"/>
          <w:sz w:val="32"/>
          <w:szCs w:val="32"/>
        </w:rPr>
        <w:t>2020</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年度政府性基金预算财政拨款收入支出决算情况</w:t>
      </w:r>
    </w:p>
    <w:p>
      <w:pPr>
        <w:ind w:left="645"/>
        <w:rPr>
          <w:rFonts w:ascii="仿宋_GB2312" w:eastAsia="仿宋_GB2312"/>
          <w:kern w:val="0"/>
          <w:sz w:val="32"/>
          <w:szCs w:val="32"/>
        </w:rPr>
      </w:pPr>
      <w:r>
        <w:rPr>
          <w:rFonts w:hint="eastAsia" w:ascii="仿宋_GB2312" w:eastAsia="仿宋_GB2312" w:cs="仿宋_GB2312"/>
          <w:kern w:val="0"/>
          <w:sz w:val="32"/>
          <w:szCs w:val="32"/>
        </w:rPr>
        <w:t>九、</w:t>
      </w:r>
      <w:r>
        <w:rPr>
          <w:rFonts w:hint="eastAsia" w:ascii="仿宋_GB2312" w:eastAsia="仿宋_GB2312" w:cs="仿宋_GB2312"/>
          <w:sz w:val="32"/>
          <w:szCs w:val="32"/>
        </w:rPr>
        <w:t>国有资本经营预算财政拨款支出决算情况</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十、</w:t>
      </w:r>
      <w:r>
        <w:rPr>
          <w:rFonts w:eastAsia="仿宋_GB2312"/>
          <w:kern w:val="0"/>
          <w:sz w:val="32"/>
          <w:szCs w:val="32"/>
        </w:rPr>
        <w:t>2020</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年度预算绩效情况说明</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十一、其他重要事项的情况说明</w:t>
      </w:r>
    </w:p>
    <w:p>
      <w:pPr>
        <w:ind w:firstLine="645"/>
        <w:rPr>
          <w:rFonts w:ascii="仿宋_GB2312" w:eastAsia="仿宋_GB2312"/>
          <w:b/>
          <w:bCs/>
          <w:sz w:val="32"/>
          <w:szCs w:val="32"/>
        </w:rPr>
      </w:pPr>
      <w:r>
        <w:rPr>
          <w:rFonts w:hint="eastAsia" w:ascii="仿宋_GB2312" w:eastAsia="仿宋_GB2312" w:cs="仿宋_GB2312"/>
          <w:b/>
          <w:bCs/>
          <w:sz w:val="32"/>
          <w:szCs w:val="32"/>
        </w:rPr>
        <w:t>第四部分：名词解释</w:t>
      </w:r>
    </w:p>
    <w:p>
      <w:pPr>
        <w:ind w:firstLine="646"/>
        <w:jc w:val="center"/>
        <w:rPr>
          <w:rFonts w:ascii="仿宋_GB2312" w:eastAsia="仿宋_GB2312"/>
          <w:b/>
          <w:bCs/>
          <w:sz w:val="32"/>
          <w:szCs w:val="32"/>
        </w:rPr>
      </w:pPr>
      <w:r>
        <w:rPr>
          <w:rFonts w:ascii="仿宋_GB2312" w:eastAsia="仿宋_GB2312"/>
          <w:kern w:val="0"/>
          <w:sz w:val="32"/>
          <w:szCs w:val="32"/>
        </w:rPr>
        <w:br w:type="page"/>
      </w:r>
      <w:r>
        <w:rPr>
          <w:rFonts w:hint="eastAsia" w:ascii="仿宋_GB2312" w:eastAsia="仿宋_GB2312" w:cs="仿宋_GB2312"/>
          <w:b/>
          <w:bCs/>
          <w:sz w:val="32"/>
          <w:szCs w:val="32"/>
        </w:rPr>
        <w:t>第一部分：</w:t>
      </w:r>
      <w:r>
        <w:rPr>
          <w:rFonts w:hint="eastAsia" w:ascii="仿宋_GB2312" w:hAnsi="黑体" w:eastAsia="仿宋_GB2312" w:cs="仿宋_GB2312"/>
          <w:b/>
          <w:bCs/>
          <w:color w:val="000000"/>
          <w:sz w:val="32"/>
          <w:szCs w:val="32"/>
        </w:rPr>
        <w:t>柳州市人民政府驻广州办事处</w:t>
      </w:r>
      <w:r>
        <w:rPr>
          <w:rFonts w:hint="eastAsia" w:ascii="仿宋_GB2312" w:eastAsia="仿宋_GB2312" w:cs="仿宋_GB2312"/>
          <w:b/>
          <w:bCs/>
          <w:sz w:val="32"/>
          <w:szCs w:val="32"/>
        </w:rPr>
        <w:t>概况</w:t>
      </w:r>
    </w:p>
    <w:p>
      <w:pPr>
        <w:ind w:firstLine="646"/>
        <w:rPr>
          <w:rFonts w:ascii="仿宋_GB2312" w:eastAsia="仿宋_GB2312"/>
          <w:sz w:val="32"/>
          <w:szCs w:val="32"/>
        </w:rPr>
      </w:pPr>
      <w:r>
        <w:rPr>
          <w:rFonts w:hint="eastAsia" w:ascii="仿宋_GB2312" w:eastAsia="仿宋_GB2312" w:cs="仿宋_GB2312"/>
          <w:sz w:val="32"/>
          <w:szCs w:val="32"/>
        </w:rPr>
        <w:t>一、主要职能</w:t>
      </w:r>
    </w:p>
    <w:p>
      <w:pPr>
        <w:ind w:firstLine="645"/>
        <w:rPr>
          <w:rFonts w:ascii="仿宋_GB2312" w:hAnsi="仿宋" w:eastAsia="仿宋_GB2312"/>
          <w:sz w:val="32"/>
          <w:szCs w:val="32"/>
        </w:rPr>
      </w:pPr>
      <w:r>
        <w:rPr>
          <w:rFonts w:hint="eastAsia" w:ascii="仿宋_GB2312" w:hAnsi="仿宋" w:eastAsia="仿宋_GB2312" w:cs="仿宋_GB2312"/>
          <w:sz w:val="32"/>
          <w:szCs w:val="32"/>
        </w:rPr>
        <w:t>我办事处为柳州市人民政府派驻广东省广州市机构，受柳州市人民政府办公室领导，属行政编制，执行政府会计制度。</w:t>
      </w:r>
    </w:p>
    <w:p>
      <w:pPr>
        <w:ind w:firstLine="645"/>
        <w:rPr>
          <w:rFonts w:ascii="仿宋_GB2312" w:hAnsi="仿宋" w:eastAsia="仿宋_GB2312"/>
          <w:sz w:val="32"/>
          <w:szCs w:val="32"/>
        </w:rPr>
      </w:pPr>
      <w:r>
        <w:rPr>
          <w:rFonts w:hint="eastAsia" w:ascii="仿宋_GB2312" w:hAnsi="仿宋" w:eastAsia="仿宋_GB2312" w:cs="仿宋_GB2312"/>
          <w:sz w:val="32"/>
          <w:szCs w:val="32"/>
        </w:rPr>
        <w:t>主要职能为</w:t>
      </w:r>
      <w:r>
        <w:rPr>
          <w:rFonts w:hint="eastAsia" w:ascii="仿宋_GB2312" w:hAnsi="宋体" w:eastAsia="仿宋_GB2312" w:cs="仿宋_GB2312"/>
          <w:sz w:val="32"/>
          <w:szCs w:val="32"/>
        </w:rPr>
        <w:t>主要职能为开展政府行为性事务</w:t>
      </w:r>
      <w:r>
        <w:rPr>
          <w:rFonts w:ascii="仿宋_GB2312" w:hAnsi="宋体" w:eastAsia="仿宋_GB2312" w:cs="仿宋_GB2312"/>
          <w:sz w:val="32"/>
          <w:szCs w:val="32"/>
        </w:rPr>
        <w:t>:</w:t>
      </w:r>
      <w:r>
        <w:rPr>
          <w:rFonts w:hint="eastAsia" w:ascii="仿宋_GB2312" w:hAnsi="宋体" w:eastAsia="仿宋_GB2312" w:cs="仿宋_GB2312"/>
          <w:sz w:val="32"/>
          <w:szCs w:val="32"/>
        </w:rPr>
        <w:t>牵线搭桥，促进柳、穗两地经贸合作；政务、经济信息收集及发送；政务接待，配合我市相关部门开展政务及经济活动。</w:t>
      </w:r>
    </w:p>
    <w:p>
      <w:pPr>
        <w:ind w:firstLine="646"/>
        <w:rPr>
          <w:rFonts w:ascii="仿宋_GB2312" w:eastAsia="仿宋_GB2312"/>
          <w:sz w:val="32"/>
          <w:szCs w:val="32"/>
        </w:rPr>
      </w:pPr>
      <w:r>
        <w:rPr>
          <w:rFonts w:hint="eastAsia" w:ascii="仿宋_GB2312" w:eastAsia="仿宋_GB2312" w:cs="仿宋_GB2312"/>
          <w:sz w:val="32"/>
          <w:szCs w:val="32"/>
        </w:rPr>
        <w:t>二、决算单位构成</w:t>
      </w:r>
    </w:p>
    <w:p>
      <w:pPr>
        <w:ind w:firstLine="645"/>
        <w:rPr>
          <w:rFonts w:ascii="仿宋_GB2312" w:eastAsia="仿宋_GB2312"/>
          <w:sz w:val="32"/>
          <w:szCs w:val="32"/>
        </w:rPr>
      </w:pPr>
      <w:r>
        <w:rPr>
          <w:rFonts w:hint="eastAsia" w:ascii="仿宋_GB2312" w:eastAsia="仿宋_GB2312" w:cs="仿宋_GB2312"/>
          <w:sz w:val="32"/>
          <w:szCs w:val="32"/>
        </w:rPr>
        <w:t>柳州市人民政府驻广州办事处</w:t>
      </w:r>
    </w:p>
    <w:p>
      <w:pPr>
        <w:jc w:val="center"/>
      </w:pPr>
    </w:p>
    <w:p>
      <w:pPr>
        <w:rPr>
          <w:rFonts w:ascii="仿宋_GB2312" w:eastAsia="仿宋_GB2312"/>
          <w:b/>
          <w:bCs/>
          <w:sz w:val="32"/>
          <w:szCs w:val="32"/>
        </w:rPr>
      </w:pPr>
    </w:p>
    <w:p>
      <w:pPr>
        <w:rPr>
          <w:rFonts w:ascii="仿宋_GB2312" w:eastAsia="仿宋_GB2312"/>
          <w:b/>
          <w:bCs/>
          <w:sz w:val="32"/>
          <w:szCs w:val="32"/>
        </w:rPr>
      </w:pPr>
    </w:p>
    <w:p>
      <w:pPr>
        <w:rPr>
          <w:rFonts w:ascii="仿宋_GB2312" w:eastAsia="仿宋_GB2312"/>
          <w:b/>
          <w:bCs/>
          <w:sz w:val="32"/>
          <w:szCs w:val="32"/>
        </w:rPr>
      </w:pPr>
    </w:p>
    <w:p>
      <w:pPr>
        <w:rPr>
          <w:rFonts w:ascii="仿宋_GB2312" w:eastAsia="仿宋_GB2312"/>
          <w:b/>
          <w:bCs/>
          <w:sz w:val="32"/>
          <w:szCs w:val="32"/>
        </w:rPr>
      </w:pPr>
    </w:p>
    <w:p>
      <w:pPr>
        <w:rPr>
          <w:rFonts w:ascii="仿宋_GB2312" w:eastAsia="仿宋_GB2312"/>
          <w:b/>
          <w:bCs/>
          <w:sz w:val="32"/>
          <w:szCs w:val="32"/>
        </w:rPr>
      </w:pPr>
    </w:p>
    <w:p>
      <w:pPr>
        <w:rPr>
          <w:rFonts w:ascii="仿宋_GB2312" w:eastAsia="仿宋_GB2312"/>
          <w:b/>
          <w:bCs/>
          <w:sz w:val="32"/>
          <w:szCs w:val="32"/>
        </w:rPr>
      </w:pPr>
    </w:p>
    <w:p>
      <w:pPr>
        <w:rPr>
          <w:rFonts w:ascii="仿宋_GB2312" w:eastAsia="仿宋_GB2312"/>
          <w:b/>
          <w:bCs/>
          <w:sz w:val="32"/>
          <w:szCs w:val="32"/>
        </w:rPr>
      </w:pPr>
    </w:p>
    <w:p>
      <w:pPr>
        <w:rPr>
          <w:rFonts w:ascii="仿宋_GB2312" w:eastAsia="仿宋_GB2312"/>
          <w:b/>
          <w:bCs/>
          <w:sz w:val="32"/>
          <w:szCs w:val="32"/>
        </w:rPr>
      </w:pPr>
    </w:p>
    <w:p>
      <w:pPr>
        <w:rPr>
          <w:rFonts w:ascii="仿宋_GB2312" w:eastAsia="仿宋_GB2312"/>
          <w:b/>
          <w:bCs/>
          <w:sz w:val="32"/>
          <w:szCs w:val="32"/>
        </w:rPr>
      </w:pPr>
    </w:p>
    <w:p>
      <w:pPr>
        <w:rPr>
          <w:rFonts w:ascii="仿宋_GB2312" w:eastAsia="仿宋_GB2312"/>
          <w:b/>
          <w:bCs/>
          <w:sz w:val="32"/>
          <w:szCs w:val="32"/>
        </w:rPr>
      </w:pPr>
    </w:p>
    <w:p>
      <w:pPr>
        <w:rPr>
          <w:rFonts w:ascii="仿宋_GB2312" w:eastAsia="仿宋_GB2312"/>
          <w:b/>
          <w:bCs/>
          <w:sz w:val="32"/>
          <w:szCs w:val="32"/>
        </w:rPr>
      </w:pPr>
    </w:p>
    <w:p>
      <w:pPr>
        <w:rPr>
          <w:rFonts w:ascii="仿宋_GB2312" w:eastAsia="仿宋_GB2312"/>
          <w:b/>
          <w:bCs/>
          <w:sz w:val="32"/>
          <w:szCs w:val="32"/>
        </w:rPr>
      </w:pPr>
    </w:p>
    <w:p>
      <w:pPr>
        <w:rPr>
          <w:rFonts w:ascii="仿宋_GB2312" w:eastAsia="仿宋_GB2312"/>
          <w:b/>
          <w:bCs/>
          <w:sz w:val="32"/>
          <w:szCs w:val="32"/>
        </w:rPr>
      </w:pPr>
    </w:p>
    <w:p>
      <w:pPr>
        <w:rPr>
          <w:rFonts w:ascii="仿宋_GB2312" w:eastAsia="仿宋_GB2312"/>
          <w:b/>
          <w:bCs/>
          <w:sz w:val="32"/>
          <w:szCs w:val="32"/>
        </w:rPr>
      </w:pPr>
      <w:r>
        <w:rPr>
          <w:rFonts w:hint="eastAsia" w:ascii="仿宋_GB2312" w:eastAsia="仿宋_GB2312" w:cs="仿宋_GB2312"/>
          <w:b/>
          <w:bCs/>
          <w:sz w:val="32"/>
          <w:szCs w:val="32"/>
        </w:rPr>
        <w:t>第二部分：</w:t>
      </w:r>
      <w:r>
        <w:rPr>
          <w:rFonts w:hint="eastAsia" w:ascii="仿宋_GB2312" w:hAnsi="黑体" w:eastAsia="仿宋_GB2312" w:cs="仿宋_GB2312"/>
          <w:b/>
          <w:bCs/>
          <w:color w:val="000000"/>
          <w:sz w:val="32"/>
          <w:szCs w:val="32"/>
        </w:rPr>
        <w:t>柳州市人民政府驻广州办事处</w:t>
      </w:r>
      <w:r>
        <w:rPr>
          <w:rFonts w:ascii="仿宋_GB2312" w:eastAsia="仿宋_GB2312" w:cs="仿宋_GB2312"/>
          <w:b/>
          <w:bCs/>
          <w:sz w:val="32"/>
          <w:szCs w:val="32"/>
        </w:rPr>
        <w:t>2020</w:t>
      </w:r>
      <w:r>
        <w:rPr>
          <w:rFonts w:hint="eastAsia" w:ascii="仿宋_GB2312" w:eastAsia="仿宋_GB2312" w:cs="仿宋_GB2312"/>
          <w:b/>
          <w:bCs/>
          <w:sz w:val="32"/>
          <w:szCs w:val="32"/>
        </w:rPr>
        <w:t>年决算报表</w:t>
      </w:r>
    </w:p>
    <w:p>
      <w:pPr>
        <w:jc w:val="center"/>
      </w:pPr>
    </w:p>
    <w:p/>
    <w:tbl>
      <w:tblPr>
        <w:tblStyle w:val="5"/>
        <w:tblW w:w="8843" w:type="dxa"/>
        <w:jc w:val="center"/>
        <w:tblLayout w:type="fixed"/>
        <w:tblCellMar>
          <w:top w:w="0" w:type="dxa"/>
          <w:left w:w="108" w:type="dxa"/>
          <w:bottom w:w="0" w:type="dxa"/>
          <w:right w:w="108" w:type="dxa"/>
        </w:tblCellMar>
      </w:tblPr>
      <w:tblGrid>
        <w:gridCol w:w="2895"/>
        <w:gridCol w:w="1085"/>
        <w:gridCol w:w="3123"/>
        <w:gridCol w:w="1740"/>
      </w:tblGrid>
      <w:tr>
        <w:tblPrEx>
          <w:tblCellMar>
            <w:top w:w="0" w:type="dxa"/>
            <w:left w:w="108" w:type="dxa"/>
            <w:bottom w:w="0" w:type="dxa"/>
            <w:right w:w="108" w:type="dxa"/>
          </w:tblCellMar>
        </w:tblPrEx>
        <w:trPr>
          <w:wAfter w:w="0" w:type="auto"/>
          <w:trHeight w:val="570" w:hRule="atLeast"/>
          <w:jc w:val="center"/>
        </w:trPr>
        <w:tc>
          <w:tcPr>
            <w:tcW w:w="8843" w:type="dxa"/>
            <w:gridSpan w:val="4"/>
            <w:tcBorders>
              <w:top w:val="nil"/>
              <w:left w:val="nil"/>
              <w:bottom w:val="nil"/>
              <w:right w:val="nil"/>
            </w:tcBorders>
            <w:vAlign w:val="bottom"/>
          </w:tcPr>
          <w:p>
            <w:pPr>
              <w:widowControl/>
              <w:jc w:val="center"/>
              <w:rPr>
                <w:rFonts w:ascii="方正小标宋简体" w:hAnsi="宋体" w:eastAsia="方正小标宋简体"/>
                <w:kern w:val="0"/>
                <w:sz w:val="36"/>
                <w:szCs w:val="36"/>
              </w:rPr>
            </w:pPr>
            <w:r>
              <w:rPr>
                <w:rFonts w:hint="eastAsia" w:ascii="方正小标宋简体" w:hAnsi="宋体" w:eastAsia="方正小标宋简体" w:cs="方正小标宋简体"/>
                <w:kern w:val="0"/>
                <w:sz w:val="36"/>
                <w:szCs w:val="36"/>
              </w:rPr>
              <w:t>表一：收入支出决算总表</w:t>
            </w:r>
          </w:p>
          <w:p>
            <w:pPr>
              <w:widowControl/>
              <w:jc w:val="right"/>
              <w:rPr>
                <w:rFonts w:ascii="宋体"/>
                <w:kern w:val="0"/>
                <w:sz w:val="22"/>
                <w:szCs w:val="22"/>
              </w:rPr>
            </w:pPr>
            <w:r>
              <w:rPr>
                <w:rFonts w:hint="eastAsia" w:ascii="宋体" w:hAnsi="宋体" w:cs="宋体"/>
                <w:kern w:val="0"/>
                <w:sz w:val="22"/>
                <w:szCs w:val="22"/>
              </w:rPr>
              <w:t>单位：万元</w:t>
            </w:r>
          </w:p>
        </w:tc>
      </w:tr>
      <w:tr>
        <w:tblPrEx>
          <w:tblCellMar>
            <w:top w:w="0" w:type="dxa"/>
            <w:left w:w="108" w:type="dxa"/>
            <w:bottom w:w="0" w:type="dxa"/>
            <w:right w:w="108" w:type="dxa"/>
          </w:tblCellMar>
        </w:tblPrEx>
        <w:trPr>
          <w:trHeight w:val="270" w:hRule="atLeast"/>
          <w:jc w:val="center"/>
        </w:trPr>
        <w:tc>
          <w:tcPr>
            <w:tcW w:w="3980"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宋体"/>
                <w:color w:val="000000"/>
                <w:kern w:val="0"/>
                <w:sz w:val="22"/>
                <w:szCs w:val="22"/>
              </w:rPr>
            </w:pPr>
            <w:r>
              <w:rPr>
                <w:rFonts w:hint="eastAsia" w:ascii="宋体" w:hAnsi="宋体" w:cs="宋体"/>
                <w:color w:val="000000"/>
                <w:kern w:val="0"/>
                <w:sz w:val="22"/>
                <w:szCs w:val="22"/>
              </w:rPr>
              <w:t>收</w:t>
            </w:r>
            <w:r>
              <w:rPr>
                <w:rFonts w:ascii="宋体" w:hAnsi="宋体" w:cs="宋体"/>
                <w:color w:val="000000"/>
                <w:kern w:val="0"/>
                <w:sz w:val="22"/>
                <w:szCs w:val="22"/>
              </w:rPr>
              <w:t xml:space="preserve">    </w:t>
            </w:r>
            <w:r>
              <w:rPr>
                <w:rFonts w:hint="eastAsia" w:ascii="宋体" w:hAnsi="宋体" w:cs="宋体"/>
                <w:color w:val="000000"/>
                <w:kern w:val="0"/>
                <w:sz w:val="22"/>
                <w:szCs w:val="22"/>
              </w:rPr>
              <w:t>入</w:t>
            </w:r>
          </w:p>
        </w:tc>
        <w:tc>
          <w:tcPr>
            <w:tcW w:w="4863" w:type="dxa"/>
            <w:gridSpan w:val="2"/>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支</w:t>
            </w:r>
            <w:r>
              <w:rPr>
                <w:rFonts w:ascii="宋体" w:hAnsi="宋体" w:cs="宋体"/>
                <w:color w:val="000000"/>
                <w:kern w:val="0"/>
                <w:sz w:val="22"/>
                <w:szCs w:val="22"/>
              </w:rPr>
              <w:t xml:space="preserve">    </w:t>
            </w:r>
            <w:r>
              <w:rPr>
                <w:rFonts w:hint="eastAsia" w:ascii="宋体" w:hAnsi="宋体" w:cs="宋体"/>
                <w:color w:val="000000"/>
                <w:kern w:val="0"/>
                <w:sz w:val="22"/>
                <w:szCs w:val="22"/>
              </w:rPr>
              <w:t>出</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项目</w:t>
            </w:r>
          </w:p>
        </w:tc>
        <w:tc>
          <w:tcPr>
            <w:tcW w:w="1085"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决算数</w:t>
            </w:r>
          </w:p>
        </w:tc>
        <w:tc>
          <w:tcPr>
            <w:tcW w:w="3123"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项目</w:t>
            </w:r>
          </w:p>
        </w:tc>
        <w:tc>
          <w:tcPr>
            <w:tcW w:w="174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决算数</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一、一般公共预算财政拨款收入</w:t>
            </w:r>
          </w:p>
        </w:tc>
        <w:tc>
          <w:tcPr>
            <w:tcW w:w="108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126.49</w:t>
            </w:r>
          </w:p>
        </w:tc>
        <w:tc>
          <w:tcPr>
            <w:tcW w:w="3123"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一、一般公共服务支出</w:t>
            </w:r>
          </w:p>
        </w:tc>
        <w:tc>
          <w:tcPr>
            <w:tcW w:w="1740"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126.14</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二、政府性基金预算财政拨款收入</w:t>
            </w:r>
          </w:p>
        </w:tc>
        <w:tc>
          <w:tcPr>
            <w:tcW w:w="108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r>
              <w:rPr>
                <w:rFonts w:ascii="宋体" w:cs="宋体"/>
                <w:color w:val="000000"/>
                <w:kern w:val="0"/>
                <w:sz w:val="22"/>
                <w:szCs w:val="22"/>
              </w:rPr>
              <w:t>0</w:t>
            </w:r>
          </w:p>
        </w:tc>
        <w:tc>
          <w:tcPr>
            <w:tcW w:w="3123"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二、外交支出</w:t>
            </w:r>
          </w:p>
        </w:tc>
        <w:tc>
          <w:tcPr>
            <w:tcW w:w="1740"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r>
              <w:rPr>
                <w:rFonts w:ascii="宋体" w:cs="宋体"/>
                <w:color w:val="000000"/>
                <w:kern w:val="0"/>
                <w:sz w:val="22"/>
                <w:szCs w:val="22"/>
              </w:rPr>
              <w:t>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三、上级补助收入</w:t>
            </w:r>
          </w:p>
        </w:tc>
        <w:tc>
          <w:tcPr>
            <w:tcW w:w="108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r>
              <w:rPr>
                <w:rFonts w:ascii="宋体" w:cs="宋体"/>
                <w:color w:val="000000"/>
                <w:kern w:val="0"/>
                <w:sz w:val="22"/>
                <w:szCs w:val="22"/>
              </w:rPr>
              <w:t>0</w:t>
            </w:r>
          </w:p>
        </w:tc>
        <w:tc>
          <w:tcPr>
            <w:tcW w:w="3123"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三、教育支出</w:t>
            </w:r>
          </w:p>
        </w:tc>
        <w:tc>
          <w:tcPr>
            <w:tcW w:w="1740"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r>
              <w:rPr>
                <w:rFonts w:ascii="宋体" w:cs="宋体"/>
                <w:color w:val="000000"/>
                <w:kern w:val="0"/>
                <w:sz w:val="22"/>
                <w:szCs w:val="22"/>
              </w:rPr>
              <w:t>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四、事业收入</w:t>
            </w:r>
          </w:p>
        </w:tc>
        <w:tc>
          <w:tcPr>
            <w:tcW w:w="108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r>
              <w:rPr>
                <w:rFonts w:ascii="宋体" w:cs="宋体"/>
                <w:color w:val="000000"/>
                <w:kern w:val="0"/>
                <w:sz w:val="22"/>
                <w:szCs w:val="22"/>
              </w:rPr>
              <w:t>0</w:t>
            </w:r>
          </w:p>
        </w:tc>
        <w:tc>
          <w:tcPr>
            <w:tcW w:w="3123"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四、科学技术支出</w:t>
            </w:r>
          </w:p>
        </w:tc>
        <w:tc>
          <w:tcPr>
            <w:tcW w:w="1740"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r>
              <w:rPr>
                <w:rFonts w:ascii="宋体" w:cs="宋体"/>
                <w:color w:val="000000"/>
                <w:kern w:val="0"/>
                <w:sz w:val="22"/>
                <w:szCs w:val="22"/>
              </w:rPr>
              <w:t>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五、经营收入</w:t>
            </w:r>
          </w:p>
        </w:tc>
        <w:tc>
          <w:tcPr>
            <w:tcW w:w="108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r>
              <w:rPr>
                <w:rFonts w:ascii="宋体" w:cs="宋体"/>
                <w:color w:val="000000"/>
                <w:kern w:val="0"/>
                <w:sz w:val="22"/>
                <w:szCs w:val="22"/>
              </w:rPr>
              <w:t>0</w:t>
            </w:r>
          </w:p>
        </w:tc>
        <w:tc>
          <w:tcPr>
            <w:tcW w:w="3123"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五、文化旅游体育与传媒支出</w:t>
            </w:r>
          </w:p>
        </w:tc>
        <w:tc>
          <w:tcPr>
            <w:tcW w:w="1740"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r>
              <w:rPr>
                <w:rFonts w:ascii="宋体" w:cs="宋体"/>
                <w:color w:val="000000"/>
                <w:kern w:val="0"/>
                <w:sz w:val="22"/>
                <w:szCs w:val="22"/>
              </w:rPr>
              <w:t>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六、附属单位上缴收入</w:t>
            </w:r>
          </w:p>
        </w:tc>
        <w:tc>
          <w:tcPr>
            <w:tcW w:w="108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r>
              <w:rPr>
                <w:rFonts w:ascii="宋体" w:cs="宋体"/>
                <w:color w:val="000000"/>
                <w:kern w:val="0"/>
                <w:sz w:val="22"/>
                <w:szCs w:val="22"/>
              </w:rPr>
              <w:t>0</w:t>
            </w:r>
          </w:p>
        </w:tc>
        <w:tc>
          <w:tcPr>
            <w:tcW w:w="3123"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w:t>
            </w:r>
          </w:p>
        </w:tc>
        <w:tc>
          <w:tcPr>
            <w:tcW w:w="1740"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七、其他收入</w:t>
            </w:r>
          </w:p>
        </w:tc>
        <w:tc>
          <w:tcPr>
            <w:tcW w:w="108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38.25</w:t>
            </w:r>
          </w:p>
        </w:tc>
        <w:tc>
          <w:tcPr>
            <w:tcW w:w="3123"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w:t>
            </w:r>
          </w:p>
        </w:tc>
        <w:tc>
          <w:tcPr>
            <w:tcW w:w="1740"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108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p>
        </w:tc>
        <w:tc>
          <w:tcPr>
            <w:tcW w:w="1740"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b/>
                <w:bCs/>
                <w:color w:val="000000"/>
                <w:kern w:val="0"/>
                <w:sz w:val="22"/>
                <w:szCs w:val="22"/>
              </w:rPr>
            </w:pPr>
            <w:r>
              <w:rPr>
                <w:rFonts w:hint="eastAsia" w:ascii="宋体" w:hAnsi="宋体" w:cs="宋体"/>
                <w:b/>
                <w:bCs/>
                <w:color w:val="000000"/>
                <w:kern w:val="0"/>
                <w:sz w:val="22"/>
                <w:szCs w:val="22"/>
              </w:rPr>
              <w:t>本年收入合计</w:t>
            </w:r>
          </w:p>
        </w:tc>
        <w:tc>
          <w:tcPr>
            <w:tcW w:w="1085" w:type="dxa"/>
            <w:tcBorders>
              <w:top w:val="nil"/>
              <w:left w:val="nil"/>
              <w:bottom w:val="single" w:color="auto" w:sz="4" w:space="0"/>
              <w:right w:val="single" w:color="auto" w:sz="4" w:space="0"/>
            </w:tcBorders>
            <w:vAlign w:val="center"/>
          </w:tcPr>
          <w:p>
            <w:pPr>
              <w:widowControl/>
              <w:jc w:val="center"/>
              <w:rPr>
                <w:rFonts w:ascii="宋体"/>
                <w:b/>
                <w:bCs/>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center"/>
              <w:rPr>
                <w:rFonts w:ascii="宋体"/>
                <w:b/>
                <w:bCs/>
                <w:color w:val="000000"/>
                <w:kern w:val="0"/>
                <w:sz w:val="22"/>
                <w:szCs w:val="22"/>
              </w:rPr>
            </w:pPr>
            <w:r>
              <w:rPr>
                <w:rFonts w:hint="eastAsia" w:ascii="宋体" w:hAnsi="宋体" w:cs="宋体"/>
                <w:b/>
                <w:bCs/>
                <w:color w:val="000000"/>
                <w:kern w:val="0"/>
                <w:sz w:val="22"/>
                <w:szCs w:val="22"/>
              </w:rPr>
              <w:t>本年支出合计</w:t>
            </w:r>
          </w:p>
        </w:tc>
        <w:tc>
          <w:tcPr>
            <w:tcW w:w="1740" w:type="dxa"/>
            <w:tcBorders>
              <w:top w:val="nil"/>
              <w:left w:val="nil"/>
              <w:bottom w:val="single" w:color="auto" w:sz="4" w:space="0"/>
              <w:right w:val="single" w:color="auto" w:sz="4" w:space="0"/>
            </w:tcBorders>
            <w:vAlign w:val="center"/>
          </w:tcPr>
          <w:p>
            <w:pPr>
              <w:widowControl/>
              <w:jc w:val="left"/>
              <w:rPr>
                <w:rFonts w:ascii="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使用非财政拨款结余</w:t>
            </w:r>
          </w:p>
        </w:tc>
        <w:tc>
          <w:tcPr>
            <w:tcW w:w="108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结余分配</w:t>
            </w:r>
          </w:p>
        </w:tc>
        <w:tc>
          <w:tcPr>
            <w:tcW w:w="1740"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年初结转和结余</w:t>
            </w:r>
          </w:p>
        </w:tc>
        <w:tc>
          <w:tcPr>
            <w:tcW w:w="108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320.16</w:t>
            </w:r>
          </w:p>
        </w:tc>
        <w:tc>
          <w:tcPr>
            <w:tcW w:w="3123"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年末结转与结余</w:t>
            </w:r>
          </w:p>
        </w:tc>
        <w:tc>
          <w:tcPr>
            <w:tcW w:w="1740"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358.77</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108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p>
        </w:tc>
        <w:tc>
          <w:tcPr>
            <w:tcW w:w="1740"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b/>
                <w:bCs/>
                <w:color w:val="000000"/>
                <w:kern w:val="0"/>
                <w:sz w:val="22"/>
                <w:szCs w:val="22"/>
              </w:rPr>
            </w:pPr>
            <w:r>
              <w:rPr>
                <w:rFonts w:hint="eastAsia" w:ascii="宋体" w:hAnsi="宋体" w:cs="宋体"/>
                <w:b/>
                <w:bCs/>
                <w:color w:val="000000"/>
                <w:kern w:val="0"/>
                <w:sz w:val="22"/>
                <w:szCs w:val="22"/>
              </w:rPr>
              <w:t>收入总计</w:t>
            </w:r>
          </w:p>
        </w:tc>
        <w:tc>
          <w:tcPr>
            <w:tcW w:w="1085" w:type="dxa"/>
            <w:tcBorders>
              <w:top w:val="nil"/>
              <w:left w:val="nil"/>
              <w:bottom w:val="single" w:color="auto" w:sz="4" w:space="0"/>
              <w:right w:val="single" w:color="auto" w:sz="4" w:space="0"/>
            </w:tcBorders>
            <w:vAlign w:val="center"/>
          </w:tcPr>
          <w:p>
            <w:pPr>
              <w:widowControl/>
              <w:jc w:val="center"/>
              <w:rPr>
                <w:rFonts w:ascii="宋体"/>
                <w:b/>
                <w:bCs/>
                <w:color w:val="000000"/>
                <w:kern w:val="0"/>
                <w:sz w:val="22"/>
                <w:szCs w:val="22"/>
              </w:rPr>
            </w:pPr>
            <w:r>
              <w:rPr>
                <w:rFonts w:ascii="宋体" w:cs="宋体"/>
                <w:b/>
                <w:bCs/>
                <w:color w:val="000000"/>
                <w:kern w:val="0"/>
                <w:sz w:val="22"/>
                <w:szCs w:val="22"/>
              </w:rPr>
              <w:t>484.91</w:t>
            </w:r>
          </w:p>
        </w:tc>
        <w:tc>
          <w:tcPr>
            <w:tcW w:w="3123" w:type="dxa"/>
            <w:tcBorders>
              <w:top w:val="nil"/>
              <w:left w:val="nil"/>
              <w:bottom w:val="single" w:color="auto" w:sz="4" w:space="0"/>
              <w:right w:val="single" w:color="auto" w:sz="4" w:space="0"/>
            </w:tcBorders>
            <w:vAlign w:val="center"/>
          </w:tcPr>
          <w:p>
            <w:pPr>
              <w:widowControl/>
              <w:jc w:val="center"/>
              <w:rPr>
                <w:rFonts w:ascii="宋体"/>
                <w:b/>
                <w:bCs/>
                <w:color w:val="000000"/>
                <w:kern w:val="0"/>
                <w:sz w:val="22"/>
                <w:szCs w:val="22"/>
              </w:rPr>
            </w:pPr>
            <w:r>
              <w:rPr>
                <w:rFonts w:hint="eastAsia" w:ascii="宋体" w:hAnsi="宋体" w:cs="宋体"/>
                <w:b/>
                <w:bCs/>
                <w:color w:val="000000"/>
                <w:kern w:val="0"/>
                <w:sz w:val="22"/>
                <w:szCs w:val="22"/>
              </w:rPr>
              <w:t>支出总计</w:t>
            </w:r>
          </w:p>
        </w:tc>
        <w:tc>
          <w:tcPr>
            <w:tcW w:w="1740" w:type="dxa"/>
            <w:tcBorders>
              <w:top w:val="nil"/>
              <w:left w:val="nil"/>
              <w:bottom w:val="single" w:color="auto" w:sz="4" w:space="0"/>
              <w:right w:val="single" w:color="auto" w:sz="4" w:space="0"/>
            </w:tcBorders>
            <w:vAlign w:val="center"/>
          </w:tcPr>
          <w:p>
            <w:pPr>
              <w:widowControl/>
              <w:jc w:val="left"/>
              <w:rPr>
                <w:rFonts w:ascii="宋体"/>
                <w:b/>
                <w:bCs/>
                <w:color w:val="000000"/>
                <w:kern w:val="0"/>
                <w:sz w:val="22"/>
                <w:szCs w:val="22"/>
              </w:rPr>
            </w:pPr>
            <w:r>
              <w:rPr>
                <w:rFonts w:hint="eastAsia" w:ascii="宋体" w:hAnsi="宋体" w:cs="宋体"/>
                <w:b/>
                <w:bCs/>
                <w:color w:val="000000"/>
                <w:kern w:val="0"/>
                <w:sz w:val="22"/>
                <w:szCs w:val="22"/>
              </w:rPr>
              <w:t>　</w:t>
            </w:r>
            <w:r>
              <w:rPr>
                <w:rFonts w:ascii="宋体" w:hAnsi="宋体" w:cs="宋体"/>
                <w:b/>
                <w:bCs/>
                <w:color w:val="000000"/>
                <w:kern w:val="0"/>
                <w:sz w:val="22"/>
                <w:szCs w:val="22"/>
              </w:rPr>
              <w:t>484.91</w:t>
            </w:r>
          </w:p>
        </w:tc>
      </w:tr>
    </w:tbl>
    <w:p>
      <w:pPr>
        <w:sectPr>
          <w:headerReference r:id="rId3" w:type="default"/>
          <w:footerReference r:id="rId4" w:type="default"/>
          <w:pgSz w:w="11906" w:h="16838"/>
          <w:pgMar w:top="1701" w:right="1418" w:bottom="1134" w:left="1588" w:header="851" w:footer="992" w:gutter="0"/>
          <w:cols w:space="720" w:num="1"/>
          <w:docGrid w:type="lines" w:linePitch="312" w:charSpace="0"/>
        </w:sectPr>
      </w:pPr>
      <w:r>
        <w:rPr>
          <w:rFonts w:hint="eastAsia" w:cs="宋体"/>
        </w:rPr>
        <w:t>注：本表反映本年度的总收支和年末结转结余情况。</w:t>
      </w:r>
    </w:p>
    <w:p>
      <w:pPr>
        <w:jc w:val="center"/>
      </w:pPr>
      <w:r>
        <w:rPr>
          <w:rFonts w:hint="eastAsia" w:ascii="方正小标宋简体" w:hAnsi="宋体" w:eastAsia="方正小标宋简体" w:cs="方正小标宋简体"/>
          <w:kern w:val="0"/>
          <w:sz w:val="36"/>
          <w:szCs w:val="36"/>
        </w:rPr>
        <w:t>表二：收入决算表</w:t>
      </w:r>
    </w:p>
    <w:p>
      <w:pPr>
        <w:jc w:val="right"/>
        <w:rPr>
          <w:sz w:val="22"/>
          <w:szCs w:val="22"/>
        </w:rPr>
      </w:pPr>
      <w:r>
        <w:rPr>
          <w:rFonts w:hint="eastAsia" w:cs="宋体"/>
          <w:sz w:val="22"/>
          <w:szCs w:val="22"/>
        </w:rPr>
        <w:t>单位：万元</w:t>
      </w:r>
    </w:p>
    <w:tbl>
      <w:tblPr>
        <w:tblStyle w:val="5"/>
        <w:tblW w:w="14140" w:type="dxa"/>
        <w:jc w:val="center"/>
        <w:tblLayout w:type="fixed"/>
        <w:tblCellMar>
          <w:top w:w="0" w:type="dxa"/>
          <w:left w:w="108" w:type="dxa"/>
          <w:bottom w:w="0" w:type="dxa"/>
          <w:right w:w="108" w:type="dxa"/>
        </w:tblCellMar>
      </w:tblPr>
      <w:tblGrid>
        <w:gridCol w:w="1084"/>
        <w:gridCol w:w="3685"/>
        <w:gridCol w:w="1276"/>
        <w:gridCol w:w="1134"/>
        <w:gridCol w:w="1134"/>
        <w:gridCol w:w="1276"/>
        <w:gridCol w:w="1134"/>
        <w:gridCol w:w="1701"/>
        <w:gridCol w:w="1716"/>
      </w:tblGrid>
      <w:tr>
        <w:tblPrEx>
          <w:tblCellMar>
            <w:top w:w="0" w:type="dxa"/>
            <w:left w:w="108" w:type="dxa"/>
            <w:bottom w:w="0" w:type="dxa"/>
            <w:right w:w="108" w:type="dxa"/>
          </w:tblCellMar>
        </w:tblPrEx>
        <w:trPr>
          <w:trHeight w:val="288" w:hRule="atLeast"/>
          <w:jc w:val="center"/>
        </w:trPr>
        <w:tc>
          <w:tcPr>
            <w:tcW w:w="4769" w:type="dxa"/>
            <w:gridSpan w:val="2"/>
            <w:tcBorders>
              <w:top w:val="single" w:color="auto" w:sz="4" w:space="0"/>
              <w:left w:val="single" w:color="auto" w:sz="4" w:space="0"/>
              <w:bottom w:val="single" w:color="auto" w:sz="4" w:space="0"/>
              <w:right w:val="single" w:color="000000" w:sz="4" w:space="0"/>
            </w:tcBorders>
          </w:tcPr>
          <w:p>
            <w:pPr>
              <w:widowControl/>
              <w:jc w:val="center"/>
              <w:rPr>
                <w:rFonts w:ascii="宋体"/>
                <w:color w:val="000000"/>
                <w:kern w:val="0"/>
                <w:sz w:val="22"/>
                <w:szCs w:val="22"/>
              </w:rPr>
            </w:pPr>
            <w:r>
              <w:rPr>
                <w:rFonts w:hint="eastAsia" w:ascii="宋体" w:hAnsi="宋体" w:cs="宋体"/>
                <w:kern w:val="0"/>
                <w:sz w:val="22"/>
                <w:szCs w:val="22"/>
              </w:rPr>
              <w:t>支出功能项</w:t>
            </w:r>
            <w:r>
              <w:rPr>
                <w:rFonts w:ascii="宋体" w:hAnsi="宋体" w:cs="宋体"/>
                <w:kern w:val="0"/>
                <w:sz w:val="22"/>
                <w:szCs w:val="22"/>
              </w:rPr>
              <w:t xml:space="preserve"> </w:t>
            </w:r>
            <w:r>
              <w:rPr>
                <w:rFonts w:hint="eastAsia" w:ascii="宋体" w:hAnsi="宋体" w:cs="宋体"/>
                <w:kern w:val="0"/>
                <w:sz w:val="22"/>
                <w:szCs w:val="22"/>
              </w:rPr>
              <w:t>目</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本年收入合计</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财政拨款收入</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上级补助收入</w:t>
            </w:r>
          </w:p>
        </w:tc>
        <w:tc>
          <w:tcPr>
            <w:tcW w:w="1276" w:type="dxa"/>
            <w:vMerge w:val="restart"/>
            <w:tcBorders>
              <w:top w:val="single" w:color="auto" w:sz="4" w:space="0"/>
              <w:left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事业收入</w:t>
            </w:r>
          </w:p>
          <w:p>
            <w:pPr>
              <w:widowControl/>
              <w:jc w:val="left"/>
              <w:rPr>
                <w:rFonts w:ascii="宋体"/>
                <w:color w:val="000000"/>
                <w:kern w:val="0"/>
                <w:sz w:val="22"/>
                <w:szCs w:val="22"/>
              </w:rPr>
            </w:pP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经营收入</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附属单位上缴收入</w:t>
            </w:r>
          </w:p>
        </w:tc>
        <w:tc>
          <w:tcPr>
            <w:tcW w:w="171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其他收入</w:t>
            </w:r>
          </w:p>
        </w:tc>
      </w:tr>
      <w:tr>
        <w:tblPrEx>
          <w:tblCellMar>
            <w:top w:w="0" w:type="dxa"/>
            <w:left w:w="108" w:type="dxa"/>
            <w:bottom w:w="0" w:type="dxa"/>
            <w:right w:w="108" w:type="dxa"/>
          </w:tblCellMar>
        </w:tblPrEx>
        <w:trPr>
          <w:trHeight w:val="288" w:hRule="atLeast"/>
          <w:jc w:val="center"/>
        </w:trPr>
        <w:tc>
          <w:tcPr>
            <w:tcW w:w="1084" w:type="dxa"/>
            <w:tcBorders>
              <w:top w:val="nil"/>
              <w:left w:val="single" w:color="auto" w:sz="4" w:space="0"/>
              <w:bottom w:val="single" w:color="auto" w:sz="4" w:space="0"/>
              <w:right w:val="single" w:color="auto" w:sz="4" w:space="0"/>
            </w:tcBorders>
          </w:tcPr>
          <w:p>
            <w:pPr>
              <w:widowControl/>
              <w:jc w:val="left"/>
              <w:rPr>
                <w:rFonts w:ascii="宋体"/>
                <w:kern w:val="0"/>
                <w:sz w:val="22"/>
                <w:szCs w:val="22"/>
              </w:rPr>
            </w:pPr>
            <w:r>
              <w:rPr>
                <w:rFonts w:hint="eastAsia" w:ascii="宋体" w:hAnsi="宋体" w:cs="宋体"/>
                <w:kern w:val="0"/>
                <w:sz w:val="22"/>
                <w:szCs w:val="22"/>
              </w:rPr>
              <w:t>支出功能分类科目编码</w:t>
            </w:r>
          </w:p>
        </w:tc>
        <w:tc>
          <w:tcPr>
            <w:tcW w:w="3685"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hint="eastAsia" w:ascii="宋体" w:hAnsi="宋体" w:cs="宋体"/>
                <w:kern w:val="0"/>
                <w:sz w:val="22"/>
                <w:szCs w:val="22"/>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2"/>
                <w:szCs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2"/>
                <w:szCs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2"/>
                <w:szCs w:val="22"/>
              </w:rPr>
            </w:pPr>
          </w:p>
        </w:tc>
        <w:tc>
          <w:tcPr>
            <w:tcW w:w="1276" w:type="dxa"/>
            <w:vMerge w:val="continue"/>
            <w:tcBorders>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2"/>
                <w:szCs w:val="22"/>
              </w:rPr>
            </w:pPr>
          </w:p>
        </w:tc>
        <w:tc>
          <w:tcPr>
            <w:tcW w:w="17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769"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color w:val="000000"/>
                <w:kern w:val="0"/>
                <w:sz w:val="22"/>
                <w:szCs w:val="22"/>
              </w:rPr>
            </w:pPr>
            <w:r>
              <w:rPr>
                <w:rFonts w:hint="eastAsia" w:ascii="宋体" w:hAnsi="宋体" w:cs="宋体"/>
                <w:b/>
                <w:bCs/>
                <w:kern w:val="0"/>
                <w:sz w:val="22"/>
                <w:szCs w:val="22"/>
              </w:rPr>
              <w:t>栏次</w:t>
            </w:r>
          </w:p>
        </w:tc>
        <w:tc>
          <w:tcPr>
            <w:tcW w:w="1276"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kern w:val="0"/>
                <w:sz w:val="22"/>
                <w:szCs w:val="22"/>
              </w:rPr>
              <w:t>1</w:t>
            </w:r>
          </w:p>
        </w:tc>
        <w:tc>
          <w:tcPr>
            <w:tcW w:w="1134"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kern w:val="0"/>
                <w:sz w:val="22"/>
                <w:szCs w:val="22"/>
              </w:rPr>
              <w:t>2</w:t>
            </w:r>
          </w:p>
        </w:tc>
        <w:tc>
          <w:tcPr>
            <w:tcW w:w="1134"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kern w:val="0"/>
                <w:sz w:val="22"/>
                <w:szCs w:val="22"/>
              </w:rPr>
              <w:t>3</w:t>
            </w:r>
          </w:p>
        </w:tc>
        <w:tc>
          <w:tcPr>
            <w:tcW w:w="1276"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kern w:val="0"/>
                <w:sz w:val="22"/>
                <w:szCs w:val="22"/>
              </w:rPr>
              <w:t>4</w:t>
            </w:r>
          </w:p>
        </w:tc>
        <w:tc>
          <w:tcPr>
            <w:tcW w:w="1134" w:type="dxa"/>
            <w:tcBorders>
              <w:top w:val="nil"/>
              <w:left w:val="nil"/>
              <w:bottom w:val="single" w:color="auto" w:sz="4" w:space="0"/>
              <w:right w:val="single" w:color="auto" w:sz="4" w:space="0"/>
            </w:tcBorders>
          </w:tcPr>
          <w:p>
            <w:pPr>
              <w:widowControl/>
              <w:ind w:firstLine="660" w:firstLineChars="300"/>
              <w:rPr>
                <w:rFonts w:ascii="宋体"/>
                <w:color w:val="000000"/>
                <w:kern w:val="0"/>
                <w:sz w:val="22"/>
                <w:szCs w:val="22"/>
              </w:rPr>
            </w:pPr>
            <w:r>
              <w:rPr>
                <w:rFonts w:ascii="宋体" w:hAnsi="宋体" w:cs="宋体"/>
                <w:kern w:val="0"/>
                <w:sz w:val="22"/>
                <w:szCs w:val="22"/>
              </w:rPr>
              <w:t>5</w:t>
            </w:r>
          </w:p>
        </w:tc>
        <w:tc>
          <w:tcPr>
            <w:tcW w:w="1701" w:type="dxa"/>
            <w:tcBorders>
              <w:top w:val="nil"/>
              <w:left w:val="nil"/>
              <w:bottom w:val="single" w:color="auto" w:sz="4" w:space="0"/>
              <w:right w:val="single" w:color="auto" w:sz="4" w:space="0"/>
            </w:tcBorders>
          </w:tcPr>
          <w:p>
            <w:pPr>
              <w:widowControl/>
              <w:ind w:firstLine="660" w:firstLineChars="300"/>
              <w:rPr>
                <w:rFonts w:ascii="宋体"/>
                <w:color w:val="000000"/>
                <w:kern w:val="0"/>
                <w:sz w:val="22"/>
                <w:szCs w:val="22"/>
              </w:rPr>
            </w:pPr>
            <w:r>
              <w:rPr>
                <w:rFonts w:ascii="宋体" w:hAnsi="宋体" w:cs="宋体"/>
                <w:kern w:val="0"/>
                <w:sz w:val="22"/>
                <w:szCs w:val="22"/>
              </w:rPr>
              <w:t>6</w:t>
            </w:r>
          </w:p>
        </w:tc>
        <w:tc>
          <w:tcPr>
            <w:tcW w:w="1716"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kern w:val="0"/>
                <w:sz w:val="22"/>
                <w:szCs w:val="22"/>
              </w:rPr>
              <w:t>7</w:t>
            </w:r>
          </w:p>
        </w:tc>
      </w:tr>
      <w:tr>
        <w:tblPrEx>
          <w:tblCellMar>
            <w:top w:w="0" w:type="dxa"/>
            <w:left w:w="108" w:type="dxa"/>
            <w:bottom w:w="0" w:type="dxa"/>
            <w:right w:w="108" w:type="dxa"/>
          </w:tblCellMar>
        </w:tblPrEx>
        <w:trPr>
          <w:trHeight w:val="288" w:hRule="atLeast"/>
          <w:jc w:val="center"/>
        </w:trPr>
        <w:tc>
          <w:tcPr>
            <w:tcW w:w="4769"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color w:val="000000"/>
                <w:kern w:val="0"/>
                <w:sz w:val="22"/>
                <w:szCs w:val="22"/>
              </w:rPr>
            </w:pPr>
            <w:r>
              <w:rPr>
                <w:rFonts w:hint="eastAsia" w:ascii="宋体" w:hAnsi="宋体" w:cs="宋体"/>
                <w:kern w:val="0"/>
                <w:sz w:val="22"/>
                <w:szCs w:val="22"/>
              </w:rPr>
              <w:t>合计</w:t>
            </w:r>
          </w:p>
        </w:tc>
        <w:tc>
          <w:tcPr>
            <w:tcW w:w="1276"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164.74</w:t>
            </w:r>
          </w:p>
        </w:tc>
        <w:tc>
          <w:tcPr>
            <w:tcW w:w="1134"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126.49</w:t>
            </w:r>
          </w:p>
        </w:tc>
        <w:tc>
          <w:tcPr>
            <w:tcW w:w="1134"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716"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38.25</w:t>
            </w:r>
          </w:p>
        </w:tc>
      </w:tr>
      <w:tr>
        <w:tblPrEx>
          <w:tblCellMar>
            <w:top w:w="0" w:type="dxa"/>
            <w:left w:w="108" w:type="dxa"/>
            <w:bottom w:w="0" w:type="dxa"/>
            <w:right w:w="108" w:type="dxa"/>
          </w:tblCellMar>
        </w:tblPrEx>
        <w:trPr>
          <w:trHeight w:val="288" w:hRule="atLeast"/>
          <w:jc w:val="center"/>
        </w:trPr>
        <w:tc>
          <w:tcPr>
            <w:tcW w:w="1084" w:type="dxa"/>
            <w:tcBorders>
              <w:top w:val="nil"/>
              <w:left w:val="single" w:color="auto" w:sz="4" w:space="0"/>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201</w:t>
            </w:r>
          </w:p>
        </w:tc>
        <w:tc>
          <w:tcPr>
            <w:tcW w:w="3685" w:type="dxa"/>
            <w:tcBorders>
              <w:top w:val="nil"/>
              <w:left w:val="nil"/>
              <w:bottom w:val="single" w:color="auto" w:sz="4" w:space="0"/>
              <w:right w:val="single" w:color="auto" w:sz="4" w:space="0"/>
            </w:tcBorders>
          </w:tcPr>
          <w:p>
            <w:pPr>
              <w:widowControl/>
              <w:rPr>
                <w:rFonts w:ascii="宋体"/>
                <w:color w:val="000000"/>
                <w:kern w:val="0"/>
                <w:sz w:val="22"/>
                <w:szCs w:val="22"/>
              </w:rPr>
            </w:pPr>
            <w:r>
              <w:rPr>
                <w:rFonts w:hint="eastAsia" w:ascii="宋体" w:hAnsi="宋体" w:cs="宋体"/>
                <w:color w:val="000000"/>
                <w:kern w:val="0"/>
                <w:sz w:val="22"/>
                <w:szCs w:val="22"/>
              </w:rPr>
              <w:t>一般公共服务支出</w:t>
            </w:r>
          </w:p>
        </w:tc>
        <w:tc>
          <w:tcPr>
            <w:tcW w:w="1276" w:type="dxa"/>
            <w:tcBorders>
              <w:top w:val="nil"/>
              <w:left w:val="nil"/>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102.70</w:t>
            </w:r>
          </w:p>
        </w:tc>
        <w:tc>
          <w:tcPr>
            <w:tcW w:w="1134" w:type="dxa"/>
            <w:tcBorders>
              <w:top w:val="nil"/>
              <w:left w:val="nil"/>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102.70</w:t>
            </w:r>
          </w:p>
        </w:tc>
        <w:tc>
          <w:tcPr>
            <w:tcW w:w="1134" w:type="dxa"/>
            <w:tcBorders>
              <w:top w:val="nil"/>
              <w:left w:val="nil"/>
              <w:bottom w:val="single" w:color="auto" w:sz="4" w:space="0"/>
              <w:right w:val="single" w:color="auto" w:sz="4" w:space="0"/>
            </w:tcBorders>
          </w:tcPr>
          <w:p>
            <w:pPr>
              <w:widowControl/>
              <w:ind w:firstLine="220" w:firstLineChars="100"/>
              <w:rPr>
                <w:rFonts w:ascii="宋体"/>
                <w:color w:val="000000"/>
                <w:kern w:val="0"/>
                <w:sz w:val="22"/>
                <w:szCs w:val="22"/>
              </w:rPr>
            </w:pPr>
          </w:p>
        </w:tc>
        <w:tc>
          <w:tcPr>
            <w:tcW w:w="1276" w:type="dxa"/>
            <w:tcBorders>
              <w:top w:val="nil"/>
              <w:left w:val="nil"/>
              <w:bottom w:val="single" w:color="auto" w:sz="4" w:space="0"/>
              <w:right w:val="single" w:color="auto" w:sz="4" w:space="0"/>
            </w:tcBorders>
          </w:tcPr>
          <w:p>
            <w:pPr>
              <w:widowControl/>
              <w:ind w:firstLine="880" w:firstLineChars="400"/>
              <w:rPr>
                <w:rFonts w:ascii="宋体"/>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220" w:firstLineChars="100"/>
              <w:rPr>
                <w:rFonts w:ascii="宋体"/>
                <w:color w:val="000000"/>
                <w:kern w:val="0"/>
                <w:sz w:val="22"/>
                <w:szCs w:val="22"/>
              </w:rPr>
            </w:pPr>
          </w:p>
        </w:tc>
        <w:tc>
          <w:tcPr>
            <w:tcW w:w="1701" w:type="dxa"/>
            <w:tcBorders>
              <w:top w:val="nil"/>
              <w:left w:val="nil"/>
              <w:bottom w:val="single" w:color="auto" w:sz="4" w:space="0"/>
              <w:right w:val="single" w:color="auto" w:sz="4" w:space="0"/>
            </w:tcBorders>
          </w:tcPr>
          <w:p>
            <w:pPr>
              <w:widowControl/>
              <w:ind w:firstLine="220" w:firstLineChars="100"/>
              <w:rPr>
                <w:rFonts w:ascii="宋体"/>
                <w:color w:val="000000"/>
                <w:kern w:val="0"/>
                <w:sz w:val="22"/>
                <w:szCs w:val="22"/>
              </w:rPr>
            </w:pPr>
          </w:p>
        </w:tc>
        <w:tc>
          <w:tcPr>
            <w:tcW w:w="1716" w:type="dxa"/>
            <w:tcBorders>
              <w:top w:val="nil"/>
              <w:left w:val="nil"/>
              <w:bottom w:val="single" w:color="auto" w:sz="4" w:space="0"/>
              <w:right w:val="single" w:color="auto" w:sz="4" w:space="0"/>
            </w:tcBorders>
          </w:tcPr>
          <w:p>
            <w:pPr>
              <w:widowControl/>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4"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20103</w:t>
            </w:r>
          </w:p>
        </w:tc>
        <w:tc>
          <w:tcPr>
            <w:tcW w:w="3685"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政府办公厅（室）及相关机构事务</w:t>
            </w:r>
          </w:p>
        </w:tc>
        <w:tc>
          <w:tcPr>
            <w:tcW w:w="1276"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102.70</w:t>
            </w:r>
          </w:p>
        </w:tc>
        <w:tc>
          <w:tcPr>
            <w:tcW w:w="1134"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102.70</w:t>
            </w:r>
          </w:p>
        </w:tc>
        <w:tc>
          <w:tcPr>
            <w:tcW w:w="1134"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tcPr>
          <w:p>
            <w:pPr>
              <w:widowControl/>
              <w:ind w:firstLine="880" w:firstLineChars="400"/>
              <w:jc w:val="left"/>
              <w:rPr>
                <w:rFonts w:ascii="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716" w:type="dxa"/>
            <w:tcBorders>
              <w:top w:val="nil"/>
              <w:left w:val="nil"/>
              <w:bottom w:val="single" w:color="auto" w:sz="4" w:space="0"/>
              <w:right w:val="single" w:color="auto" w:sz="4" w:space="0"/>
            </w:tcBorders>
          </w:tcPr>
          <w:p>
            <w:pPr>
              <w:widowControl/>
              <w:ind w:firstLine="1100" w:firstLineChars="5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084"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2010301</w:t>
            </w:r>
          </w:p>
        </w:tc>
        <w:tc>
          <w:tcPr>
            <w:tcW w:w="3685"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行政运行</w:t>
            </w:r>
          </w:p>
        </w:tc>
        <w:tc>
          <w:tcPr>
            <w:tcW w:w="1276"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56.82</w:t>
            </w: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56.82</w:t>
            </w:r>
          </w:p>
        </w:tc>
        <w:tc>
          <w:tcPr>
            <w:tcW w:w="1134"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tcPr>
          <w:p>
            <w:pPr>
              <w:widowControl/>
              <w:ind w:firstLine="880" w:firstLineChars="400"/>
              <w:jc w:val="left"/>
              <w:rPr>
                <w:rFonts w:ascii="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716" w:type="dxa"/>
            <w:tcBorders>
              <w:top w:val="nil"/>
              <w:left w:val="nil"/>
              <w:bottom w:val="single" w:color="auto" w:sz="4" w:space="0"/>
              <w:right w:val="single" w:color="auto" w:sz="4" w:space="0"/>
            </w:tcBorders>
          </w:tcPr>
          <w:p>
            <w:pPr>
              <w:widowControl/>
              <w:ind w:firstLine="1100" w:firstLineChars="5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084" w:type="dxa"/>
            <w:tcBorders>
              <w:top w:val="nil"/>
              <w:left w:val="single" w:color="auto" w:sz="4" w:space="0"/>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2010302</w:t>
            </w:r>
          </w:p>
        </w:tc>
        <w:tc>
          <w:tcPr>
            <w:tcW w:w="3685"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一般行政管理事务</w:t>
            </w:r>
          </w:p>
        </w:tc>
        <w:tc>
          <w:tcPr>
            <w:tcW w:w="1276"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45.88</w:t>
            </w:r>
          </w:p>
        </w:tc>
        <w:tc>
          <w:tcPr>
            <w:tcW w:w="1134"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45.88</w:t>
            </w:r>
          </w:p>
        </w:tc>
        <w:tc>
          <w:tcPr>
            <w:tcW w:w="1134"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71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084"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208</w:t>
            </w:r>
          </w:p>
        </w:tc>
        <w:tc>
          <w:tcPr>
            <w:tcW w:w="3685"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社会保障和就业支出</w:t>
            </w:r>
          </w:p>
        </w:tc>
        <w:tc>
          <w:tcPr>
            <w:tcW w:w="1276"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12.87</w:t>
            </w:r>
          </w:p>
        </w:tc>
        <w:tc>
          <w:tcPr>
            <w:tcW w:w="1134"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12.87</w:t>
            </w:r>
          </w:p>
        </w:tc>
        <w:tc>
          <w:tcPr>
            <w:tcW w:w="1134"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71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084"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20805</w:t>
            </w:r>
          </w:p>
        </w:tc>
        <w:tc>
          <w:tcPr>
            <w:tcW w:w="3685"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行政事业单位养老支出</w:t>
            </w:r>
          </w:p>
        </w:tc>
        <w:tc>
          <w:tcPr>
            <w:tcW w:w="1276"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12.87</w:t>
            </w:r>
          </w:p>
        </w:tc>
        <w:tc>
          <w:tcPr>
            <w:tcW w:w="1134"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12.87</w:t>
            </w:r>
          </w:p>
        </w:tc>
        <w:tc>
          <w:tcPr>
            <w:tcW w:w="1134"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27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701"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71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4"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2080501</w:t>
            </w:r>
          </w:p>
        </w:tc>
        <w:tc>
          <w:tcPr>
            <w:tcW w:w="3685"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行政单位离退休</w:t>
            </w:r>
          </w:p>
        </w:tc>
        <w:tc>
          <w:tcPr>
            <w:tcW w:w="1276"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1.84</w:t>
            </w:r>
          </w:p>
        </w:tc>
        <w:tc>
          <w:tcPr>
            <w:tcW w:w="1134"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1.84</w:t>
            </w:r>
          </w:p>
        </w:tc>
        <w:tc>
          <w:tcPr>
            <w:tcW w:w="1134"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27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701"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71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4"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2080505</w:t>
            </w:r>
          </w:p>
        </w:tc>
        <w:tc>
          <w:tcPr>
            <w:tcW w:w="3685"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机关事业单位基本养老保险缴费支出</w:t>
            </w:r>
          </w:p>
        </w:tc>
        <w:tc>
          <w:tcPr>
            <w:tcW w:w="1276"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7.35</w:t>
            </w:r>
          </w:p>
        </w:tc>
        <w:tc>
          <w:tcPr>
            <w:tcW w:w="1134"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7.35</w:t>
            </w:r>
          </w:p>
        </w:tc>
        <w:tc>
          <w:tcPr>
            <w:tcW w:w="1134"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27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701"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71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4"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2080506</w:t>
            </w:r>
          </w:p>
        </w:tc>
        <w:tc>
          <w:tcPr>
            <w:tcW w:w="3685"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机关事业单位职业年金缴费支出</w:t>
            </w:r>
          </w:p>
        </w:tc>
        <w:tc>
          <w:tcPr>
            <w:tcW w:w="1276"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3.68</w:t>
            </w:r>
          </w:p>
        </w:tc>
        <w:tc>
          <w:tcPr>
            <w:tcW w:w="1134"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3.68</w:t>
            </w:r>
          </w:p>
        </w:tc>
        <w:tc>
          <w:tcPr>
            <w:tcW w:w="1134"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27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701"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71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4"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210</w:t>
            </w:r>
          </w:p>
        </w:tc>
        <w:tc>
          <w:tcPr>
            <w:tcW w:w="3685"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卫生健康支出</w:t>
            </w:r>
          </w:p>
        </w:tc>
        <w:tc>
          <w:tcPr>
            <w:tcW w:w="1276"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5.40</w:t>
            </w:r>
          </w:p>
        </w:tc>
        <w:tc>
          <w:tcPr>
            <w:tcW w:w="1134"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5.40</w:t>
            </w:r>
          </w:p>
        </w:tc>
        <w:tc>
          <w:tcPr>
            <w:tcW w:w="1134"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27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701"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71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4"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21011</w:t>
            </w:r>
          </w:p>
        </w:tc>
        <w:tc>
          <w:tcPr>
            <w:tcW w:w="3685"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行政事业单位医疗</w:t>
            </w:r>
          </w:p>
        </w:tc>
        <w:tc>
          <w:tcPr>
            <w:tcW w:w="1276"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5.40</w:t>
            </w:r>
          </w:p>
        </w:tc>
        <w:tc>
          <w:tcPr>
            <w:tcW w:w="1134"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5.40</w:t>
            </w:r>
          </w:p>
        </w:tc>
        <w:tc>
          <w:tcPr>
            <w:tcW w:w="1134"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27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701"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71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4"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2101101</w:t>
            </w:r>
          </w:p>
        </w:tc>
        <w:tc>
          <w:tcPr>
            <w:tcW w:w="3685"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行政单位医疗</w:t>
            </w:r>
          </w:p>
        </w:tc>
        <w:tc>
          <w:tcPr>
            <w:tcW w:w="1276"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3.45</w:t>
            </w:r>
          </w:p>
        </w:tc>
        <w:tc>
          <w:tcPr>
            <w:tcW w:w="1134"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3.45</w:t>
            </w:r>
          </w:p>
        </w:tc>
        <w:tc>
          <w:tcPr>
            <w:tcW w:w="1134"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27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701"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71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4"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2101103</w:t>
            </w:r>
          </w:p>
        </w:tc>
        <w:tc>
          <w:tcPr>
            <w:tcW w:w="3685"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公务员医疗补助</w:t>
            </w:r>
          </w:p>
        </w:tc>
        <w:tc>
          <w:tcPr>
            <w:tcW w:w="1276"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1.95</w:t>
            </w:r>
          </w:p>
        </w:tc>
        <w:tc>
          <w:tcPr>
            <w:tcW w:w="1134"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1.95</w:t>
            </w:r>
          </w:p>
        </w:tc>
        <w:tc>
          <w:tcPr>
            <w:tcW w:w="1134"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27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701"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71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4"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221</w:t>
            </w:r>
          </w:p>
        </w:tc>
        <w:tc>
          <w:tcPr>
            <w:tcW w:w="3685"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住房保障支出</w:t>
            </w:r>
          </w:p>
        </w:tc>
        <w:tc>
          <w:tcPr>
            <w:tcW w:w="1276"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5.52</w:t>
            </w:r>
          </w:p>
        </w:tc>
        <w:tc>
          <w:tcPr>
            <w:tcW w:w="1134"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5.52</w:t>
            </w:r>
          </w:p>
        </w:tc>
        <w:tc>
          <w:tcPr>
            <w:tcW w:w="1134"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27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701"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71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4"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22102</w:t>
            </w:r>
          </w:p>
        </w:tc>
        <w:tc>
          <w:tcPr>
            <w:tcW w:w="3685"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住房改革支出</w:t>
            </w:r>
          </w:p>
        </w:tc>
        <w:tc>
          <w:tcPr>
            <w:tcW w:w="1276"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5.52</w:t>
            </w:r>
          </w:p>
        </w:tc>
        <w:tc>
          <w:tcPr>
            <w:tcW w:w="1134"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5.52</w:t>
            </w:r>
          </w:p>
        </w:tc>
        <w:tc>
          <w:tcPr>
            <w:tcW w:w="1134"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27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701"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71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4"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2210201</w:t>
            </w:r>
          </w:p>
        </w:tc>
        <w:tc>
          <w:tcPr>
            <w:tcW w:w="3685"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住房公积金</w:t>
            </w:r>
          </w:p>
        </w:tc>
        <w:tc>
          <w:tcPr>
            <w:tcW w:w="1276"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5.52</w:t>
            </w:r>
          </w:p>
        </w:tc>
        <w:tc>
          <w:tcPr>
            <w:tcW w:w="1134"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5.52</w:t>
            </w:r>
          </w:p>
        </w:tc>
        <w:tc>
          <w:tcPr>
            <w:tcW w:w="1134"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27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701"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71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4"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229</w:t>
            </w:r>
          </w:p>
        </w:tc>
        <w:tc>
          <w:tcPr>
            <w:tcW w:w="3685"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其他支出</w:t>
            </w:r>
          </w:p>
        </w:tc>
        <w:tc>
          <w:tcPr>
            <w:tcW w:w="1276"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38.25</w:t>
            </w:r>
          </w:p>
        </w:tc>
        <w:tc>
          <w:tcPr>
            <w:tcW w:w="1134" w:type="dxa"/>
            <w:tcBorders>
              <w:top w:val="nil"/>
              <w:left w:val="nil"/>
              <w:bottom w:val="single" w:color="auto" w:sz="4" w:space="0"/>
              <w:right w:val="single" w:color="auto" w:sz="4" w:space="0"/>
            </w:tcBorders>
          </w:tcPr>
          <w:p>
            <w:pPr>
              <w:widowControl/>
              <w:ind w:firstLine="880" w:firstLineChars="400"/>
              <w:jc w:val="left"/>
              <w:rPr>
                <w:rFonts w:ascii="宋体"/>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27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701"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716"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38.25</w:t>
            </w:r>
          </w:p>
        </w:tc>
      </w:tr>
      <w:tr>
        <w:tblPrEx>
          <w:tblCellMar>
            <w:top w:w="0" w:type="dxa"/>
            <w:left w:w="108" w:type="dxa"/>
            <w:bottom w:w="0" w:type="dxa"/>
            <w:right w:w="108" w:type="dxa"/>
          </w:tblCellMar>
        </w:tblPrEx>
        <w:trPr>
          <w:trHeight w:val="288" w:hRule="atLeast"/>
          <w:jc w:val="center"/>
        </w:trPr>
        <w:tc>
          <w:tcPr>
            <w:tcW w:w="1084"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22999</w:t>
            </w:r>
            <w:r>
              <w:rPr>
                <w:rFonts w:hint="eastAsia" w:ascii="宋体" w:hAnsi="宋体" w:cs="宋体"/>
                <w:color w:val="000000"/>
                <w:kern w:val="0"/>
                <w:sz w:val="22"/>
                <w:szCs w:val="22"/>
              </w:rPr>
              <w:t>　</w:t>
            </w:r>
          </w:p>
        </w:tc>
        <w:tc>
          <w:tcPr>
            <w:tcW w:w="3685"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其他支出</w:t>
            </w:r>
          </w:p>
        </w:tc>
        <w:tc>
          <w:tcPr>
            <w:tcW w:w="1276"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38.25</w:t>
            </w: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tcPr>
          <w:p>
            <w:pPr>
              <w:widowControl/>
              <w:ind w:firstLine="880" w:firstLineChars="400"/>
              <w:jc w:val="left"/>
              <w:rPr>
                <w:rFonts w:ascii="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716"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38.25</w:t>
            </w:r>
          </w:p>
        </w:tc>
      </w:tr>
      <w:tr>
        <w:tblPrEx>
          <w:tblCellMar>
            <w:top w:w="0" w:type="dxa"/>
            <w:left w:w="108" w:type="dxa"/>
            <w:bottom w:w="0" w:type="dxa"/>
            <w:right w:w="108" w:type="dxa"/>
          </w:tblCellMar>
        </w:tblPrEx>
        <w:trPr>
          <w:trHeight w:val="288" w:hRule="atLeast"/>
          <w:jc w:val="center"/>
        </w:trPr>
        <w:tc>
          <w:tcPr>
            <w:tcW w:w="1084"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2299901</w:t>
            </w:r>
          </w:p>
        </w:tc>
        <w:tc>
          <w:tcPr>
            <w:tcW w:w="3685"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其他支出</w:t>
            </w:r>
          </w:p>
        </w:tc>
        <w:tc>
          <w:tcPr>
            <w:tcW w:w="1276"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38.25</w:t>
            </w:r>
          </w:p>
        </w:tc>
        <w:tc>
          <w:tcPr>
            <w:tcW w:w="1134" w:type="dxa"/>
            <w:tcBorders>
              <w:top w:val="nil"/>
              <w:left w:val="nil"/>
              <w:bottom w:val="single" w:color="auto" w:sz="4" w:space="0"/>
              <w:right w:val="single" w:color="auto" w:sz="4" w:space="0"/>
            </w:tcBorders>
          </w:tcPr>
          <w:p>
            <w:pPr>
              <w:widowControl/>
              <w:ind w:firstLine="880" w:firstLineChars="400"/>
              <w:jc w:val="left"/>
              <w:rPr>
                <w:rFonts w:ascii="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716"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38.25</w:t>
            </w:r>
          </w:p>
        </w:tc>
      </w:tr>
    </w:tbl>
    <w:p/>
    <w:p>
      <w:r>
        <w:rPr>
          <w:rFonts w:hint="eastAsia" w:cs="宋体"/>
        </w:rPr>
        <w:t>注：本表反映本年度取得的各项收入情况。</w:t>
      </w:r>
    </w:p>
    <w:p/>
    <w:p/>
    <w:p/>
    <w:p/>
    <w:p/>
    <w:p/>
    <w:p/>
    <w:p/>
    <w:p/>
    <w:p/>
    <w:p/>
    <w:p/>
    <w:p/>
    <w:p/>
    <w:p/>
    <w:p/>
    <w:p/>
    <w:p/>
    <w:p/>
    <w:p/>
    <w:p/>
    <w:p/>
    <w:p>
      <w:pPr>
        <w:jc w:val="center"/>
      </w:pPr>
      <w:r>
        <w:rPr>
          <w:rFonts w:hint="eastAsia" w:ascii="方正小标宋简体" w:hAnsi="宋体" w:eastAsia="方正小标宋简体" w:cs="方正小标宋简体"/>
          <w:kern w:val="0"/>
          <w:sz w:val="36"/>
          <w:szCs w:val="36"/>
        </w:rPr>
        <w:t>表三：支出决算表</w:t>
      </w:r>
    </w:p>
    <w:p>
      <w:pPr>
        <w:jc w:val="right"/>
      </w:pPr>
      <w:r>
        <w:rPr>
          <w:rFonts w:hint="eastAsia" w:cs="宋体"/>
          <w:sz w:val="22"/>
          <w:szCs w:val="22"/>
        </w:rPr>
        <w:t>单位：万元</w:t>
      </w:r>
    </w:p>
    <w:tbl>
      <w:tblPr>
        <w:tblStyle w:val="5"/>
        <w:tblW w:w="14049" w:type="dxa"/>
        <w:jc w:val="center"/>
        <w:tblLayout w:type="fixed"/>
        <w:tblCellMar>
          <w:top w:w="0" w:type="dxa"/>
          <w:left w:w="108" w:type="dxa"/>
          <w:bottom w:w="0" w:type="dxa"/>
          <w:right w:w="108" w:type="dxa"/>
        </w:tblCellMar>
      </w:tblPr>
      <w:tblGrid>
        <w:gridCol w:w="1180"/>
        <w:gridCol w:w="3828"/>
        <w:gridCol w:w="1275"/>
        <w:gridCol w:w="1134"/>
        <w:gridCol w:w="1134"/>
        <w:gridCol w:w="1843"/>
        <w:gridCol w:w="1418"/>
        <w:gridCol w:w="2237"/>
      </w:tblGrid>
      <w:tr>
        <w:tblPrEx>
          <w:tblCellMar>
            <w:top w:w="0" w:type="dxa"/>
            <w:left w:w="108" w:type="dxa"/>
            <w:bottom w:w="0" w:type="dxa"/>
            <w:right w:w="108" w:type="dxa"/>
          </w:tblCellMar>
        </w:tblPrEx>
        <w:trPr>
          <w:trHeight w:val="288" w:hRule="atLeast"/>
          <w:jc w:val="center"/>
        </w:trPr>
        <w:tc>
          <w:tcPr>
            <w:tcW w:w="50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支出功能项</w:t>
            </w:r>
            <w:r>
              <w:rPr>
                <w:rFonts w:ascii="宋体" w:hAnsi="宋体" w:cs="宋体"/>
                <w:kern w:val="0"/>
                <w:sz w:val="22"/>
                <w:szCs w:val="22"/>
              </w:rPr>
              <w:t xml:space="preserve"> </w:t>
            </w:r>
            <w:r>
              <w:rPr>
                <w:rFonts w:hint="eastAsia" w:ascii="宋体" w:hAnsi="宋体" w:cs="宋体"/>
                <w:kern w:val="0"/>
                <w:sz w:val="22"/>
                <w:szCs w:val="22"/>
              </w:rPr>
              <w:t>目</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本年支出合计</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基本支出</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项目支出</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上缴上级支出</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经营支出</w:t>
            </w:r>
          </w:p>
        </w:tc>
        <w:tc>
          <w:tcPr>
            <w:tcW w:w="223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对附属单位补助支出</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支出功能分类科目编码</w:t>
            </w:r>
          </w:p>
        </w:tc>
        <w:tc>
          <w:tcPr>
            <w:tcW w:w="3828"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科目名称</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2"/>
                <w:szCs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2"/>
                <w:szCs w:val="22"/>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22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2"/>
                <w:szCs w:val="22"/>
              </w:rPr>
            </w:pPr>
          </w:p>
        </w:tc>
      </w:tr>
      <w:tr>
        <w:tblPrEx>
          <w:tblCellMar>
            <w:top w:w="0" w:type="dxa"/>
            <w:left w:w="108" w:type="dxa"/>
            <w:bottom w:w="0" w:type="dxa"/>
            <w:right w:w="108" w:type="dxa"/>
          </w:tblCellMar>
        </w:tblPrEx>
        <w:trPr>
          <w:trHeight w:val="288" w:hRule="atLeast"/>
          <w:jc w:val="center"/>
        </w:trPr>
        <w:tc>
          <w:tcPr>
            <w:tcW w:w="5008"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color w:val="000000"/>
                <w:kern w:val="0"/>
                <w:sz w:val="22"/>
                <w:szCs w:val="22"/>
              </w:rPr>
            </w:pPr>
            <w:r>
              <w:rPr>
                <w:rFonts w:hint="eastAsia" w:ascii="宋体" w:hAnsi="宋体" w:cs="宋体"/>
                <w:kern w:val="0"/>
                <w:sz w:val="22"/>
                <w:szCs w:val="22"/>
              </w:rPr>
              <w:t>栏次</w:t>
            </w:r>
          </w:p>
        </w:tc>
        <w:tc>
          <w:tcPr>
            <w:tcW w:w="1275"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kern w:val="0"/>
                <w:sz w:val="22"/>
                <w:szCs w:val="22"/>
              </w:rPr>
              <w:t>1</w:t>
            </w:r>
          </w:p>
        </w:tc>
        <w:tc>
          <w:tcPr>
            <w:tcW w:w="1134" w:type="dxa"/>
            <w:tcBorders>
              <w:top w:val="nil"/>
              <w:left w:val="nil"/>
              <w:bottom w:val="single" w:color="auto" w:sz="4" w:space="0"/>
              <w:right w:val="single" w:color="auto" w:sz="4" w:space="0"/>
            </w:tcBorders>
          </w:tcPr>
          <w:p>
            <w:pPr>
              <w:widowControl/>
              <w:ind w:firstLine="880" w:firstLineChars="400"/>
              <w:jc w:val="left"/>
              <w:rPr>
                <w:rFonts w:ascii="宋体"/>
                <w:color w:val="000000"/>
                <w:kern w:val="0"/>
                <w:sz w:val="22"/>
                <w:szCs w:val="22"/>
              </w:rPr>
            </w:pPr>
            <w:r>
              <w:rPr>
                <w:rFonts w:ascii="宋体" w:hAnsi="宋体" w:cs="宋体"/>
                <w:kern w:val="0"/>
                <w:sz w:val="22"/>
                <w:szCs w:val="22"/>
              </w:rPr>
              <w:t>2</w:t>
            </w:r>
          </w:p>
        </w:tc>
        <w:tc>
          <w:tcPr>
            <w:tcW w:w="1134" w:type="dxa"/>
            <w:tcBorders>
              <w:top w:val="nil"/>
              <w:left w:val="nil"/>
              <w:bottom w:val="single" w:color="auto" w:sz="4" w:space="0"/>
              <w:right w:val="single" w:color="auto" w:sz="4" w:space="0"/>
            </w:tcBorders>
          </w:tcPr>
          <w:p>
            <w:pPr>
              <w:widowControl/>
              <w:ind w:firstLine="880" w:firstLineChars="400"/>
              <w:jc w:val="left"/>
              <w:rPr>
                <w:rFonts w:ascii="宋体"/>
                <w:color w:val="000000"/>
                <w:kern w:val="0"/>
                <w:sz w:val="22"/>
                <w:szCs w:val="22"/>
              </w:rPr>
            </w:pPr>
            <w:r>
              <w:rPr>
                <w:rFonts w:ascii="宋体" w:hAnsi="宋体" w:cs="宋体"/>
                <w:kern w:val="0"/>
                <w:sz w:val="22"/>
                <w:szCs w:val="22"/>
              </w:rPr>
              <w:t>3</w:t>
            </w:r>
          </w:p>
        </w:tc>
        <w:tc>
          <w:tcPr>
            <w:tcW w:w="1843"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kern w:val="0"/>
                <w:sz w:val="22"/>
                <w:szCs w:val="22"/>
              </w:rPr>
              <w:t>4</w:t>
            </w:r>
          </w:p>
        </w:tc>
        <w:tc>
          <w:tcPr>
            <w:tcW w:w="1418" w:type="dxa"/>
            <w:tcBorders>
              <w:top w:val="nil"/>
              <w:left w:val="nil"/>
              <w:bottom w:val="single" w:color="auto" w:sz="4" w:space="0"/>
              <w:right w:val="single" w:color="auto" w:sz="4" w:space="0"/>
            </w:tcBorders>
          </w:tcPr>
          <w:p>
            <w:pPr>
              <w:widowControl/>
              <w:ind w:firstLine="880" w:firstLineChars="400"/>
              <w:jc w:val="left"/>
              <w:rPr>
                <w:rFonts w:ascii="宋体"/>
                <w:color w:val="000000"/>
                <w:kern w:val="0"/>
                <w:sz w:val="22"/>
                <w:szCs w:val="22"/>
              </w:rPr>
            </w:pPr>
            <w:r>
              <w:rPr>
                <w:rFonts w:ascii="宋体" w:hAnsi="宋体" w:cs="宋体"/>
                <w:kern w:val="0"/>
                <w:sz w:val="22"/>
                <w:szCs w:val="22"/>
              </w:rPr>
              <w:t>5</w:t>
            </w:r>
          </w:p>
        </w:tc>
        <w:tc>
          <w:tcPr>
            <w:tcW w:w="2237" w:type="dxa"/>
            <w:tcBorders>
              <w:top w:val="nil"/>
              <w:left w:val="nil"/>
              <w:bottom w:val="single" w:color="auto" w:sz="4" w:space="0"/>
              <w:right w:val="single" w:color="auto" w:sz="4" w:space="0"/>
            </w:tcBorders>
          </w:tcPr>
          <w:p>
            <w:pPr>
              <w:widowControl/>
              <w:ind w:firstLine="880" w:firstLineChars="400"/>
              <w:jc w:val="left"/>
              <w:rPr>
                <w:rFonts w:ascii="宋体"/>
                <w:color w:val="000000"/>
                <w:kern w:val="0"/>
                <w:sz w:val="22"/>
                <w:szCs w:val="22"/>
              </w:rPr>
            </w:pPr>
            <w:r>
              <w:rPr>
                <w:rFonts w:ascii="宋体" w:hAnsi="宋体" w:cs="宋体"/>
                <w:kern w:val="0"/>
                <w:sz w:val="22"/>
                <w:szCs w:val="22"/>
              </w:rPr>
              <w:t>6</w:t>
            </w:r>
          </w:p>
        </w:tc>
      </w:tr>
      <w:tr>
        <w:tblPrEx>
          <w:tblCellMar>
            <w:top w:w="0" w:type="dxa"/>
            <w:left w:w="108" w:type="dxa"/>
            <w:bottom w:w="0" w:type="dxa"/>
            <w:right w:w="108" w:type="dxa"/>
          </w:tblCellMar>
        </w:tblPrEx>
        <w:trPr>
          <w:trHeight w:val="288" w:hRule="atLeast"/>
          <w:jc w:val="center"/>
        </w:trPr>
        <w:tc>
          <w:tcPr>
            <w:tcW w:w="5008"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color w:val="000000"/>
                <w:kern w:val="0"/>
                <w:sz w:val="22"/>
                <w:szCs w:val="22"/>
              </w:rPr>
            </w:pPr>
            <w:r>
              <w:rPr>
                <w:rFonts w:hint="eastAsia" w:ascii="宋体" w:hAnsi="宋体" w:cs="宋体"/>
                <w:kern w:val="0"/>
                <w:sz w:val="22"/>
                <w:szCs w:val="22"/>
              </w:rPr>
              <w:t>合计</w:t>
            </w:r>
          </w:p>
        </w:tc>
        <w:tc>
          <w:tcPr>
            <w:tcW w:w="1275" w:type="dxa"/>
            <w:tcBorders>
              <w:top w:val="nil"/>
              <w:left w:val="nil"/>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126.14</w:t>
            </w:r>
          </w:p>
        </w:tc>
        <w:tc>
          <w:tcPr>
            <w:tcW w:w="1134"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126.14</w:t>
            </w:r>
          </w:p>
        </w:tc>
        <w:tc>
          <w:tcPr>
            <w:tcW w:w="1134" w:type="dxa"/>
            <w:tcBorders>
              <w:top w:val="nil"/>
              <w:left w:val="nil"/>
              <w:bottom w:val="single" w:color="auto" w:sz="4" w:space="0"/>
              <w:right w:val="single" w:color="auto" w:sz="4" w:space="0"/>
            </w:tcBorders>
          </w:tcPr>
          <w:p>
            <w:pPr>
              <w:widowControl/>
              <w:ind w:firstLine="660" w:firstLineChars="300"/>
              <w:jc w:val="left"/>
              <w:rPr>
                <w:rFonts w:ascii="宋体"/>
                <w:color w:val="000000"/>
                <w:kern w:val="0"/>
                <w:sz w:val="22"/>
                <w:szCs w:val="22"/>
              </w:rPr>
            </w:pPr>
            <w:r>
              <w:rPr>
                <w:rFonts w:hint="eastAsia" w:ascii="宋体" w:hAnsi="宋体" w:cs="宋体"/>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tcPr>
          <w:p>
            <w:pPr>
              <w:widowControl/>
              <w:ind w:firstLine="880" w:firstLineChars="400"/>
              <w:jc w:val="left"/>
              <w:rPr>
                <w:rFonts w:ascii="宋体"/>
                <w:color w:val="000000"/>
                <w:kern w:val="0"/>
                <w:sz w:val="22"/>
                <w:szCs w:val="22"/>
              </w:rPr>
            </w:pPr>
            <w:r>
              <w:rPr>
                <w:rFonts w:hint="eastAsia" w:ascii="宋体" w:hAnsi="宋体" w:cs="宋体"/>
                <w:color w:val="000000"/>
                <w:kern w:val="0"/>
                <w:sz w:val="22"/>
                <w:szCs w:val="22"/>
              </w:rPr>
              <w:t>　</w:t>
            </w:r>
          </w:p>
        </w:tc>
        <w:tc>
          <w:tcPr>
            <w:tcW w:w="223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201</w:t>
            </w:r>
          </w:p>
        </w:tc>
        <w:tc>
          <w:tcPr>
            <w:tcW w:w="3828"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一般公共服务支出</w:t>
            </w:r>
          </w:p>
        </w:tc>
        <w:tc>
          <w:tcPr>
            <w:tcW w:w="1275"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104.99</w:t>
            </w:r>
          </w:p>
        </w:tc>
        <w:tc>
          <w:tcPr>
            <w:tcW w:w="1134"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104.99</w:t>
            </w:r>
          </w:p>
        </w:tc>
        <w:tc>
          <w:tcPr>
            <w:tcW w:w="1134" w:type="dxa"/>
            <w:tcBorders>
              <w:top w:val="nil"/>
              <w:left w:val="nil"/>
              <w:bottom w:val="single" w:color="auto" w:sz="4" w:space="0"/>
              <w:right w:val="single" w:color="auto" w:sz="4" w:space="0"/>
            </w:tcBorders>
          </w:tcPr>
          <w:p>
            <w:pPr>
              <w:widowControl/>
              <w:ind w:firstLine="1320" w:firstLineChars="600"/>
              <w:jc w:val="left"/>
              <w:rPr>
                <w:rFonts w:ascii="宋体"/>
                <w:color w:val="000000"/>
                <w:kern w:val="0"/>
                <w:sz w:val="22"/>
                <w:szCs w:val="22"/>
              </w:rPr>
            </w:pPr>
            <w:r>
              <w:rPr>
                <w:rFonts w:hint="eastAsia" w:ascii="宋体" w:hAnsi="宋体" w:cs="宋体"/>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223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20103</w:t>
            </w:r>
          </w:p>
        </w:tc>
        <w:tc>
          <w:tcPr>
            <w:tcW w:w="3828"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政府办公厅（室）及相关机构事务</w:t>
            </w:r>
          </w:p>
        </w:tc>
        <w:tc>
          <w:tcPr>
            <w:tcW w:w="1275"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104.99</w:t>
            </w:r>
          </w:p>
        </w:tc>
        <w:tc>
          <w:tcPr>
            <w:tcW w:w="1134"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104.99</w:t>
            </w:r>
          </w:p>
        </w:tc>
        <w:tc>
          <w:tcPr>
            <w:tcW w:w="1134" w:type="dxa"/>
            <w:tcBorders>
              <w:top w:val="nil"/>
              <w:left w:val="nil"/>
              <w:bottom w:val="single" w:color="auto" w:sz="4" w:space="0"/>
              <w:right w:val="single" w:color="auto" w:sz="4" w:space="0"/>
            </w:tcBorders>
          </w:tcPr>
          <w:p>
            <w:pPr>
              <w:widowControl/>
              <w:ind w:firstLine="1320" w:firstLineChars="600"/>
              <w:jc w:val="left"/>
              <w:rPr>
                <w:rFonts w:ascii="宋体"/>
                <w:color w:val="000000"/>
                <w:kern w:val="0"/>
                <w:sz w:val="22"/>
                <w:szCs w:val="22"/>
              </w:rPr>
            </w:pPr>
            <w:r>
              <w:rPr>
                <w:rFonts w:hint="eastAsia" w:ascii="宋体" w:hAnsi="宋体" w:cs="宋体"/>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223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2010201</w:t>
            </w:r>
          </w:p>
        </w:tc>
        <w:tc>
          <w:tcPr>
            <w:tcW w:w="3828"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行政运行</w:t>
            </w:r>
          </w:p>
        </w:tc>
        <w:tc>
          <w:tcPr>
            <w:tcW w:w="1275"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56.82</w:t>
            </w:r>
          </w:p>
        </w:tc>
        <w:tc>
          <w:tcPr>
            <w:tcW w:w="1134"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56.82</w:t>
            </w:r>
          </w:p>
        </w:tc>
        <w:tc>
          <w:tcPr>
            <w:tcW w:w="1134" w:type="dxa"/>
            <w:tcBorders>
              <w:top w:val="nil"/>
              <w:left w:val="nil"/>
              <w:bottom w:val="single" w:color="auto" w:sz="4" w:space="0"/>
              <w:right w:val="single" w:color="auto" w:sz="4" w:space="0"/>
            </w:tcBorders>
          </w:tcPr>
          <w:p>
            <w:pPr>
              <w:widowControl/>
              <w:ind w:firstLine="1320" w:firstLineChars="600"/>
              <w:jc w:val="left"/>
              <w:rPr>
                <w:rFonts w:ascii="宋体"/>
                <w:color w:val="000000"/>
                <w:kern w:val="0"/>
                <w:sz w:val="22"/>
                <w:szCs w:val="22"/>
              </w:rPr>
            </w:pPr>
            <w:r>
              <w:rPr>
                <w:rFonts w:hint="eastAsia" w:ascii="宋体" w:hAnsi="宋体" w:cs="宋体"/>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223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2010302</w:t>
            </w:r>
          </w:p>
        </w:tc>
        <w:tc>
          <w:tcPr>
            <w:tcW w:w="3828"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一般行政管理事务</w:t>
            </w:r>
          </w:p>
        </w:tc>
        <w:tc>
          <w:tcPr>
            <w:tcW w:w="1275"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48.17</w:t>
            </w:r>
          </w:p>
        </w:tc>
        <w:tc>
          <w:tcPr>
            <w:tcW w:w="1134"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48.17</w:t>
            </w:r>
          </w:p>
        </w:tc>
        <w:tc>
          <w:tcPr>
            <w:tcW w:w="1134" w:type="dxa"/>
            <w:tcBorders>
              <w:top w:val="nil"/>
              <w:left w:val="nil"/>
              <w:bottom w:val="single" w:color="auto" w:sz="4" w:space="0"/>
              <w:right w:val="single" w:color="auto" w:sz="4" w:space="0"/>
            </w:tcBorders>
          </w:tcPr>
          <w:p>
            <w:pPr>
              <w:widowControl/>
              <w:ind w:firstLine="1320" w:firstLineChars="600"/>
              <w:jc w:val="left"/>
              <w:rPr>
                <w:rFonts w:ascii="宋体"/>
                <w:color w:val="000000"/>
                <w:kern w:val="0"/>
                <w:sz w:val="22"/>
                <w:szCs w:val="22"/>
              </w:rPr>
            </w:pPr>
            <w:r>
              <w:rPr>
                <w:rFonts w:hint="eastAsia" w:ascii="宋体" w:hAnsi="宋体" w:cs="宋体"/>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223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208</w:t>
            </w:r>
          </w:p>
        </w:tc>
        <w:tc>
          <w:tcPr>
            <w:tcW w:w="3828"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社会保障和就业支出</w:t>
            </w:r>
          </w:p>
        </w:tc>
        <w:tc>
          <w:tcPr>
            <w:tcW w:w="1275"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11.78</w:t>
            </w:r>
          </w:p>
        </w:tc>
        <w:tc>
          <w:tcPr>
            <w:tcW w:w="1134"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11.78</w:t>
            </w:r>
          </w:p>
        </w:tc>
        <w:tc>
          <w:tcPr>
            <w:tcW w:w="1134" w:type="dxa"/>
            <w:tcBorders>
              <w:top w:val="nil"/>
              <w:left w:val="nil"/>
              <w:bottom w:val="single" w:color="auto" w:sz="4" w:space="0"/>
              <w:right w:val="single" w:color="auto" w:sz="4" w:space="0"/>
            </w:tcBorders>
          </w:tcPr>
          <w:p>
            <w:pPr>
              <w:widowControl/>
              <w:ind w:firstLine="1320" w:firstLineChars="600"/>
              <w:jc w:val="left"/>
              <w:rPr>
                <w:rFonts w:ascii="宋体"/>
                <w:color w:val="000000"/>
                <w:kern w:val="0"/>
                <w:sz w:val="22"/>
                <w:szCs w:val="22"/>
              </w:rPr>
            </w:pPr>
            <w:r>
              <w:rPr>
                <w:rFonts w:hint="eastAsia" w:ascii="宋体" w:hAnsi="宋体" w:cs="宋体"/>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223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20805</w:t>
            </w:r>
          </w:p>
        </w:tc>
        <w:tc>
          <w:tcPr>
            <w:tcW w:w="3828"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行政事业单位养老支出</w:t>
            </w:r>
          </w:p>
        </w:tc>
        <w:tc>
          <w:tcPr>
            <w:tcW w:w="1275"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11.78</w:t>
            </w:r>
          </w:p>
        </w:tc>
        <w:tc>
          <w:tcPr>
            <w:tcW w:w="1134"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11.78</w:t>
            </w:r>
          </w:p>
        </w:tc>
        <w:tc>
          <w:tcPr>
            <w:tcW w:w="1134" w:type="dxa"/>
            <w:tcBorders>
              <w:top w:val="nil"/>
              <w:left w:val="nil"/>
              <w:bottom w:val="single" w:color="auto" w:sz="4" w:space="0"/>
              <w:right w:val="single" w:color="auto" w:sz="4" w:space="0"/>
            </w:tcBorders>
          </w:tcPr>
          <w:p>
            <w:pPr>
              <w:widowControl/>
              <w:ind w:firstLine="1320" w:firstLineChars="600"/>
              <w:jc w:val="left"/>
              <w:rPr>
                <w:rFonts w:ascii="宋体"/>
                <w:color w:val="000000"/>
                <w:kern w:val="0"/>
                <w:sz w:val="22"/>
                <w:szCs w:val="22"/>
              </w:rPr>
            </w:pPr>
            <w:r>
              <w:rPr>
                <w:rFonts w:hint="eastAsia" w:ascii="宋体" w:hAnsi="宋体" w:cs="宋体"/>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223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2080201</w:t>
            </w:r>
          </w:p>
        </w:tc>
        <w:tc>
          <w:tcPr>
            <w:tcW w:w="3828"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行政单位离退休</w:t>
            </w:r>
          </w:p>
        </w:tc>
        <w:tc>
          <w:tcPr>
            <w:tcW w:w="1275"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1.99</w:t>
            </w:r>
          </w:p>
        </w:tc>
        <w:tc>
          <w:tcPr>
            <w:tcW w:w="1134"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1.99</w:t>
            </w:r>
          </w:p>
        </w:tc>
        <w:tc>
          <w:tcPr>
            <w:tcW w:w="1134" w:type="dxa"/>
            <w:tcBorders>
              <w:top w:val="nil"/>
              <w:left w:val="nil"/>
              <w:bottom w:val="single" w:color="auto" w:sz="4" w:space="0"/>
              <w:right w:val="single" w:color="auto" w:sz="4" w:space="0"/>
            </w:tcBorders>
          </w:tcPr>
          <w:p>
            <w:pPr>
              <w:widowControl/>
              <w:ind w:firstLine="1320" w:firstLineChars="600"/>
              <w:jc w:val="left"/>
              <w:rPr>
                <w:rFonts w:ascii="宋体"/>
                <w:color w:val="000000"/>
                <w:kern w:val="0"/>
                <w:sz w:val="22"/>
                <w:szCs w:val="22"/>
              </w:rPr>
            </w:pP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418"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223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2080505</w:t>
            </w:r>
          </w:p>
        </w:tc>
        <w:tc>
          <w:tcPr>
            <w:tcW w:w="3828"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机关事业单位基本养老保险缴费支出</w:t>
            </w:r>
          </w:p>
        </w:tc>
        <w:tc>
          <w:tcPr>
            <w:tcW w:w="1275"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6.45</w:t>
            </w:r>
          </w:p>
        </w:tc>
        <w:tc>
          <w:tcPr>
            <w:tcW w:w="1134"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6.45</w:t>
            </w:r>
          </w:p>
        </w:tc>
        <w:tc>
          <w:tcPr>
            <w:tcW w:w="1134" w:type="dxa"/>
            <w:tcBorders>
              <w:top w:val="nil"/>
              <w:left w:val="nil"/>
              <w:bottom w:val="single" w:color="auto" w:sz="4" w:space="0"/>
              <w:right w:val="single" w:color="auto" w:sz="4" w:space="0"/>
            </w:tcBorders>
          </w:tcPr>
          <w:p>
            <w:pPr>
              <w:widowControl/>
              <w:ind w:firstLine="1320" w:firstLineChars="600"/>
              <w:jc w:val="left"/>
              <w:rPr>
                <w:rFonts w:ascii="宋体"/>
                <w:color w:val="000000"/>
                <w:kern w:val="0"/>
                <w:sz w:val="22"/>
                <w:szCs w:val="22"/>
              </w:rPr>
            </w:pP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418"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223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2080506</w:t>
            </w:r>
          </w:p>
        </w:tc>
        <w:tc>
          <w:tcPr>
            <w:tcW w:w="3828"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机关事业单位职业年金缴费支出</w:t>
            </w:r>
          </w:p>
        </w:tc>
        <w:tc>
          <w:tcPr>
            <w:tcW w:w="1275"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3.34</w:t>
            </w:r>
          </w:p>
        </w:tc>
        <w:tc>
          <w:tcPr>
            <w:tcW w:w="1134"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3.34</w:t>
            </w:r>
          </w:p>
        </w:tc>
        <w:tc>
          <w:tcPr>
            <w:tcW w:w="1134" w:type="dxa"/>
            <w:tcBorders>
              <w:top w:val="nil"/>
              <w:left w:val="nil"/>
              <w:bottom w:val="single" w:color="auto" w:sz="4" w:space="0"/>
              <w:right w:val="single" w:color="auto" w:sz="4" w:space="0"/>
            </w:tcBorders>
          </w:tcPr>
          <w:p>
            <w:pPr>
              <w:widowControl/>
              <w:ind w:firstLine="1320" w:firstLineChars="600"/>
              <w:jc w:val="left"/>
              <w:rPr>
                <w:rFonts w:ascii="宋体"/>
                <w:color w:val="000000"/>
                <w:kern w:val="0"/>
                <w:sz w:val="22"/>
                <w:szCs w:val="22"/>
              </w:rPr>
            </w:pP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418"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223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210</w:t>
            </w:r>
          </w:p>
        </w:tc>
        <w:tc>
          <w:tcPr>
            <w:tcW w:w="3828"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卫生健康支出</w:t>
            </w:r>
          </w:p>
        </w:tc>
        <w:tc>
          <w:tcPr>
            <w:tcW w:w="1275"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4.97</w:t>
            </w:r>
          </w:p>
        </w:tc>
        <w:tc>
          <w:tcPr>
            <w:tcW w:w="1134"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4.97</w:t>
            </w:r>
          </w:p>
        </w:tc>
        <w:tc>
          <w:tcPr>
            <w:tcW w:w="1134" w:type="dxa"/>
            <w:tcBorders>
              <w:top w:val="nil"/>
              <w:left w:val="nil"/>
              <w:bottom w:val="single" w:color="auto" w:sz="4" w:space="0"/>
              <w:right w:val="single" w:color="auto" w:sz="4" w:space="0"/>
            </w:tcBorders>
          </w:tcPr>
          <w:p>
            <w:pPr>
              <w:widowControl/>
              <w:ind w:firstLine="1320" w:firstLineChars="600"/>
              <w:jc w:val="left"/>
              <w:rPr>
                <w:rFonts w:ascii="宋体"/>
                <w:color w:val="000000"/>
                <w:kern w:val="0"/>
                <w:sz w:val="22"/>
                <w:szCs w:val="22"/>
              </w:rPr>
            </w:pP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418"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223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21011</w:t>
            </w:r>
          </w:p>
        </w:tc>
        <w:tc>
          <w:tcPr>
            <w:tcW w:w="3828"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行政事业单位医疗</w:t>
            </w:r>
          </w:p>
        </w:tc>
        <w:tc>
          <w:tcPr>
            <w:tcW w:w="1275"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4.97</w:t>
            </w:r>
          </w:p>
        </w:tc>
        <w:tc>
          <w:tcPr>
            <w:tcW w:w="1134"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4.97</w:t>
            </w:r>
          </w:p>
        </w:tc>
        <w:tc>
          <w:tcPr>
            <w:tcW w:w="1134" w:type="dxa"/>
            <w:tcBorders>
              <w:top w:val="nil"/>
              <w:left w:val="nil"/>
              <w:bottom w:val="single" w:color="auto" w:sz="4" w:space="0"/>
              <w:right w:val="single" w:color="auto" w:sz="4" w:space="0"/>
            </w:tcBorders>
          </w:tcPr>
          <w:p>
            <w:pPr>
              <w:widowControl/>
              <w:ind w:firstLine="1320" w:firstLineChars="600"/>
              <w:jc w:val="left"/>
              <w:rPr>
                <w:rFonts w:ascii="宋体"/>
                <w:color w:val="000000"/>
                <w:kern w:val="0"/>
                <w:sz w:val="22"/>
                <w:szCs w:val="22"/>
              </w:rPr>
            </w:pP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418"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223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2101101</w:t>
            </w:r>
          </w:p>
        </w:tc>
        <w:tc>
          <w:tcPr>
            <w:tcW w:w="3828"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行政单位医疗</w:t>
            </w:r>
          </w:p>
        </w:tc>
        <w:tc>
          <w:tcPr>
            <w:tcW w:w="1275"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4.65</w:t>
            </w:r>
          </w:p>
        </w:tc>
        <w:tc>
          <w:tcPr>
            <w:tcW w:w="1134"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4.65</w:t>
            </w:r>
          </w:p>
        </w:tc>
        <w:tc>
          <w:tcPr>
            <w:tcW w:w="1134" w:type="dxa"/>
            <w:tcBorders>
              <w:top w:val="nil"/>
              <w:left w:val="nil"/>
              <w:bottom w:val="single" w:color="auto" w:sz="4" w:space="0"/>
              <w:right w:val="single" w:color="auto" w:sz="4" w:space="0"/>
            </w:tcBorders>
          </w:tcPr>
          <w:p>
            <w:pPr>
              <w:widowControl/>
              <w:ind w:firstLine="1320" w:firstLineChars="600"/>
              <w:jc w:val="left"/>
              <w:rPr>
                <w:rFonts w:ascii="宋体"/>
                <w:color w:val="000000"/>
                <w:kern w:val="0"/>
                <w:sz w:val="22"/>
                <w:szCs w:val="22"/>
              </w:rPr>
            </w:pP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418"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223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2101103</w:t>
            </w:r>
          </w:p>
        </w:tc>
        <w:tc>
          <w:tcPr>
            <w:tcW w:w="3828"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公务员医疗补助</w:t>
            </w:r>
          </w:p>
        </w:tc>
        <w:tc>
          <w:tcPr>
            <w:tcW w:w="1275"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0.32</w:t>
            </w:r>
          </w:p>
        </w:tc>
        <w:tc>
          <w:tcPr>
            <w:tcW w:w="1134"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0.32</w:t>
            </w:r>
          </w:p>
        </w:tc>
        <w:tc>
          <w:tcPr>
            <w:tcW w:w="1134" w:type="dxa"/>
            <w:tcBorders>
              <w:top w:val="nil"/>
              <w:left w:val="nil"/>
              <w:bottom w:val="single" w:color="auto" w:sz="4" w:space="0"/>
              <w:right w:val="single" w:color="auto" w:sz="4" w:space="0"/>
            </w:tcBorders>
          </w:tcPr>
          <w:p>
            <w:pPr>
              <w:widowControl/>
              <w:ind w:firstLine="1320" w:firstLineChars="600"/>
              <w:jc w:val="left"/>
              <w:rPr>
                <w:rFonts w:ascii="宋体"/>
                <w:color w:val="000000"/>
                <w:kern w:val="0"/>
                <w:sz w:val="22"/>
                <w:szCs w:val="22"/>
              </w:rPr>
            </w:pPr>
            <w:r>
              <w:rPr>
                <w:rFonts w:hint="eastAsia" w:ascii="宋体" w:hAnsi="宋体" w:cs="宋体"/>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223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221</w:t>
            </w:r>
          </w:p>
        </w:tc>
        <w:tc>
          <w:tcPr>
            <w:tcW w:w="3828"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住房保障支出</w:t>
            </w:r>
          </w:p>
        </w:tc>
        <w:tc>
          <w:tcPr>
            <w:tcW w:w="1275"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4.40</w:t>
            </w:r>
          </w:p>
        </w:tc>
        <w:tc>
          <w:tcPr>
            <w:tcW w:w="1134"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4.40</w:t>
            </w:r>
          </w:p>
        </w:tc>
        <w:tc>
          <w:tcPr>
            <w:tcW w:w="1134" w:type="dxa"/>
            <w:tcBorders>
              <w:top w:val="nil"/>
              <w:left w:val="nil"/>
              <w:bottom w:val="single" w:color="auto" w:sz="4" w:space="0"/>
              <w:right w:val="single" w:color="auto" w:sz="4" w:space="0"/>
            </w:tcBorders>
          </w:tcPr>
          <w:p>
            <w:pPr>
              <w:widowControl/>
              <w:ind w:firstLine="1320" w:firstLineChars="600"/>
              <w:jc w:val="left"/>
              <w:rPr>
                <w:rFonts w:ascii="宋体"/>
                <w:color w:val="000000"/>
                <w:kern w:val="0"/>
                <w:sz w:val="22"/>
                <w:szCs w:val="22"/>
              </w:rPr>
            </w:pP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418"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223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22102</w:t>
            </w:r>
          </w:p>
        </w:tc>
        <w:tc>
          <w:tcPr>
            <w:tcW w:w="3828"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住房改革支出</w:t>
            </w:r>
          </w:p>
        </w:tc>
        <w:tc>
          <w:tcPr>
            <w:tcW w:w="1275"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4.40</w:t>
            </w:r>
          </w:p>
        </w:tc>
        <w:tc>
          <w:tcPr>
            <w:tcW w:w="1134"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4.40</w:t>
            </w:r>
          </w:p>
        </w:tc>
        <w:tc>
          <w:tcPr>
            <w:tcW w:w="1134" w:type="dxa"/>
            <w:tcBorders>
              <w:top w:val="nil"/>
              <w:left w:val="nil"/>
              <w:bottom w:val="single" w:color="auto" w:sz="4" w:space="0"/>
              <w:right w:val="single" w:color="auto" w:sz="4" w:space="0"/>
            </w:tcBorders>
          </w:tcPr>
          <w:p>
            <w:pPr>
              <w:widowControl/>
              <w:ind w:firstLine="1320" w:firstLineChars="600"/>
              <w:jc w:val="left"/>
              <w:rPr>
                <w:rFonts w:ascii="宋体"/>
                <w:color w:val="000000"/>
                <w:kern w:val="0"/>
                <w:sz w:val="22"/>
                <w:szCs w:val="22"/>
              </w:rPr>
            </w:pP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418"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223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2210201</w:t>
            </w:r>
          </w:p>
        </w:tc>
        <w:tc>
          <w:tcPr>
            <w:tcW w:w="3828"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住房公积金</w:t>
            </w:r>
          </w:p>
        </w:tc>
        <w:tc>
          <w:tcPr>
            <w:tcW w:w="1275"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4.40</w:t>
            </w:r>
          </w:p>
        </w:tc>
        <w:tc>
          <w:tcPr>
            <w:tcW w:w="1134"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4.40</w:t>
            </w:r>
          </w:p>
        </w:tc>
        <w:tc>
          <w:tcPr>
            <w:tcW w:w="1134" w:type="dxa"/>
            <w:tcBorders>
              <w:top w:val="nil"/>
              <w:left w:val="nil"/>
              <w:bottom w:val="single" w:color="auto" w:sz="4" w:space="0"/>
              <w:right w:val="single" w:color="auto" w:sz="4" w:space="0"/>
            </w:tcBorders>
          </w:tcPr>
          <w:p>
            <w:pPr>
              <w:widowControl/>
              <w:ind w:firstLine="1320" w:firstLineChars="600"/>
              <w:jc w:val="left"/>
              <w:rPr>
                <w:rFonts w:ascii="宋体"/>
                <w:color w:val="000000"/>
                <w:kern w:val="0"/>
                <w:sz w:val="22"/>
                <w:szCs w:val="22"/>
              </w:rPr>
            </w:pPr>
            <w:r>
              <w:rPr>
                <w:rFonts w:hint="eastAsia" w:ascii="宋体" w:hAnsi="宋体" w:cs="宋体"/>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223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r>
    </w:tbl>
    <w:p/>
    <w:p>
      <w:r>
        <w:rPr>
          <w:rFonts w:hint="eastAsia" w:cs="宋体"/>
        </w:rPr>
        <w:t>注：本表反映本年度各项支出情况。</w:t>
      </w:r>
    </w:p>
    <w:p/>
    <w:p>
      <w:pPr>
        <w:ind w:firstLine="3600" w:firstLineChars="1000"/>
      </w:pPr>
      <w:r>
        <w:rPr>
          <w:rFonts w:hint="eastAsia" w:ascii="方正小标宋简体" w:hAnsi="宋体" w:eastAsia="方正小标宋简体" w:cs="方正小标宋简体"/>
          <w:kern w:val="0"/>
          <w:sz w:val="36"/>
          <w:szCs w:val="36"/>
        </w:rPr>
        <w:t>表四：财政拨款收入支出决算总表</w:t>
      </w:r>
    </w:p>
    <w:tbl>
      <w:tblPr>
        <w:tblStyle w:val="5"/>
        <w:tblpPr w:leftFromText="180" w:rightFromText="180" w:vertAnchor="text" w:horzAnchor="page" w:tblpX="1768" w:tblpY="24"/>
        <w:tblOverlap w:val="never"/>
        <w:tblW w:w="13765" w:type="dxa"/>
        <w:tblInd w:w="0" w:type="dxa"/>
        <w:tblLayout w:type="fixed"/>
        <w:tblCellMar>
          <w:top w:w="0" w:type="dxa"/>
          <w:left w:w="108" w:type="dxa"/>
          <w:bottom w:w="0" w:type="dxa"/>
          <w:right w:w="108" w:type="dxa"/>
        </w:tblCellMar>
      </w:tblPr>
      <w:tblGrid>
        <w:gridCol w:w="3652"/>
        <w:gridCol w:w="851"/>
        <w:gridCol w:w="1477"/>
        <w:gridCol w:w="3372"/>
        <w:gridCol w:w="681"/>
        <w:gridCol w:w="1267"/>
        <w:gridCol w:w="1149"/>
        <w:gridCol w:w="1316"/>
      </w:tblGrid>
      <w:tr>
        <w:tblPrEx>
          <w:tblCellMar>
            <w:top w:w="0" w:type="dxa"/>
            <w:left w:w="108" w:type="dxa"/>
            <w:bottom w:w="0" w:type="dxa"/>
            <w:right w:w="108" w:type="dxa"/>
          </w:tblCellMar>
        </w:tblPrEx>
        <w:trPr>
          <w:trHeight w:val="300" w:hRule="atLeast"/>
        </w:trPr>
        <w:tc>
          <w:tcPr>
            <w:tcW w:w="5980" w:type="dxa"/>
            <w:gridSpan w:val="3"/>
            <w:tcBorders>
              <w:top w:val="single" w:color="auto" w:sz="4" w:space="0"/>
              <w:left w:val="single" w:color="auto" w:sz="4" w:space="0"/>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MingLiU"/>
                <w:kern w:val="0"/>
                <w:sz w:val="22"/>
                <w:szCs w:val="22"/>
              </w:rPr>
              <w:t>收</w:t>
            </w:r>
            <w:r>
              <w:rPr>
                <w:rFonts w:ascii="MingLiU" w:hAnsi="MingLiU" w:eastAsia="MingLiU" w:cs="MingLiU"/>
                <w:kern w:val="0"/>
                <w:sz w:val="22"/>
                <w:szCs w:val="22"/>
              </w:rPr>
              <w:t xml:space="preserve"> </w:t>
            </w:r>
            <w:r>
              <w:rPr>
                <w:rFonts w:hint="eastAsia" w:ascii="MingLiU" w:hAnsi="MingLiU" w:eastAsia="MingLiU" w:cs="MingLiU"/>
                <w:kern w:val="0"/>
                <w:sz w:val="22"/>
                <w:szCs w:val="22"/>
              </w:rPr>
              <w:t>入</w:t>
            </w:r>
          </w:p>
        </w:tc>
        <w:tc>
          <w:tcPr>
            <w:tcW w:w="7785" w:type="dxa"/>
            <w:gridSpan w:val="5"/>
            <w:tcBorders>
              <w:top w:val="single" w:color="auto" w:sz="4" w:space="0"/>
              <w:left w:val="nil"/>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MingLiU"/>
                <w:kern w:val="0"/>
                <w:sz w:val="22"/>
                <w:szCs w:val="22"/>
              </w:rPr>
              <w:t>支</w:t>
            </w:r>
            <w:r>
              <w:rPr>
                <w:rFonts w:ascii="MingLiU" w:hAnsi="MingLiU" w:eastAsia="MingLiU" w:cs="MingLiU"/>
                <w:kern w:val="0"/>
                <w:sz w:val="22"/>
                <w:szCs w:val="22"/>
              </w:rPr>
              <w:t xml:space="preserve"> </w:t>
            </w:r>
            <w:r>
              <w:rPr>
                <w:rFonts w:hint="eastAsia" w:ascii="MingLiU" w:hAnsi="MingLiU" w:eastAsia="MingLiU" w:cs="MingLiU"/>
                <w:kern w:val="0"/>
                <w:sz w:val="22"/>
                <w:szCs w:val="22"/>
              </w:rPr>
              <w:t>出</w:t>
            </w:r>
          </w:p>
        </w:tc>
      </w:tr>
      <w:tr>
        <w:tblPrEx>
          <w:tblCellMar>
            <w:top w:w="0" w:type="dxa"/>
            <w:left w:w="108" w:type="dxa"/>
            <w:bottom w:w="0" w:type="dxa"/>
            <w:right w:w="108" w:type="dxa"/>
          </w:tblCellMar>
        </w:tblPrEx>
        <w:trPr>
          <w:trHeight w:val="732" w:hRule="atLeast"/>
        </w:trPr>
        <w:tc>
          <w:tcPr>
            <w:tcW w:w="3652"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项</w:t>
            </w:r>
            <w:r>
              <w:rPr>
                <w:rFonts w:ascii="宋体" w:hAnsi="宋体" w:cs="宋体"/>
                <w:kern w:val="0"/>
                <w:sz w:val="22"/>
                <w:szCs w:val="22"/>
              </w:rPr>
              <w:t xml:space="preserve"> </w:t>
            </w:r>
            <w:r>
              <w:rPr>
                <w:rFonts w:hint="eastAsia" w:ascii="宋体" w:hAnsi="宋体" w:cs="宋体"/>
                <w:kern w:val="0"/>
                <w:sz w:val="22"/>
                <w:szCs w:val="22"/>
              </w:rPr>
              <w:t>目</w:t>
            </w:r>
          </w:p>
        </w:tc>
        <w:tc>
          <w:tcPr>
            <w:tcW w:w="851"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行次</w:t>
            </w:r>
          </w:p>
        </w:tc>
        <w:tc>
          <w:tcPr>
            <w:tcW w:w="1477"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金额</w:t>
            </w:r>
          </w:p>
        </w:tc>
        <w:tc>
          <w:tcPr>
            <w:tcW w:w="3372"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项</w:t>
            </w:r>
            <w:r>
              <w:rPr>
                <w:rFonts w:ascii="宋体" w:hAnsi="宋体" w:cs="宋体"/>
                <w:kern w:val="0"/>
                <w:sz w:val="22"/>
                <w:szCs w:val="22"/>
              </w:rPr>
              <w:t xml:space="preserve"> </w:t>
            </w:r>
            <w:r>
              <w:rPr>
                <w:rFonts w:hint="eastAsia" w:ascii="宋体" w:hAnsi="宋体" w:cs="宋体"/>
                <w:kern w:val="0"/>
                <w:sz w:val="22"/>
                <w:szCs w:val="22"/>
              </w:rPr>
              <w:t>目</w:t>
            </w:r>
          </w:p>
        </w:tc>
        <w:tc>
          <w:tcPr>
            <w:tcW w:w="681"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行次</w:t>
            </w:r>
          </w:p>
        </w:tc>
        <w:tc>
          <w:tcPr>
            <w:tcW w:w="1267"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合计</w:t>
            </w:r>
          </w:p>
        </w:tc>
        <w:tc>
          <w:tcPr>
            <w:tcW w:w="1149"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一般公共预算财政拨款</w:t>
            </w:r>
          </w:p>
        </w:tc>
        <w:tc>
          <w:tcPr>
            <w:tcW w:w="1316"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政府性基金预算财政拨款</w:t>
            </w:r>
          </w:p>
        </w:tc>
      </w:tr>
      <w:tr>
        <w:tblPrEx>
          <w:tblCellMar>
            <w:top w:w="0" w:type="dxa"/>
            <w:left w:w="108" w:type="dxa"/>
            <w:bottom w:w="0" w:type="dxa"/>
            <w:right w:w="108" w:type="dxa"/>
          </w:tblCellMar>
        </w:tblPrEx>
        <w:trPr>
          <w:trHeight w:val="288" w:hRule="atLeast"/>
        </w:trPr>
        <w:tc>
          <w:tcPr>
            <w:tcW w:w="3652" w:type="dxa"/>
            <w:tcBorders>
              <w:top w:val="nil"/>
              <w:left w:val="single" w:color="auto" w:sz="4" w:space="0"/>
              <w:bottom w:val="single" w:color="auto" w:sz="4" w:space="0"/>
              <w:right w:val="single" w:color="auto" w:sz="4" w:space="0"/>
            </w:tcBorders>
          </w:tcPr>
          <w:p>
            <w:pPr>
              <w:widowControl/>
              <w:jc w:val="center"/>
              <w:rPr>
                <w:rFonts w:ascii="宋体"/>
                <w:color w:val="000000"/>
                <w:kern w:val="0"/>
                <w:sz w:val="22"/>
                <w:szCs w:val="22"/>
              </w:rPr>
            </w:pPr>
            <w:r>
              <w:rPr>
                <w:rFonts w:hint="eastAsia" w:ascii="宋体" w:hAnsi="宋体" w:cs="宋体"/>
                <w:kern w:val="0"/>
                <w:sz w:val="22"/>
                <w:szCs w:val="22"/>
              </w:rPr>
              <w:t>栏</w:t>
            </w:r>
            <w:r>
              <w:rPr>
                <w:rFonts w:ascii="宋体" w:hAnsi="宋体" w:cs="宋体"/>
                <w:kern w:val="0"/>
                <w:sz w:val="22"/>
                <w:szCs w:val="22"/>
              </w:rPr>
              <w:t xml:space="preserve"> </w:t>
            </w:r>
            <w:r>
              <w:rPr>
                <w:rFonts w:hint="eastAsia" w:ascii="宋体" w:hAnsi="宋体" w:cs="宋体"/>
                <w:kern w:val="0"/>
                <w:sz w:val="22"/>
                <w:szCs w:val="22"/>
              </w:rPr>
              <w:t>次</w:t>
            </w:r>
          </w:p>
        </w:tc>
        <w:tc>
          <w:tcPr>
            <w:tcW w:w="851"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477"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w:t>
            </w:r>
          </w:p>
        </w:tc>
        <w:tc>
          <w:tcPr>
            <w:tcW w:w="3372" w:type="dxa"/>
            <w:tcBorders>
              <w:top w:val="nil"/>
              <w:left w:val="nil"/>
              <w:bottom w:val="single" w:color="auto" w:sz="4" w:space="0"/>
              <w:right w:val="single" w:color="auto" w:sz="4" w:space="0"/>
            </w:tcBorders>
          </w:tcPr>
          <w:p>
            <w:pPr>
              <w:widowControl/>
              <w:ind w:firstLine="880" w:firstLineChars="400"/>
              <w:jc w:val="left"/>
              <w:rPr>
                <w:rFonts w:ascii="宋体"/>
                <w:color w:val="000000"/>
                <w:kern w:val="0"/>
                <w:sz w:val="22"/>
                <w:szCs w:val="22"/>
              </w:rPr>
            </w:pPr>
            <w:r>
              <w:rPr>
                <w:rFonts w:hint="eastAsia" w:ascii="宋体" w:hAnsi="宋体" w:cs="宋体"/>
                <w:kern w:val="0"/>
                <w:sz w:val="22"/>
                <w:szCs w:val="22"/>
              </w:rPr>
              <w:t>栏</w:t>
            </w:r>
            <w:r>
              <w:rPr>
                <w:rFonts w:ascii="宋体" w:hAnsi="宋体" w:cs="宋体"/>
                <w:kern w:val="0"/>
                <w:sz w:val="22"/>
                <w:szCs w:val="22"/>
              </w:rPr>
              <w:t xml:space="preserve"> </w:t>
            </w:r>
            <w:r>
              <w:rPr>
                <w:rFonts w:hint="eastAsia" w:ascii="宋体" w:hAnsi="宋体" w:cs="宋体"/>
                <w:kern w:val="0"/>
                <w:sz w:val="22"/>
                <w:szCs w:val="22"/>
              </w:rPr>
              <w:t>次</w:t>
            </w:r>
          </w:p>
        </w:tc>
        <w:tc>
          <w:tcPr>
            <w:tcW w:w="681"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267"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w:t>
            </w:r>
          </w:p>
        </w:tc>
        <w:tc>
          <w:tcPr>
            <w:tcW w:w="1149"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3</w:t>
            </w:r>
          </w:p>
        </w:tc>
        <w:tc>
          <w:tcPr>
            <w:tcW w:w="1316"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4</w:t>
            </w:r>
          </w:p>
        </w:tc>
      </w:tr>
      <w:tr>
        <w:tblPrEx>
          <w:tblCellMar>
            <w:top w:w="0" w:type="dxa"/>
            <w:left w:w="108" w:type="dxa"/>
            <w:bottom w:w="0" w:type="dxa"/>
            <w:right w:w="108" w:type="dxa"/>
          </w:tblCellMar>
        </w:tblPrEx>
        <w:trPr>
          <w:trHeight w:val="288" w:hRule="atLeast"/>
        </w:trPr>
        <w:tc>
          <w:tcPr>
            <w:tcW w:w="3652"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kern w:val="0"/>
                <w:sz w:val="22"/>
                <w:szCs w:val="22"/>
              </w:rPr>
              <w:t>一、一般公共预算财政拨款收入</w:t>
            </w:r>
          </w:p>
        </w:tc>
        <w:tc>
          <w:tcPr>
            <w:tcW w:w="85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w:t>
            </w:r>
          </w:p>
        </w:tc>
        <w:tc>
          <w:tcPr>
            <w:tcW w:w="1477"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126.49</w:t>
            </w:r>
          </w:p>
        </w:tc>
        <w:tc>
          <w:tcPr>
            <w:tcW w:w="3372"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kern w:val="0"/>
                <w:sz w:val="22"/>
                <w:szCs w:val="22"/>
              </w:rPr>
              <w:t>一、一般公共服务支出</w:t>
            </w:r>
          </w:p>
        </w:tc>
        <w:tc>
          <w:tcPr>
            <w:tcW w:w="68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18</w:t>
            </w:r>
          </w:p>
        </w:tc>
        <w:tc>
          <w:tcPr>
            <w:tcW w:w="1267"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104.99</w:t>
            </w:r>
          </w:p>
        </w:tc>
        <w:tc>
          <w:tcPr>
            <w:tcW w:w="1149" w:type="dxa"/>
            <w:tcBorders>
              <w:top w:val="nil"/>
              <w:left w:val="nil"/>
              <w:bottom w:val="single" w:color="auto" w:sz="4" w:space="0"/>
              <w:right w:val="single" w:color="auto" w:sz="4" w:space="0"/>
            </w:tcBorders>
          </w:tcPr>
          <w:p>
            <w:pPr>
              <w:widowControl/>
              <w:rPr>
                <w:rFonts w:ascii="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104.99</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r>
              <w:rPr>
                <w:rFonts w:ascii="宋体" w:cs="宋体"/>
                <w:color w:val="000000"/>
                <w:kern w:val="0"/>
                <w:sz w:val="22"/>
                <w:szCs w:val="22"/>
              </w:rPr>
              <w:t>0</w:t>
            </w:r>
          </w:p>
        </w:tc>
      </w:tr>
      <w:tr>
        <w:tblPrEx>
          <w:tblCellMar>
            <w:top w:w="0" w:type="dxa"/>
            <w:left w:w="108" w:type="dxa"/>
            <w:bottom w:w="0" w:type="dxa"/>
            <w:right w:w="108" w:type="dxa"/>
          </w:tblCellMar>
        </w:tblPrEx>
        <w:trPr>
          <w:trHeight w:val="288" w:hRule="atLeast"/>
        </w:trPr>
        <w:tc>
          <w:tcPr>
            <w:tcW w:w="3652"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kern w:val="0"/>
                <w:sz w:val="22"/>
                <w:szCs w:val="22"/>
              </w:rPr>
              <w:t>二、政府性基金预算财政拨款收入</w:t>
            </w:r>
          </w:p>
        </w:tc>
        <w:tc>
          <w:tcPr>
            <w:tcW w:w="85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w:t>
            </w:r>
          </w:p>
        </w:tc>
        <w:tc>
          <w:tcPr>
            <w:tcW w:w="1477"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ascii="宋体" w:cs="宋体"/>
                <w:color w:val="000000"/>
                <w:kern w:val="0"/>
                <w:sz w:val="22"/>
                <w:szCs w:val="22"/>
              </w:rPr>
              <w:t>0</w:t>
            </w:r>
          </w:p>
        </w:tc>
        <w:tc>
          <w:tcPr>
            <w:tcW w:w="3372"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kern w:val="0"/>
                <w:sz w:val="22"/>
                <w:szCs w:val="22"/>
              </w:rPr>
              <w:t>二、外交支出</w:t>
            </w:r>
          </w:p>
        </w:tc>
        <w:tc>
          <w:tcPr>
            <w:tcW w:w="68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19</w:t>
            </w:r>
          </w:p>
        </w:tc>
        <w:tc>
          <w:tcPr>
            <w:tcW w:w="1267"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cs="宋体"/>
                <w:color w:val="000000"/>
                <w:kern w:val="0"/>
                <w:sz w:val="22"/>
                <w:szCs w:val="22"/>
              </w:rPr>
              <w:t>0</w:t>
            </w:r>
          </w:p>
        </w:tc>
        <w:tc>
          <w:tcPr>
            <w:tcW w:w="1149" w:type="dxa"/>
            <w:tcBorders>
              <w:top w:val="nil"/>
              <w:left w:val="nil"/>
              <w:bottom w:val="single" w:color="auto" w:sz="4" w:space="0"/>
              <w:right w:val="single" w:color="auto" w:sz="4" w:space="0"/>
            </w:tcBorders>
          </w:tcPr>
          <w:p>
            <w:pPr>
              <w:widowControl/>
              <w:rPr>
                <w:rFonts w:ascii="宋体"/>
                <w:color w:val="000000"/>
                <w:kern w:val="0"/>
                <w:sz w:val="22"/>
                <w:szCs w:val="22"/>
              </w:rPr>
            </w:pPr>
            <w:r>
              <w:rPr>
                <w:rFonts w:hint="eastAsia" w:ascii="宋体" w:hAnsi="宋体" w:cs="宋体"/>
                <w:color w:val="000000"/>
                <w:kern w:val="0"/>
                <w:sz w:val="22"/>
                <w:szCs w:val="22"/>
              </w:rPr>
              <w:t>　</w:t>
            </w:r>
            <w:r>
              <w:rPr>
                <w:rFonts w:ascii="宋体" w:cs="宋体"/>
                <w:color w:val="000000"/>
                <w:kern w:val="0"/>
                <w:sz w:val="22"/>
                <w:szCs w:val="22"/>
              </w:rPr>
              <w:t>0</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r>
              <w:rPr>
                <w:rFonts w:ascii="宋体" w:cs="宋体"/>
                <w:color w:val="000000"/>
                <w:kern w:val="0"/>
                <w:sz w:val="22"/>
                <w:szCs w:val="22"/>
              </w:rPr>
              <w:t>0</w:t>
            </w:r>
          </w:p>
        </w:tc>
      </w:tr>
      <w:tr>
        <w:tblPrEx>
          <w:tblCellMar>
            <w:top w:w="0" w:type="dxa"/>
            <w:left w:w="108" w:type="dxa"/>
            <w:bottom w:w="0" w:type="dxa"/>
            <w:right w:w="108" w:type="dxa"/>
          </w:tblCellMar>
        </w:tblPrEx>
        <w:trPr>
          <w:trHeight w:val="288" w:hRule="atLeast"/>
        </w:trPr>
        <w:tc>
          <w:tcPr>
            <w:tcW w:w="3652"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3</w:t>
            </w:r>
          </w:p>
        </w:tc>
        <w:tc>
          <w:tcPr>
            <w:tcW w:w="147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kern w:val="0"/>
                <w:sz w:val="22"/>
                <w:szCs w:val="22"/>
              </w:rPr>
              <w:t>三、教育支出</w:t>
            </w:r>
          </w:p>
        </w:tc>
        <w:tc>
          <w:tcPr>
            <w:tcW w:w="68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20</w:t>
            </w:r>
          </w:p>
        </w:tc>
        <w:tc>
          <w:tcPr>
            <w:tcW w:w="1267"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cs="宋体"/>
                <w:color w:val="000000"/>
                <w:kern w:val="0"/>
                <w:sz w:val="22"/>
                <w:szCs w:val="22"/>
              </w:rPr>
              <w:t>0</w:t>
            </w:r>
          </w:p>
        </w:tc>
        <w:tc>
          <w:tcPr>
            <w:tcW w:w="1149" w:type="dxa"/>
            <w:tcBorders>
              <w:top w:val="nil"/>
              <w:left w:val="nil"/>
              <w:bottom w:val="single" w:color="auto" w:sz="4" w:space="0"/>
              <w:right w:val="single" w:color="auto" w:sz="4" w:space="0"/>
            </w:tcBorders>
          </w:tcPr>
          <w:p>
            <w:pPr>
              <w:widowControl/>
              <w:rPr>
                <w:rFonts w:ascii="宋体"/>
                <w:color w:val="000000"/>
                <w:kern w:val="0"/>
                <w:sz w:val="22"/>
                <w:szCs w:val="22"/>
              </w:rPr>
            </w:pPr>
            <w:r>
              <w:rPr>
                <w:rFonts w:hint="eastAsia" w:ascii="宋体" w:hAnsi="宋体" w:cs="宋体"/>
                <w:color w:val="000000"/>
                <w:kern w:val="0"/>
                <w:sz w:val="22"/>
                <w:szCs w:val="22"/>
              </w:rPr>
              <w:t>　</w:t>
            </w:r>
            <w:r>
              <w:rPr>
                <w:rFonts w:ascii="宋体" w:cs="宋体"/>
                <w:color w:val="000000"/>
                <w:kern w:val="0"/>
                <w:sz w:val="22"/>
                <w:szCs w:val="22"/>
              </w:rPr>
              <w:t>0</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r>
              <w:rPr>
                <w:rFonts w:ascii="宋体" w:cs="宋体"/>
                <w:color w:val="000000"/>
                <w:kern w:val="0"/>
                <w:sz w:val="22"/>
                <w:szCs w:val="22"/>
              </w:rPr>
              <w:t>0</w:t>
            </w:r>
          </w:p>
        </w:tc>
      </w:tr>
      <w:tr>
        <w:tblPrEx>
          <w:tblCellMar>
            <w:top w:w="0" w:type="dxa"/>
            <w:left w:w="108" w:type="dxa"/>
            <w:bottom w:w="0" w:type="dxa"/>
            <w:right w:w="108" w:type="dxa"/>
          </w:tblCellMar>
        </w:tblPrEx>
        <w:trPr>
          <w:trHeight w:val="288" w:hRule="atLeast"/>
        </w:trPr>
        <w:tc>
          <w:tcPr>
            <w:tcW w:w="3652"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4</w:t>
            </w:r>
          </w:p>
        </w:tc>
        <w:tc>
          <w:tcPr>
            <w:tcW w:w="147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kern w:val="0"/>
                <w:sz w:val="22"/>
                <w:szCs w:val="22"/>
              </w:rPr>
              <w:t>四、科学技术支出</w:t>
            </w:r>
          </w:p>
        </w:tc>
        <w:tc>
          <w:tcPr>
            <w:tcW w:w="68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21</w:t>
            </w:r>
          </w:p>
        </w:tc>
        <w:tc>
          <w:tcPr>
            <w:tcW w:w="1267"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cs="宋体"/>
                <w:color w:val="000000"/>
                <w:kern w:val="0"/>
                <w:sz w:val="22"/>
                <w:szCs w:val="22"/>
              </w:rPr>
              <w:t>0</w:t>
            </w:r>
          </w:p>
        </w:tc>
        <w:tc>
          <w:tcPr>
            <w:tcW w:w="1149" w:type="dxa"/>
            <w:tcBorders>
              <w:top w:val="nil"/>
              <w:left w:val="nil"/>
              <w:bottom w:val="single" w:color="auto" w:sz="4" w:space="0"/>
              <w:right w:val="single" w:color="auto" w:sz="4" w:space="0"/>
            </w:tcBorders>
          </w:tcPr>
          <w:p>
            <w:pPr>
              <w:widowControl/>
              <w:rPr>
                <w:rFonts w:ascii="宋体"/>
                <w:color w:val="000000"/>
                <w:kern w:val="0"/>
                <w:sz w:val="22"/>
                <w:szCs w:val="22"/>
              </w:rPr>
            </w:pPr>
            <w:r>
              <w:rPr>
                <w:rFonts w:hint="eastAsia" w:ascii="宋体" w:hAnsi="宋体" w:cs="宋体"/>
                <w:color w:val="000000"/>
                <w:kern w:val="0"/>
                <w:sz w:val="22"/>
                <w:szCs w:val="22"/>
              </w:rPr>
              <w:t>　</w:t>
            </w:r>
            <w:r>
              <w:rPr>
                <w:rFonts w:ascii="宋体" w:cs="宋体"/>
                <w:color w:val="000000"/>
                <w:kern w:val="0"/>
                <w:sz w:val="22"/>
                <w:szCs w:val="22"/>
              </w:rPr>
              <w:t>0</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r>
              <w:rPr>
                <w:rFonts w:ascii="宋体" w:cs="宋体"/>
                <w:color w:val="000000"/>
                <w:kern w:val="0"/>
                <w:sz w:val="22"/>
                <w:szCs w:val="22"/>
              </w:rPr>
              <w:t>0</w:t>
            </w:r>
          </w:p>
        </w:tc>
      </w:tr>
      <w:tr>
        <w:tblPrEx>
          <w:tblCellMar>
            <w:top w:w="0" w:type="dxa"/>
            <w:left w:w="108" w:type="dxa"/>
            <w:bottom w:w="0" w:type="dxa"/>
            <w:right w:w="108" w:type="dxa"/>
          </w:tblCellMar>
        </w:tblPrEx>
        <w:trPr>
          <w:trHeight w:val="288" w:hRule="atLeast"/>
        </w:trPr>
        <w:tc>
          <w:tcPr>
            <w:tcW w:w="3652"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5</w:t>
            </w:r>
          </w:p>
        </w:tc>
        <w:tc>
          <w:tcPr>
            <w:tcW w:w="147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kern w:val="0"/>
                <w:sz w:val="22"/>
                <w:szCs w:val="22"/>
              </w:rPr>
              <w:t>五、文化旅游体育与传媒支出</w:t>
            </w:r>
          </w:p>
        </w:tc>
        <w:tc>
          <w:tcPr>
            <w:tcW w:w="68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22</w:t>
            </w:r>
          </w:p>
        </w:tc>
        <w:tc>
          <w:tcPr>
            <w:tcW w:w="1267"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cs="宋体"/>
                <w:color w:val="000000"/>
                <w:kern w:val="0"/>
                <w:sz w:val="22"/>
                <w:szCs w:val="22"/>
              </w:rPr>
              <w:t>0</w:t>
            </w:r>
          </w:p>
        </w:tc>
        <w:tc>
          <w:tcPr>
            <w:tcW w:w="1149" w:type="dxa"/>
            <w:tcBorders>
              <w:top w:val="nil"/>
              <w:left w:val="nil"/>
              <w:bottom w:val="single" w:color="auto" w:sz="4" w:space="0"/>
              <w:right w:val="single" w:color="auto" w:sz="4" w:space="0"/>
            </w:tcBorders>
          </w:tcPr>
          <w:p>
            <w:pPr>
              <w:widowControl/>
              <w:rPr>
                <w:rFonts w:ascii="宋体"/>
                <w:color w:val="000000"/>
                <w:kern w:val="0"/>
                <w:sz w:val="22"/>
                <w:szCs w:val="22"/>
              </w:rPr>
            </w:pPr>
            <w:r>
              <w:rPr>
                <w:rFonts w:hint="eastAsia" w:ascii="宋体" w:hAnsi="宋体" w:cs="宋体"/>
                <w:color w:val="000000"/>
                <w:kern w:val="0"/>
                <w:sz w:val="22"/>
                <w:szCs w:val="22"/>
              </w:rPr>
              <w:t>　</w:t>
            </w:r>
            <w:r>
              <w:rPr>
                <w:rFonts w:ascii="宋体" w:cs="宋体"/>
                <w:color w:val="000000"/>
                <w:kern w:val="0"/>
                <w:sz w:val="22"/>
                <w:szCs w:val="22"/>
              </w:rPr>
              <w:t>0</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r>
              <w:rPr>
                <w:rFonts w:ascii="宋体" w:cs="宋体"/>
                <w:color w:val="000000"/>
                <w:kern w:val="0"/>
                <w:sz w:val="22"/>
                <w:szCs w:val="22"/>
              </w:rPr>
              <w:t>0</w:t>
            </w:r>
          </w:p>
        </w:tc>
      </w:tr>
      <w:tr>
        <w:tblPrEx>
          <w:tblCellMar>
            <w:top w:w="0" w:type="dxa"/>
            <w:left w:w="108" w:type="dxa"/>
            <w:bottom w:w="0" w:type="dxa"/>
            <w:right w:w="108" w:type="dxa"/>
          </w:tblCellMar>
        </w:tblPrEx>
        <w:trPr>
          <w:trHeight w:val="288" w:hRule="atLeast"/>
        </w:trPr>
        <w:tc>
          <w:tcPr>
            <w:tcW w:w="3652"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6</w:t>
            </w:r>
          </w:p>
        </w:tc>
        <w:tc>
          <w:tcPr>
            <w:tcW w:w="147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kern w:val="0"/>
                <w:sz w:val="22"/>
                <w:szCs w:val="22"/>
              </w:rPr>
              <w:t>六、社会保障和就业支出</w:t>
            </w:r>
          </w:p>
        </w:tc>
        <w:tc>
          <w:tcPr>
            <w:tcW w:w="68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23</w:t>
            </w:r>
          </w:p>
        </w:tc>
        <w:tc>
          <w:tcPr>
            <w:tcW w:w="1267"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11.78</w:t>
            </w:r>
          </w:p>
        </w:tc>
        <w:tc>
          <w:tcPr>
            <w:tcW w:w="1149" w:type="dxa"/>
            <w:tcBorders>
              <w:top w:val="nil"/>
              <w:left w:val="nil"/>
              <w:bottom w:val="single" w:color="auto" w:sz="4" w:space="0"/>
              <w:right w:val="single" w:color="auto" w:sz="4" w:space="0"/>
            </w:tcBorders>
          </w:tcPr>
          <w:p>
            <w:pPr>
              <w:widowControl/>
              <w:rPr>
                <w:rFonts w:ascii="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11.78</w:t>
            </w:r>
          </w:p>
        </w:tc>
        <w:tc>
          <w:tcPr>
            <w:tcW w:w="1316"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cs="宋体"/>
                <w:color w:val="000000"/>
                <w:kern w:val="0"/>
                <w:sz w:val="22"/>
                <w:szCs w:val="22"/>
              </w:rPr>
              <w:t>0</w:t>
            </w:r>
          </w:p>
        </w:tc>
      </w:tr>
      <w:tr>
        <w:tblPrEx>
          <w:tblCellMar>
            <w:top w:w="0" w:type="dxa"/>
            <w:left w:w="108" w:type="dxa"/>
            <w:bottom w:w="0" w:type="dxa"/>
            <w:right w:w="108" w:type="dxa"/>
          </w:tblCellMar>
        </w:tblPrEx>
        <w:trPr>
          <w:trHeight w:val="288" w:hRule="atLeast"/>
        </w:trPr>
        <w:tc>
          <w:tcPr>
            <w:tcW w:w="3652"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7</w:t>
            </w:r>
          </w:p>
        </w:tc>
        <w:tc>
          <w:tcPr>
            <w:tcW w:w="147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七、卫生健康支出</w:t>
            </w:r>
          </w:p>
        </w:tc>
        <w:tc>
          <w:tcPr>
            <w:tcW w:w="68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24</w:t>
            </w:r>
          </w:p>
        </w:tc>
        <w:tc>
          <w:tcPr>
            <w:tcW w:w="1267"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4.97</w:t>
            </w:r>
          </w:p>
        </w:tc>
        <w:tc>
          <w:tcPr>
            <w:tcW w:w="1149"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4.97</w:t>
            </w:r>
          </w:p>
        </w:tc>
        <w:tc>
          <w:tcPr>
            <w:tcW w:w="1316" w:type="dxa"/>
            <w:tcBorders>
              <w:top w:val="nil"/>
              <w:left w:val="nil"/>
              <w:bottom w:val="single" w:color="auto" w:sz="4" w:space="0"/>
              <w:right w:val="single" w:color="auto" w:sz="4" w:space="0"/>
            </w:tcBorders>
          </w:tcPr>
          <w:p>
            <w:pPr>
              <w:widowControl/>
              <w:ind w:firstLine="440" w:firstLineChars="200"/>
              <w:rPr>
                <w:rFonts w:ascii="宋体"/>
                <w:color w:val="000000"/>
                <w:kern w:val="0"/>
                <w:sz w:val="22"/>
                <w:szCs w:val="22"/>
              </w:rPr>
            </w:pPr>
            <w:r>
              <w:rPr>
                <w:rFonts w:ascii="宋体" w:cs="宋体"/>
                <w:color w:val="000000"/>
                <w:kern w:val="0"/>
                <w:sz w:val="22"/>
                <w:szCs w:val="22"/>
              </w:rPr>
              <w:t>0</w:t>
            </w:r>
          </w:p>
        </w:tc>
      </w:tr>
      <w:tr>
        <w:tblPrEx>
          <w:tblCellMar>
            <w:top w:w="0" w:type="dxa"/>
            <w:left w:w="108" w:type="dxa"/>
            <w:bottom w:w="0" w:type="dxa"/>
            <w:right w:w="108" w:type="dxa"/>
          </w:tblCellMar>
        </w:tblPrEx>
        <w:trPr>
          <w:trHeight w:val="288" w:hRule="atLeast"/>
        </w:trPr>
        <w:tc>
          <w:tcPr>
            <w:tcW w:w="3652"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8</w:t>
            </w:r>
          </w:p>
        </w:tc>
        <w:tc>
          <w:tcPr>
            <w:tcW w:w="147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八、住房保障支出</w:t>
            </w:r>
          </w:p>
        </w:tc>
        <w:tc>
          <w:tcPr>
            <w:tcW w:w="68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25</w:t>
            </w:r>
          </w:p>
        </w:tc>
        <w:tc>
          <w:tcPr>
            <w:tcW w:w="1267"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4.40</w:t>
            </w:r>
          </w:p>
        </w:tc>
        <w:tc>
          <w:tcPr>
            <w:tcW w:w="1149" w:type="dxa"/>
            <w:tcBorders>
              <w:top w:val="nil"/>
              <w:left w:val="nil"/>
              <w:bottom w:val="single" w:color="auto" w:sz="4" w:space="0"/>
              <w:right w:val="single" w:color="auto" w:sz="4" w:space="0"/>
            </w:tcBorders>
          </w:tcPr>
          <w:p>
            <w:pPr>
              <w:widowControl/>
              <w:rPr>
                <w:rFonts w:ascii="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4.40</w:t>
            </w:r>
          </w:p>
        </w:tc>
        <w:tc>
          <w:tcPr>
            <w:tcW w:w="1316"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cs="宋体"/>
                <w:color w:val="000000"/>
                <w:kern w:val="0"/>
                <w:sz w:val="22"/>
                <w:szCs w:val="22"/>
              </w:rPr>
              <w:t>0</w:t>
            </w:r>
          </w:p>
        </w:tc>
      </w:tr>
      <w:tr>
        <w:tblPrEx>
          <w:tblCellMar>
            <w:top w:w="0" w:type="dxa"/>
            <w:left w:w="108" w:type="dxa"/>
            <w:bottom w:w="0" w:type="dxa"/>
            <w:right w:w="108" w:type="dxa"/>
          </w:tblCellMar>
        </w:tblPrEx>
        <w:trPr>
          <w:trHeight w:val="288" w:hRule="atLeast"/>
        </w:trPr>
        <w:tc>
          <w:tcPr>
            <w:tcW w:w="3652"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9</w:t>
            </w:r>
          </w:p>
        </w:tc>
        <w:tc>
          <w:tcPr>
            <w:tcW w:w="147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w:t>
            </w:r>
          </w:p>
        </w:tc>
        <w:tc>
          <w:tcPr>
            <w:tcW w:w="68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26</w:t>
            </w:r>
          </w:p>
        </w:tc>
        <w:tc>
          <w:tcPr>
            <w:tcW w:w="1267" w:type="dxa"/>
            <w:tcBorders>
              <w:top w:val="nil"/>
              <w:left w:val="nil"/>
              <w:bottom w:val="single" w:color="auto" w:sz="4" w:space="0"/>
              <w:right w:val="single" w:color="auto" w:sz="4" w:space="0"/>
            </w:tcBorders>
          </w:tcPr>
          <w:p>
            <w:pPr>
              <w:widowControl/>
              <w:ind w:firstLine="660" w:firstLineChars="300"/>
              <w:jc w:val="left"/>
              <w:rPr>
                <w:rFonts w:ascii="宋体"/>
                <w:color w:val="000000"/>
                <w:kern w:val="0"/>
                <w:sz w:val="22"/>
                <w:szCs w:val="22"/>
              </w:rPr>
            </w:pPr>
            <w:r>
              <w:rPr>
                <w:rFonts w:hint="eastAsia" w:ascii="宋体" w:hAnsi="宋体" w:cs="宋体"/>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ascii="宋体"/>
                <w:color w:val="000000"/>
                <w:kern w:val="0"/>
                <w:sz w:val="22"/>
                <w:szCs w:val="22"/>
              </w:rPr>
            </w:pPr>
            <w:r>
              <w:rPr>
                <w:rFonts w:hint="eastAsia" w:ascii="宋体" w:hAnsi="宋体" w:cs="宋体"/>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3652"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10</w:t>
            </w:r>
          </w:p>
        </w:tc>
        <w:tc>
          <w:tcPr>
            <w:tcW w:w="147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w:t>
            </w:r>
          </w:p>
        </w:tc>
        <w:tc>
          <w:tcPr>
            <w:tcW w:w="68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27</w:t>
            </w:r>
          </w:p>
        </w:tc>
        <w:tc>
          <w:tcPr>
            <w:tcW w:w="1267" w:type="dxa"/>
            <w:tcBorders>
              <w:top w:val="nil"/>
              <w:left w:val="nil"/>
              <w:bottom w:val="single" w:color="auto" w:sz="4" w:space="0"/>
              <w:right w:val="single" w:color="auto" w:sz="4" w:space="0"/>
            </w:tcBorders>
          </w:tcPr>
          <w:p>
            <w:pPr>
              <w:widowControl/>
              <w:ind w:firstLine="660" w:firstLineChars="300"/>
              <w:jc w:val="left"/>
              <w:rPr>
                <w:rFonts w:ascii="宋体"/>
                <w:color w:val="000000"/>
                <w:kern w:val="0"/>
                <w:sz w:val="22"/>
                <w:szCs w:val="22"/>
              </w:rPr>
            </w:pPr>
            <w:r>
              <w:rPr>
                <w:rFonts w:hint="eastAsia" w:ascii="宋体" w:hAnsi="宋体" w:cs="宋体"/>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ascii="宋体"/>
                <w:color w:val="000000"/>
                <w:kern w:val="0"/>
                <w:sz w:val="22"/>
                <w:szCs w:val="22"/>
              </w:rPr>
            </w:pPr>
            <w:r>
              <w:rPr>
                <w:rFonts w:hint="eastAsia" w:ascii="宋体" w:hAnsi="宋体" w:cs="宋体"/>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3652"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11</w:t>
            </w:r>
          </w:p>
        </w:tc>
        <w:tc>
          <w:tcPr>
            <w:tcW w:w="147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28</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3652" w:type="dxa"/>
            <w:tcBorders>
              <w:top w:val="nil"/>
              <w:left w:val="single" w:color="auto" w:sz="4" w:space="0"/>
              <w:bottom w:val="single" w:color="auto" w:sz="4" w:space="0"/>
              <w:right w:val="single" w:color="auto" w:sz="4" w:space="0"/>
            </w:tcBorders>
          </w:tcPr>
          <w:p>
            <w:pPr>
              <w:widowControl/>
              <w:ind w:firstLine="1540" w:firstLineChars="700"/>
              <w:jc w:val="left"/>
              <w:rPr>
                <w:rFonts w:ascii="宋体"/>
                <w:color w:val="000000"/>
                <w:kern w:val="0"/>
                <w:sz w:val="22"/>
                <w:szCs w:val="22"/>
              </w:rPr>
            </w:pPr>
            <w:r>
              <w:rPr>
                <w:rFonts w:hint="eastAsia" w:ascii="宋体" w:hAnsi="宋体" w:cs="宋体"/>
                <w:kern w:val="0"/>
                <w:sz w:val="22"/>
                <w:szCs w:val="22"/>
              </w:rPr>
              <w:t>本年收入合计</w:t>
            </w:r>
          </w:p>
        </w:tc>
        <w:tc>
          <w:tcPr>
            <w:tcW w:w="85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12</w:t>
            </w:r>
          </w:p>
        </w:tc>
        <w:tc>
          <w:tcPr>
            <w:tcW w:w="1477"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126.49</w:t>
            </w:r>
          </w:p>
        </w:tc>
        <w:tc>
          <w:tcPr>
            <w:tcW w:w="3372"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hint="eastAsia" w:ascii="宋体" w:hAnsi="宋体" w:cs="宋体"/>
                <w:kern w:val="0"/>
                <w:sz w:val="22"/>
                <w:szCs w:val="22"/>
              </w:rPr>
              <w:t>本年支出合计</w:t>
            </w:r>
          </w:p>
        </w:tc>
        <w:tc>
          <w:tcPr>
            <w:tcW w:w="68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29</w:t>
            </w:r>
          </w:p>
        </w:tc>
        <w:tc>
          <w:tcPr>
            <w:tcW w:w="3732" w:type="dxa"/>
            <w:gridSpan w:val="3"/>
            <w:tcBorders>
              <w:top w:val="single" w:color="auto" w:sz="4" w:space="0"/>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126.14</w:t>
            </w:r>
          </w:p>
        </w:tc>
      </w:tr>
      <w:tr>
        <w:tblPrEx>
          <w:tblCellMar>
            <w:top w:w="0" w:type="dxa"/>
            <w:left w:w="108" w:type="dxa"/>
            <w:bottom w:w="0" w:type="dxa"/>
            <w:right w:w="108" w:type="dxa"/>
          </w:tblCellMar>
        </w:tblPrEx>
        <w:trPr>
          <w:trHeight w:val="288" w:hRule="atLeast"/>
        </w:trPr>
        <w:tc>
          <w:tcPr>
            <w:tcW w:w="3652" w:type="dxa"/>
            <w:tcBorders>
              <w:top w:val="nil"/>
              <w:left w:val="single" w:color="auto" w:sz="4" w:space="0"/>
              <w:bottom w:val="single" w:color="auto" w:sz="4" w:space="0"/>
              <w:right w:val="single" w:color="auto" w:sz="4" w:space="0"/>
            </w:tcBorders>
          </w:tcPr>
          <w:p>
            <w:pPr>
              <w:widowControl/>
              <w:jc w:val="center"/>
              <w:rPr>
                <w:rFonts w:ascii="宋体"/>
                <w:color w:val="000000"/>
                <w:kern w:val="0"/>
                <w:sz w:val="22"/>
                <w:szCs w:val="22"/>
              </w:rPr>
            </w:pPr>
            <w:r>
              <w:rPr>
                <w:rFonts w:hint="eastAsia" w:ascii="宋体" w:hAnsi="宋体" w:cs="宋体"/>
                <w:kern w:val="0"/>
                <w:sz w:val="22"/>
                <w:szCs w:val="22"/>
              </w:rPr>
              <w:t>年初财政拨款结转和结余</w:t>
            </w:r>
          </w:p>
        </w:tc>
        <w:tc>
          <w:tcPr>
            <w:tcW w:w="85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13</w:t>
            </w:r>
          </w:p>
        </w:tc>
        <w:tc>
          <w:tcPr>
            <w:tcW w:w="1477"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96.21</w:t>
            </w:r>
          </w:p>
        </w:tc>
        <w:tc>
          <w:tcPr>
            <w:tcW w:w="3372"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hint="eastAsia" w:ascii="宋体" w:hAnsi="宋体" w:cs="宋体"/>
                <w:kern w:val="0"/>
                <w:sz w:val="22"/>
                <w:szCs w:val="22"/>
              </w:rPr>
              <w:t>年末财政拨款结转和结余</w:t>
            </w:r>
          </w:p>
        </w:tc>
        <w:tc>
          <w:tcPr>
            <w:tcW w:w="68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30</w:t>
            </w:r>
          </w:p>
        </w:tc>
        <w:tc>
          <w:tcPr>
            <w:tcW w:w="3732" w:type="dxa"/>
            <w:gridSpan w:val="3"/>
            <w:tcBorders>
              <w:top w:val="single" w:color="auto" w:sz="4" w:space="0"/>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96.57</w:t>
            </w:r>
          </w:p>
        </w:tc>
      </w:tr>
      <w:tr>
        <w:tblPrEx>
          <w:tblCellMar>
            <w:top w:w="0" w:type="dxa"/>
            <w:left w:w="108" w:type="dxa"/>
            <w:bottom w:w="0" w:type="dxa"/>
            <w:right w:w="108" w:type="dxa"/>
          </w:tblCellMar>
        </w:tblPrEx>
        <w:trPr>
          <w:trHeight w:val="288" w:hRule="atLeast"/>
        </w:trPr>
        <w:tc>
          <w:tcPr>
            <w:tcW w:w="3652" w:type="dxa"/>
            <w:tcBorders>
              <w:top w:val="nil"/>
              <w:left w:val="single" w:color="auto" w:sz="4" w:space="0"/>
              <w:bottom w:val="single" w:color="auto" w:sz="4" w:space="0"/>
              <w:right w:val="single" w:color="auto" w:sz="4" w:space="0"/>
            </w:tcBorders>
          </w:tcPr>
          <w:p>
            <w:pPr>
              <w:widowControl/>
              <w:ind w:firstLine="110" w:firstLineChars="50"/>
              <w:jc w:val="center"/>
              <w:rPr>
                <w:rFonts w:ascii="宋体"/>
                <w:kern w:val="0"/>
                <w:sz w:val="22"/>
                <w:szCs w:val="22"/>
              </w:rPr>
            </w:pPr>
            <w:r>
              <w:rPr>
                <w:rFonts w:hint="eastAsia" w:ascii="宋体" w:hAnsi="宋体" w:cs="宋体"/>
                <w:kern w:val="0"/>
                <w:sz w:val="22"/>
                <w:szCs w:val="22"/>
              </w:rPr>
              <w:t>一般公共预算财政拨款</w:t>
            </w:r>
          </w:p>
        </w:tc>
        <w:tc>
          <w:tcPr>
            <w:tcW w:w="85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14</w:t>
            </w:r>
          </w:p>
        </w:tc>
        <w:tc>
          <w:tcPr>
            <w:tcW w:w="1477"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96.21</w:t>
            </w:r>
          </w:p>
        </w:tc>
        <w:tc>
          <w:tcPr>
            <w:tcW w:w="3372"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31</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3652" w:type="dxa"/>
            <w:tcBorders>
              <w:top w:val="nil"/>
              <w:left w:val="single" w:color="auto" w:sz="4" w:space="0"/>
              <w:bottom w:val="single" w:color="auto" w:sz="4" w:space="0"/>
              <w:right w:val="single" w:color="auto" w:sz="4" w:space="0"/>
            </w:tcBorders>
          </w:tcPr>
          <w:p>
            <w:pPr>
              <w:widowControl/>
              <w:jc w:val="center"/>
              <w:rPr>
                <w:rFonts w:ascii="宋体"/>
                <w:color w:val="000000"/>
                <w:kern w:val="0"/>
                <w:sz w:val="22"/>
                <w:szCs w:val="22"/>
              </w:rPr>
            </w:pPr>
            <w:r>
              <w:rPr>
                <w:rFonts w:hint="eastAsia" w:ascii="宋体" w:hAnsi="宋体" w:cs="宋体"/>
                <w:kern w:val="0"/>
                <w:sz w:val="22"/>
                <w:szCs w:val="22"/>
              </w:rPr>
              <w:t>政府性基金预算财政拨款</w:t>
            </w:r>
          </w:p>
        </w:tc>
        <w:tc>
          <w:tcPr>
            <w:tcW w:w="85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15</w:t>
            </w:r>
          </w:p>
        </w:tc>
        <w:tc>
          <w:tcPr>
            <w:tcW w:w="1477"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cs="宋体"/>
                <w:color w:val="000000"/>
                <w:kern w:val="0"/>
                <w:sz w:val="22"/>
                <w:szCs w:val="22"/>
              </w:rPr>
              <w:t>0</w:t>
            </w:r>
          </w:p>
        </w:tc>
        <w:tc>
          <w:tcPr>
            <w:tcW w:w="3372"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32</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3652"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16</w:t>
            </w:r>
          </w:p>
        </w:tc>
        <w:tc>
          <w:tcPr>
            <w:tcW w:w="147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33</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3652" w:type="dxa"/>
            <w:tcBorders>
              <w:top w:val="nil"/>
              <w:left w:val="single" w:color="auto" w:sz="4" w:space="0"/>
              <w:bottom w:val="single" w:color="auto" w:sz="4" w:space="0"/>
              <w:right w:val="single" w:color="auto" w:sz="4" w:space="0"/>
            </w:tcBorders>
          </w:tcPr>
          <w:p>
            <w:pPr>
              <w:widowControl/>
              <w:jc w:val="center"/>
              <w:rPr>
                <w:rFonts w:ascii="宋体"/>
                <w:color w:val="000000"/>
                <w:kern w:val="0"/>
                <w:sz w:val="22"/>
                <w:szCs w:val="22"/>
              </w:rPr>
            </w:pPr>
            <w:r>
              <w:rPr>
                <w:rFonts w:hint="eastAsia" w:ascii="宋体" w:hAnsi="宋体" w:cs="宋体"/>
                <w:kern w:val="0"/>
                <w:sz w:val="22"/>
                <w:szCs w:val="22"/>
              </w:rPr>
              <w:t>合计</w:t>
            </w:r>
          </w:p>
        </w:tc>
        <w:tc>
          <w:tcPr>
            <w:tcW w:w="85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17</w:t>
            </w:r>
          </w:p>
        </w:tc>
        <w:tc>
          <w:tcPr>
            <w:tcW w:w="1477"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222.7</w:t>
            </w:r>
            <w:r>
              <w:rPr>
                <w:rFonts w:ascii="宋体" w:cs="宋体"/>
                <w:color w:val="000000"/>
                <w:kern w:val="0"/>
                <w:sz w:val="22"/>
                <w:szCs w:val="22"/>
              </w:rPr>
              <w:t>0</w:t>
            </w:r>
          </w:p>
        </w:tc>
        <w:tc>
          <w:tcPr>
            <w:tcW w:w="3372"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hint="eastAsia" w:ascii="宋体" w:hAnsi="宋体" w:cs="宋体"/>
                <w:kern w:val="0"/>
                <w:sz w:val="22"/>
                <w:szCs w:val="22"/>
              </w:rPr>
              <w:t>合计</w:t>
            </w:r>
          </w:p>
        </w:tc>
        <w:tc>
          <w:tcPr>
            <w:tcW w:w="68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34</w:t>
            </w:r>
          </w:p>
        </w:tc>
        <w:tc>
          <w:tcPr>
            <w:tcW w:w="3732" w:type="dxa"/>
            <w:gridSpan w:val="3"/>
            <w:tcBorders>
              <w:top w:val="single" w:color="auto" w:sz="4" w:space="0"/>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222.70</w:t>
            </w:r>
          </w:p>
        </w:tc>
      </w:tr>
    </w:tbl>
    <w:p>
      <w:pPr>
        <w:jc w:val="right"/>
        <w:rPr>
          <w:sz w:val="22"/>
          <w:szCs w:val="22"/>
        </w:rPr>
      </w:pPr>
      <w:r>
        <w:rPr>
          <w:rFonts w:hint="eastAsia" w:cs="宋体"/>
          <w:sz w:val="22"/>
          <w:szCs w:val="22"/>
        </w:rPr>
        <w:t>单位：万元</w:t>
      </w:r>
    </w:p>
    <w:p>
      <w:r>
        <w:rPr>
          <w:rFonts w:hint="eastAsia" w:cs="宋体"/>
        </w:rPr>
        <w:t>注：本表反映本年度一般公共预算财政拨款和政府性基金预算财政拨款的总收支和年末结转结余情况。</w:t>
      </w:r>
    </w:p>
    <w:p>
      <w:pPr>
        <w:jc w:val="center"/>
        <w:rPr>
          <w:rFonts w:ascii="方正小标宋简体" w:hAnsi="宋体" w:eastAsia="方正小标宋简体"/>
          <w:kern w:val="0"/>
          <w:sz w:val="36"/>
          <w:szCs w:val="36"/>
        </w:rPr>
      </w:pPr>
      <w:r>
        <w:rPr>
          <w:rFonts w:hint="eastAsia" w:ascii="方正小标宋简体" w:hAnsi="宋体" w:eastAsia="方正小标宋简体" w:cs="方正小标宋简体"/>
          <w:kern w:val="0"/>
          <w:sz w:val="36"/>
          <w:szCs w:val="36"/>
        </w:rPr>
        <w:t>表五：</w:t>
      </w:r>
      <w:r>
        <w:rPr>
          <w:rFonts w:hint="eastAsia" w:ascii="方正小标宋简体" w:eastAsia="方正小标宋简体" w:cs="方正小标宋简体"/>
          <w:sz w:val="36"/>
          <w:szCs w:val="36"/>
        </w:rPr>
        <w:t>一般</w:t>
      </w:r>
      <w:r>
        <w:rPr>
          <w:rFonts w:hint="eastAsia" w:ascii="方正小标宋简体" w:hAnsi="宋体" w:eastAsia="方正小标宋简体" w:cs="方正小标宋简体"/>
          <w:kern w:val="0"/>
          <w:sz w:val="36"/>
          <w:szCs w:val="36"/>
        </w:rPr>
        <w:t>公共预算财政拨款支出决算表</w:t>
      </w:r>
    </w:p>
    <w:p>
      <w:pPr>
        <w:jc w:val="right"/>
        <w:rPr>
          <w:rFonts w:ascii="宋体"/>
          <w:kern w:val="0"/>
          <w:sz w:val="22"/>
          <w:szCs w:val="22"/>
        </w:rPr>
      </w:pPr>
      <w:r>
        <w:rPr>
          <w:rFonts w:hint="eastAsia" w:ascii="宋体" w:hAnsi="宋体" w:cs="宋体"/>
          <w:kern w:val="0"/>
          <w:sz w:val="22"/>
          <w:szCs w:val="22"/>
        </w:rPr>
        <w:t>单位：万元</w:t>
      </w:r>
    </w:p>
    <w:tbl>
      <w:tblPr>
        <w:tblStyle w:val="5"/>
        <w:tblW w:w="13228" w:type="dxa"/>
        <w:jc w:val="center"/>
        <w:tblLayout w:type="fixed"/>
        <w:tblCellMar>
          <w:top w:w="0" w:type="dxa"/>
          <w:left w:w="108" w:type="dxa"/>
          <w:bottom w:w="0" w:type="dxa"/>
          <w:right w:w="108" w:type="dxa"/>
        </w:tblCellMar>
      </w:tblPr>
      <w:tblGrid>
        <w:gridCol w:w="1283"/>
        <w:gridCol w:w="3881"/>
        <w:gridCol w:w="2019"/>
        <w:gridCol w:w="2900"/>
        <w:gridCol w:w="3145"/>
      </w:tblGrid>
      <w:tr>
        <w:tblPrEx>
          <w:tblCellMar>
            <w:top w:w="0" w:type="dxa"/>
            <w:left w:w="108" w:type="dxa"/>
            <w:bottom w:w="0" w:type="dxa"/>
            <w:right w:w="108" w:type="dxa"/>
          </w:tblCellMar>
        </w:tblPrEx>
        <w:trPr>
          <w:trHeight w:val="300" w:hRule="atLeast"/>
          <w:jc w:val="center"/>
        </w:trPr>
        <w:tc>
          <w:tcPr>
            <w:tcW w:w="516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cs="宋体"/>
                <w:kern w:val="0"/>
                <w:sz w:val="22"/>
                <w:szCs w:val="22"/>
              </w:rPr>
              <w:t>支出功能</w:t>
            </w:r>
            <w:r>
              <w:rPr>
                <w:rFonts w:hint="eastAsia" w:ascii="MingLiU" w:hAnsi="MingLiU" w:eastAsia="MingLiU" w:cs="MingLiU"/>
                <w:kern w:val="0"/>
                <w:sz w:val="22"/>
                <w:szCs w:val="22"/>
              </w:rPr>
              <w:t>项</w:t>
            </w:r>
            <w:r>
              <w:rPr>
                <w:rFonts w:ascii="MingLiU" w:hAnsi="MingLiU" w:eastAsia="MingLiU" w:cs="MingLiU"/>
                <w:kern w:val="0"/>
                <w:sz w:val="22"/>
                <w:szCs w:val="22"/>
              </w:rPr>
              <w:t xml:space="preserve"> </w:t>
            </w:r>
            <w:r>
              <w:rPr>
                <w:rFonts w:hint="eastAsia" w:ascii="MingLiU" w:hAnsi="MingLiU" w:eastAsia="MingLiU" w:cs="MingLiU"/>
                <w:kern w:val="0"/>
                <w:sz w:val="22"/>
                <w:szCs w:val="22"/>
              </w:rPr>
              <w:t>目</w:t>
            </w:r>
          </w:p>
        </w:tc>
        <w:tc>
          <w:tcPr>
            <w:tcW w:w="201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MingLiU"/>
                <w:kern w:val="0"/>
                <w:sz w:val="22"/>
                <w:szCs w:val="22"/>
              </w:rPr>
              <w:t>合计</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MingLiU"/>
                <w:kern w:val="0"/>
                <w:sz w:val="22"/>
                <w:szCs w:val="22"/>
              </w:rPr>
              <w:t>基本支出</w:t>
            </w:r>
          </w:p>
        </w:tc>
        <w:tc>
          <w:tcPr>
            <w:tcW w:w="314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MingLiU"/>
                <w:kern w:val="0"/>
                <w:sz w:val="22"/>
                <w:szCs w:val="22"/>
              </w:rPr>
              <w:t>项目支出</w:t>
            </w:r>
          </w:p>
        </w:tc>
      </w:tr>
      <w:tr>
        <w:tblPrEx>
          <w:tblCellMar>
            <w:top w:w="0" w:type="dxa"/>
            <w:left w:w="108" w:type="dxa"/>
            <w:bottom w:w="0" w:type="dxa"/>
            <w:right w:w="108" w:type="dxa"/>
          </w:tblCellMar>
        </w:tblPrEx>
        <w:trPr>
          <w:trHeight w:val="300" w:hRule="atLeast"/>
          <w:jc w:val="center"/>
        </w:trPr>
        <w:tc>
          <w:tcPr>
            <w:tcW w:w="1283" w:type="dxa"/>
            <w:tcBorders>
              <w:top w:val="nil"/>
              <w:left w:val="single" w:color="auto" w:sz="4" w:space="0"/>
              <w:bottom w:val="single" w:color="auto" w:sz="4" w:space="0"/>
              <w:right w:val="single" w:color="auto" w:sz="4" w:space="0"/>
            </w:tcBorders>
            <w:vAlign w:val="center"/>
          </w:tcPr>
          <w:p>
            <w:pPr>
              <w:widowControl/>
              <w:rPr>
                <w:rFonts w:ascii="MingLiU" w:hAnsi="MingLiU" w:eastAsia="MingLiU"/>
                <w:kern w:val="0"/>
                <w:sz w:val="22"/>
                <w:szCs w:val="22"/>
              </w:rPr>
            </w:pPr>
            <w:r>
              <w:rPr>
                <w:rFonts w:hint="eastAsia" w:ascii="MingLiU" w:hAnsi="MingLiU" w:cs="宋体"/>
                <w:kern w:val="0"/>
                <w:sz w:val="22"/>
                <w:szCs w:val="22"/>
              </w:rPr>
              <w:t>支出功能分类</w:t>
            </w:r>
            <w:r>
              <w:rPr>
                <w:rFonts w:hint="eastAsia" w:ascii="MingLiU" w:hAnsi="MingLiU" w:eastAsia="MingLiU" w:cs="MingLiU"/>
                <w:kern w:val="0"/>
                <w:sz w:val="22"/>
                <w:szCs w:val="22"/>
              </w:rPr>
              <w:t>科目编码</w:t>
            </w:r>
          </w:p>
        </w:tc>
        <w:tc>
          <w:tcPr>
            <w:tcW w:w="3881"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MingLiU"/>
                <w:kern w:val="0"/>
                <w:sz w:val="22"/>
                <w:szCs w:val="22"/>
              </w:rPr>
              <w:t>科目名称</w:t>
            </w:r>
          </w:p>
        </w:tc>
        <w:tc>
          <w:tcPr>
            <w:tcW w:w="20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31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5164"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MingLiU"/>
                <w:b/>
                <w:bCs/>
                <w:kern w:val="0"/>
                <w:sz w:val="18"/>
                <w:szCs w:val="18"/>
              </w:rPr>
              <w:t>栏次</w:t>
            </w:r>
          </w:p>
        </w:tc>
        <w:tc>
          <w:tcPr>
            <w:tcW w:w="2019"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90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3145"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3</w:t>
            </w:r>
          </w:p>
        </w:tc>
      </w:tr>
      <w:tr>
        <w:tblPrEx>
          <w:tblCellMar>
            <w:top w:w="0" w:type="dxa"/>
            <w:left w:w="108" w:type="dxa"/>
            <w:bottom w:w="0" w:type="dxa"/>
            <w:right w:w="108" w:type="dxa"/>
          </w:tblCellMar>
        </w:tblPrEx>
        <w:trPr>
          <w:trHeight w:val="300" w:hRule="atLeast"/>
          <w:jc w:val="center"/>
        </w:trPr>
        <w:tc>
          <w:tcPr>
            <w:tcW w:w="5164"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MingLiU"/>
                <w:kern w:val="0"/>
                <w:sz w:val="22"/>
                <w:szCs w:val="22"/>
              </w:rPr>
              <w:t>合计</w:t>
            </w:r>
          </w:p>
        </w:tc>
        <w:tc>
          <w:tcPr>
            <w:tcW w:w="2019"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126.14</w:t>
            </w:r>
          </w:p>
        </w:tc>
        <w:tc>
          <w:tcPr>
            <w:tcW w:w="290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126.14</w:t>
            </w:r>
          </w:p>
        </w:tc>
        <w:tc>
          <w:tcPr>
            <w:tcW w:w="3145" w:type="dxa"/>
            <w:tcBorders>
              <w:top w:val="nil"/>
              <w:left w:val="nil"/>
              <w:bottom w:val="single" w:color="auto" w:sz="4" w:space="0"/>
              <w:right w:val="single" w:color="auto" w:sz="4" w:space="0"/>
            </w:tcBorders>
          </w:tcPr>
          <w:p>
            <w:pPr>
              <w:widowControl/>
              <w:ind w:firstLine="2400" w:firstLineChars="1200"/>
              <w:jc w:val="left"/>
              <w:rPr>
                <w:rFonts w:ascii="Arial" w:hAnsi="Arial" w:cs="Arial"/>
                <w:color w:val="000000"/>
                <w:kern w:val="0"/>
                <w:sz w:val="20"/>
                <w:szCs w:val="20"/>
              </w:rPr>
            </w:pPr>
            <w:r>
              <w:rPr>
                <w:rFonts w:hint="eastAsia" w:ascii="Arial" w:hAnsi="Arial" w:cs="宋体"/>
                <w:color w:val="000000"/>
                <w:kern w:val="0"/>
                <w:sz w:val="20"/>
                <w:szCs w:val="20"/>
              </w:rPr>
              <w:t>　</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201</w:t>
            </w:r>
          </w:p>
        </w:tc>
        <w:tc>
          <w:tcPr>
            <w:tcW w:w="3881" w:type="dxa"/>
            <w:tcBorders>
              <w:top w:val="nil"/>
              <w:left w:val="nil"/>
              <w:bottom w:val="single" w:color="auto" w:sz="4" w:space="0"/>
              <w:right w:val="single" w:color="auto" w:sz="4" w:space="0"/>
            </w:tcBorders>
          </w:tcPr>
          <w:p>
            <w:pPr>
              <w:widowControl/>
              <w:rPr>
                <w:rFonts w:ascii="宋体"/>
                <w:color w:val="000000"/>
                <w:kern w:val="0"/>
                <w:sz w:val="22"/>
                <w:szCs w:val="22"/>
              </w:rPr>
            </w:pPr>
            <w:r>
              <w:rPr>
                <w:rFonts w:hint="eastAsia" w:ascii="宋体" w:hAnsi="宋体" w:cs="宋体"/>
                <w:color w:val="000000"/>
                <w:kern w:val="0"/>
                <w:sz w:val="22"/>
                <w:szCs w:val="22"/>
              </w:rPr>
              <w:t>一般公共服务支出</w:t>
            </w:r>
          </w:p>
        </w:tc>
        <w:tc>
          <w:tcPr>
            <w:tcW w:w="2019"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104.99</w:t>
            </w:r>
          </w:p>
        </w:tc>
        <w:tc>
          <w:tcPr>
            <w:tcW w:w="290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104.99</w:t>
            </w:r>
          </w:p>
        </w:tc>
        <w:tc>
          <w:tcPr>
            <w:tcW w:w="3145" w:type="dxa"/>
            <w:tcBorders>
              <w:top w:val="nil"/>
              <w:left w:val="nil"/>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r>
              <w:rPr>
                <w:rFonts w:hint="eastAsia" w:ascii="Arial" w:hAnsi="Arial" w:cs="宋体"/>
                <w:color w:val="000000"/>
                <w:kern w:val="0"/>
                <w:sz w:val="20"/>
                <w:szCs w:val="20"/>
              </w:rPr>
              <w:t>　</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20103</w:t>
            </w:r>
          </w:p>
        </w:tc>
        <w:tc>
          <w:tcPr>
            <w:tcW w:w="3881"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政府办公厅（室）及相关机构事务</w:t>
            </w:r>
          </w:p>
        </w:tc>
        <w:tc>
          <w:tcPr>
            <w:tcW w:w="2019"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104.99</w:t>
            </w:r>
          </w:p>
        </w:tc>
        <w:tc>
          <w:tcPr>
            <w:tcW w:w="290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104.99</w:t>
            </w:r>
          </w:p>
        </w:tc>
        <w:tc>
          <w:tcPr>
            <w:tcW w:w="3145" w:type="dxa"/>
            <w:tcBorders>
              <w:top w:val="nil"/>
              <w:left w:val="nil"/>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2010301</w:t>
            </w:r>
          </w:p>
        </w:tc>
        <w:tc>
          <w:tcPr>
            <w:tcW w:w="3881"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行政运行</w:t>
            </w:r>
          </w:p>
        </w:tc>
        <w:tc>
          <w:tcPr>
            <w:tcW w:w="2019"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56.82</w:t>
            </w:r>
          </w:p>
        </w:tc>
        <w:tc>
          <w:tcPr>
            <w:tcW w:w="290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56.82</w:t>
            </w:r>
          </w:p>
        </w:tc>
        <w:tc>
          <w:tcPr>
            <w:tcW w:w="3145" w:type="dxa"/>
            <w:tcBorders>
              <w:top w:val="nil"/>
              <w:left w:val="nil"/>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2010302</w:t>
            </w:r>
          </w:p>
        </w:tc>
        <w:tc>
          <w:tcPr>
            <w:tcW w:w="3881"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一般行政管理事务</w:t>
            </w:r>
          </w:p>
        </w:tc>
        <w:tc>
          <w:tcPr>
            <w:tcW w:w="2019"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48.17</w:t>
            </w:r>
          </w:p>
        </w:tc>
        <w:tc>
          <w:tcPr>
            <w:tcW w:w="290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48.17</w:t>
            </w:r>
          </w:p>
        </w:tc>
        <w:tc>
          <w:tcPr>
            <w:tcW w:w="3145" w:type="dxa"/>
            <w:tcBorders>
              <w:top w:val="nil"/>
              <w:left w:val="nil"/>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208</w:t>
            </w:r>
          </w:p>
        </w:tc>
        <w:tc>
          <w:tcPr>
            <w:tcW w:w="3881"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社会保障和就业支出</w:t>
            </w:r>
          </w:p>
        </w:tc>
        <w:tc>
          <w:tcPr>
            <w:tcW w:w="2019"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11.78</w:t>
            </w:r>
          </w:p>
        </w:tc>
        <w:tc>
          <w:tcPr>
            <w:tcW w:w="290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11.78</w:t>
            </w:r>
          </w:p>
        </w:tc>
        <w:tc>
          <w:tcPr>
            <w:tcW w:w="3145" w:type="dxa"/>
            <w:tcBorders>
              <w:top w:val="nil"/>
              <w:left w:val="nil"/>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20805</w:t>
            </w:r>
          </w:p>
        </w:tc>
        <w:tc>
          <w:tcPr>
            <w:tcW w:w="3881"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行政事业单位养老支出</w:t>
            </w:r>
          </w:p>
        </w:tc>
        <w:tc>
          <w:tcPr>
            <w:tcW w:w="2019"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11.78</w:t>
            </w:r>
          </w:p>
        </w:tc>
        <w:tc>
          <w:tcPr>
            <w:tcW w:w="290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11.78</w:t>
            </w:r>
          </w:p>
        </w:tc>
        <w:tc>
          <w:tcPr>
            <w:tcW w:w="3145" w:type="dxa"/>
            <w:tcBorders>
              <w:top w:val="nil"/>
              <w:left w:val="nil"/>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2080501</w:t>
            </w:r>
          </w:p>
        </w:tc>
        <w:tc>
          <w:tcPr>
            <w:tcW w:w="3881"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行政单位离退休</w:t>
            </w:r>
          </w:p>
        </w:tc>
        <w:tc>
          <w:tcPr>
            <w:tcW w:w="2019"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1.99</w:t>
            </w:r>
          </w:p>
        </w:tc>
        <w:tc>
          <w:tcPr>
            <w:tcW w:w="290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1.99</w:t>
            </w:r>
          </w:p>
        </w:tc>
        <w:tc>
          <w:tcPr>
            <w:tcW w:w="3145" w:type="dxa"/>
            <w:tcBorders>
              <w:top w:val="nil"/>
              <w:left w:val="nil"/>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2080505</w:t>
            </w:r>
          </w:p>
        </w:tc>
        <w:tc>
          <w:tcPr>
            <w:tcW w:w="3881"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机关事业单位基本养老保险缴费支出</w:t>
            </w:r>
          </w:p>
        </w:tc>
        <w:tc>
          <w:tcPr>
            <w:tcW w:w="2019"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6.45</w:t>
            </w:r>
          </w:p>
        </w:tc>
        <w:tc>
          <w:tcPr>
            <w:tcW w:w="290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6.45</w:t>
            </w:r>
          </w:p>
        </w:tc>
        <w:tc>
          <w:tcPr>
            <w:tcW w:w="3145" w:type="dxa"/>
            <w:tcBorders>
              <w:top w:val="nil"/>
              <w:left w:val="nil"/>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2080506</w:t>
            </w:r>
          </w:p>
        </w:tc>
        <w:tc>
          <w:tcPr>
            <w:tcW w:w="3881"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机关事业单位职业年金缴费支出</w:t>
            </w:r>
          </w:p>
        </w:tc>
        <w:tc>
          <w:tcPr>
            <w:tcW w:w="2019"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3.34</w:t>
            </w:r>
          </w:p>
        </w:tc>
        <w:tc>
          <w:tcPr>
            <w:tcW w:w="290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3.34</w:t>
            </w:r>
          </w:p>
        </w:tc>
        <w:tc>
          <w:tcPr>
            <w:tcW w:w="3145" w:type="dxa"/>
            <w:tcBorders>
              <w:top w:val="nil"/>
              <w:left w:val="nil"/>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210</w:t>
            </w:r>
          </w:p>
        </w:tc>
        <w:tc>
          <w:tcPr>
            <w:tcW w:w="3881"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卫生健康支出</w:t>
            </w:r>
          </w:p>
        </w:tc>
        <w:tc>
          <w:tcPr>
            <w:tcW w:w="2019"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4.97</w:t>
            </w:r>
          </w:p>
        </w:tc>
        <w:tc>
          <w:tcPr>
            <w:tcW w:w="290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4.97</w:t>
            </w:r>
          </w:p>
        </w:tc>
        <w:tc>
          <w:tcPr>
            <w:tcW w:w="3145" w:type="dxa"/>
            <w:tcBorders>
              <w:top w:val="nil"/>
              <w:left w:val="nil"/>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21011</w:t>
            </w:r>
          </w:p>
        </w:tc>
        <w:tc>
          <w:tcPr>
            <w:tcW w:w="3881"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行政事业单位医疗</w:t>
            </w:r>
          </w:p>
        </w:tc>
        <w:tc>
          <w:tcPr>
            <w:tcW w:w="2019"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4.97</w:t>
            </w:r>
          </w:p>
        </w:tc>
        <w:tc>
          <w:tcPr>
            <w:tcW w:w="290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4.97</w:t>
            </w:r>
          </w:p>
        </w:tc>
        <w:tc>
          <w:tcPr>
            <w:tcW w:w="3145" w:type="dxa"/>
            <w:tcBorders>
              <w:top w:val="nil"/>
              <w:left w:val="nil"/>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2101101</w:t>
            </w:r>
          </w:p>
        </w:tc>
        <w:tc>
          <w:tcPr>
            <w:tcW w:w="3881"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行政单位医疗</w:t>
            </w:r>
          </w:p>
        </w:tc>
        <w:tc>
          <w:tcPr>
            <w:tcW w:w="2019"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4.65</w:t>
            </w:r>
          </w:p>
        </w:tc>
        <w:tc>
          <w:tcPr>
            <w:tcW w:w="290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4.65</w:t>
            </w:r>
          </w:p>
        </w:tc>
        <w:tc>
          <w:tcPr>
            <w:tcW w:w="3145" w:type="dxa"/>
            <w:tcBorders>
              <w:top w:val="nil"/>
              <w:left w:val="nil"/>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2101103</w:t>
            </w:r>
          </w:p>
        </w:tc>
        <w:tc>
          <w:tcPr>
            <w:tcW w:w="3881"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公务员医疗补助</w:t>
            </w:r>
          </w:p>
        </w:tc>
        <w:tc>
          <w:tcPr>
            <w:tcW w:w="2019"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0.32</w:t>
            </w:r>
          </w:p>
        </w:tc>
        <w:tc>
          <w:tcPr>
            <w:tcW w:w="290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0.32</w:t>
            </w:r>
          </w:p>
        </w:tc>
        <w:tc>
          <w:tcPr>
            <w:tcW w:w="3145" w:type="dxa"/>
            <w:tcBorders>
              <w:top w:val="nil"/>
              <w:left w:val="nil"/>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221</w:t>
            </w:r>
          </w:p>
        </w:tc>
        <w:tc>
          <w:tcPr>
            <w:tcW w:w="3881"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住房保障支出</w:t>
            </w:r>
          </w:p>
        </w:tc>
        <w:tc>
          <w:tcPr>
            <w:tcW w:w="2019"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4.40</w:t>
            </w:r>
          </w:p>
        </w:tc>
        <w:tc>
          <w:tcPr>
            <w:tcW w:w="290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4.4</w:t>
            </w:r>
          </w:p>
        </w:tc>
        <w:tc>
          <w:tcPr>
            <w:tcW w:w="3145" w:type="dxa"/>
            <w:tcBorders>
              <w:top w:val="nil"/>
              <w:left w:val="nil"/>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r>
              <w:rPr>
                <w:rFonts w:hint="eastAsia" w:ascii="Arial" w:hAnsi="Arial" w:cs="宋体"/>
                <w:color w:val="000000"/>
                <w:kern w:val="0"/>
                <w:sz w:val="20"/>
                <w:szCs w:val="20"/>
              </w:rPr>
              <w:t>　</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22102</w:t>
            </w:r>
          </w:p>
        </w:tc>
        <w:tc>
          <w:tcPr>
            <w:tcW w:w="3881"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住房改革支出</w:t>
            </w:r>
          </w:p>
        </w:tc>
        <w:tc>
          <w:tcPr>
            <w:tcW w:w="2019"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4.40</w:t>
            </w:r>
          </w:p>
        </w:tc>
        <w:tc>
          <w:tcPr>
            <w:tcW w:w="290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4.4</w:t>
            </w:r>
          </w:p>
        </w:tc>
        <w:tc>
          <w:tcPr>
            <w:tcW w:w="3145" w:type="dxa"/>
            <w:tcBorders>
              <w:top w:val="nil"/>
              <w:left w:val="nil"/>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r>
              <w:rPr>
                <w:rFonts w:hint="eastAsia" w:ascii="Arial" w:hAnsi="Arial" w:cs="宋体"/>
                <w:color w:val="000000"/>
                <w:kern w:val="0"/>
                <w:sz w:val="20"/>
                <w:szCs w:val="20"/>
              </w:rPr>
              <w:t>　</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2210201</w:t>
            </w:r>
          </w:p>
        </w:tc>
        <w:tc>
          <w:tcPr>
            <w:tcW w:w="3881"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住房公积金</w:t>
            </w:r>
          </w:p>
        </w:tc>
        <w:tc>
          <w:tcPr>
            <w:tcW w:w="2019"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4.40</w:t>
            </w:r>
          </w:p>
        </w:tc>
        <w:tc>
          <w:tcPr>
            <w:tcW w:w="290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4.4</w:t>
            </w:r>
          </w:p>
        </w:tc>
        <w:tc>
          <w:tcPr>
            <w:tcW w:w="3145" w:type="dxa"/>
            <w:tcBorders>
              <w:top w:val="nil"/>
              <w:left w:val="nil"/>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r>
              <w:rPr>
                <w:rFonts w:hint="eastAsia" w:ascii="Arial" w:hAnsi="Arial" w:cs="宋体"/>
                <w:color w:val="000000"/>
                <w:kern w:val="0"/>
                <w:sz w:val="20"/>
                <w:szCs w:val="20"/>
              </w:rPr>
              <w:t>　</w:t>
            </w:r>
          </w:p>
        </w:tc>
      </w:tr>
    </w:tbl>
    <w:p/>
    <w:p>
      <w:r>
        <w:rPr>
          <w:rFonts w:hint="eastAsia" w:cs="宋体"/>
        </w:rPr>
        <w:t>注：本表反映本年度一般公共预算财政拨款实际支出情况。</w:t>
      </w:r>
    </w:p>
    <w:p>
      <w:pPr>
        <w:sectPr>
          <w:footerReference r:id="rId5" w:type="default"/>
          <w:pgSz w:w="16838" w:h="11906" w:orient="landscape"/>
          <w:pgMar w:top="1377" w:right="1440" w:bottom="1797" w:left="1440" w:header="851" w:footer="992" w:gutter="0"/>
          <w:pgNumType w:fmt="numberInDash"/>
          <w:cols w:space="720" w:num="1"/>
          <w:docGrid w:type="lines" w:linePitch="312" w:charSpace="0"/>
        </w:sectPr>
      </w:pPr>
    </w:p>
    <w:p>
      <w:pPr>
        <w:jc w:val="center"/>
        <w:rPr>
          <w:rFonts w:ascii="方正小标宋简体" w:hAnsi="宋体" w:eastAsia="方正小标宋简体"/>
          <w:kern w:val="0"/>
          <w:sz w:val="36"/>
          <w:szCs w:val="36"/>
        </w:rPr>
      </w:pPr>
      <w:r>
        <w:rPr>
          <w:rFonts w:hint="eastAsia" w:ascii="方正小标宋简体" w:hAnsi="宋体" w:eastAsia="方正小标宋简体" w:cs="方正小标宋简体"/>
          <w:kern w:val="0"/>
          <w:sz w:val="36"/>
          <w:szCs w:val="36"/>
        </w:rPr>
        <w:t>表六</w:t>
      </w:r>
      <w:r>
        <w:rPr>
          <w:rFonts w:hint="eastAsia" w:ascii="方正小标宋简体" w:hAnsi="宋体" w:eastAsia="方正小标宋简体" w:cs="方正小标宋简体"/>
          <w:color w:val="000000"/>
          <w:kern w:val="0"/>
          <w:sz w:val="36"/>
          <w:szCs w:val="36"/>
        </w:rPr>
        <w:t>：</w:t>
      </w:r>
      <w:r>
        <w:rPr>
          <w:rFonts w:hint="eastAsia" w:ascii="方正小标宋简体" w:eastAsia="方正小标宋简体" w:cs="方正小标宋简体"/>
          <w:color w:val="000000"/>
          <w:sz w:val="36"/>
          <w:szCs w:val="36"/>
        </w:rPr>
        <w:t>一般</w:t>
      </w:r>
      <w:r>
        <w:rPr>
          <w:rFonts w:hint="eastAsia" w:ascii="方正小标宋简体" w:hAnsi="宋体" w:eastAsia="方正小标宋简体" w:cs="方正小标宋简体"/>
          <w:color w:val="000000"/>
          <w:kern w:val="0"/>
          <w:sz w:val="36"/>
          <w:szCs w:val="36"/>
        </w:rPr>
        <w:t>公共预算财政拨</w:t>
      </w:r>
      <w:r>
        <w:rPr>
          <w:rFonts w:hint="eastAsia" w:ascii="方正小标宋简体" w:hAnsi="宋体" w:eastAsia="方正小标宋简体" w:cs="方正小标宋简体"/>
          <w:kern w:val="0"/>
          <w:sz w:val="36"/>
          <w:szCs w:val="36"/>
        </w:rPr>
        <w:t>款基本支出决算表</w:t>
      </w:r>
    </w:p>
    <w:p>
      <w:pPr>
        <w:jc w:val="center"/>
        <w:rPr>
          <w:rFonts w:ascii="方正小标宋简体" w:hAnsi="宋体" w:eastAsia="方正小标宋简体"/>
          <w:kern w:val="0"/>
          <w:sz w:val="36"/>
          <w:szCs w:val="36"/>
        </w:rPr>
      </w:pPr>
    </w:p>
    <w:p>
      <w:pPr>
        <w:ind w:right="330"/>
        <w:jc w:val="right"/>
        <w:rPr>
          <w:rFonts w:ascii="宋体"/>
          <w:kern w:val="0"/>
          <w:sz w:val="22"/>
          <w:szCs w:val="22"/>
        </w:rPr>
      </w:pPr>
      <w:r>
        <w:rPr>
          <w:rFonts w:hint="eastAsia" w:ascii="宋体" w:hAnsi="宋体" w:cs="宋体"/>
          <w:kern w:val="0"/>
          <w:sz w:val="22"/>
          <w:szCs w:val="22"/>
        </w:rPr>
        <w:t>单位：万元</w:t>
      </w:r>
    </w:p>
    <w:tbl>
      <w:tblPr>
        <w:tblStyle w:val="5"/>
        <w:tblW w:w="9151" w:type="dxa"/>
        <w:jc w:val="center"/>
        <w:tblLayout w:type="fixed"/>
        <w:tblCellMar>
          <w:top w:w="0" w:type="dxa"/>
          <w:left w:w="108" w:type="dxa"/>
          <w:bottom w:w="0" w:type="dxa"/>
          <w:right w:w="108" w:type="dxa"/>
        </w:tblCellMar>
      </w:tblPr>
      <w:tblGrid>
        <w:gridCol w:w="916"/>
        <w:gridCol w:w="3068"/>
        <w:gridCol w:w="1003"/>
        <w:gridCol w:w="982"/>
        <w:gridCol w:w="1577"/>
        <w:gridCol w:w="1605"/>
      </w:tblGrid>
      <w:tr>
        <w:tblPrEx>
          <w:tblCellMar>
            <w:top w:w="0" w:type="dxa"/>
            <w:left w:w="108" w:type="dxa"/>
            <w:bottom w:w="0" w:type="dxa"/>
            <w:right w:w="108" w:type="dxa"/>
          </w:tblCellMar>
        </w:tblPrEx>
        <w:trPr>
          <w:wAfter w:w="0" w:type="auto"/>
          <w:trHeight w:val="564" w:hRule="atLeast"/>
          <w:jc w:val="center"/>
        </w:trPr>
        <w:tc>
          <w:tcPr>
            <w:tcW w:w="498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人员经费</w:t>
            </w:r>
          </w:p>
        </w:tc>
        <w:tc>
          <w:tcPr>
            <w:tcW w:w="4164" w:type="dxa"/>
            <w:gridSpan w:val="3"/>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公用经费</w:t>
            </w:r>
          </w:p>
        </w:tc>
      </w:tr>
      <w:tr>
        <w:tblPrEx>
          <w:tblCellMar>
            <w:top w:w="0" w:type="dxa"/>
            <w:left w:w="108" w:type="dxa"/>
            <w:bottom w:w="0" w:type="dxa"/>
            <w:right w:w="108" w:type="dxa"/>
          </w:tblCellMar>
        </w:tblPrEx>
        <w:trPr>
          <w:wAfter w:w="0" w:type="auto"/>
          <w:trHeight w:val="312" w:hRule="atLeast"/>
          <w:jc w:val="center"/>
        </w:trPr>
        <w:tc>
          <w:tcPr>
            <w:tcW w:w="916" w:type="dxa"/>
            <w:tcBorders>
              <w:top w:val="nil"/>
              <w:left w:val="single" w:color="auto" w:sz="4" w:space="0"/>
              <w:bottom w:val="single" w:color="auto" w:sz="4" w:space="0"/>
              <w:right w:val="single" w:color="auto" w:sz="4" w:space="0"/>
            </w:tcBorders>
            <w:vAlign w:val="bottom"/>
          </w:tcPr>
          <w:p>
            <w:pPr>
              <w:widowControl/>
              <w:jc w:val="center"/>
              <w:rPr>
                <w:rFonts w:ascii="宋体"/>
                <w:color w:val="000000"/>
                <w:kern w:val="0"/>
                <w:sz w:val="22"/>
                <w:szCs w:val="22"/>
              </w:rPr>
            </w:pPr>
            <w:r>
              <w:rPr>
                <w:rFonts w:hint="eastAsia" w:ascii="宋体" w:hAnsi="宋体" w:cs="宋体"/>
                <w:color w:val="000000"/>
                <w:kern w:val="0"/>
                <w:sz w:val="22"/>
                <w:szCs w:val="22"/>
              </w:rPr>
              <w:t>支出经济分类科目编码</w:t>
            </w:r>
          </w:p>
        </w:tc>
        <w:tc>
          <w:tcPr>
            <w:tcW w:w="3068" w:type="dxa"/>
            <w:tcBorders>
              <w:top w:val="nil"/>
              <w:left w:val="nil"/>
              <w:bottom w:val="single" w:color="auto" w:sz="4" w:space="0"/>
              <w:right w:val="single" w:color="auto" w:sz="4" w:space="0"/>
            </w:tcBorders>
            <w:vAlign w:val="bottom"/>
          </w:tcPr>
          <w:p>
            <w:pPr>
              <w:widowControl/>
              <w:jc w:val="center"/>
              <w:rPr>
                <w:rFonts w:ascii="宋体"/>
                <w:color w:val="000000"/>
                <w:kern w:val="0"/>
                <w:sz w:val="22"/>
                <w:szCs w:val="22"/>
              </w:rPr>
            </w:pPr>
            <w:r>
              <w:rPr>
                <w:rFonts w:hint="eastAsia" w:ascii="宋体" w:hAnsi="宋体" w:cs="宋体"/>
                <w:color w:val="000000"/>
                <w:kern w:val="0"/>
                <w:sz w:val="22"/>
                <w:szCs w:val="22"/>
              </w:rPr>
              <w:t>科目名称</w:t>
            </w:r>
          </w:p>
        </w:tc>
        <w:tc>
          <w:tcPr>
            <w:tcW w:w="1003" w:type="dxa"/>
            <w:tcBorders>
              <w:top w:val="nil"/>
              <w:left w:val="nil"/>
              <w:bottom w:val="single" w:color="auto" w:sz="4" w:space="0"/>
              <w:right w:val="single" w:color="auto" w:sz="4" w:space="0"/>
            </w:tcBorders>
            <w:vAlign w:val="bottom"/>
          </w:tcPr>
          <w:p>
            <w:pPr>
              <w:widowControl/>
              <w:jc w:val="center"/>
              <w:rPr>
                <w:rFonts w:ascii="宋体"/>
                <w:color w:val="000000"/>
                <w:kern w:val="0"/>
                <w:sz w:val="22"/>
                <w:szCs w:val="22"/>
              </w:rPr>
            </w:pPr>
            <w:r>
              <w:rPr>
                <w:rFonts w:hint="eastAsia" w:ascii="宋体" w:hAnsi="宋体" w:cs="宋体"/>
                <w:color w:val="000000"/>
                <w:kern w:val="0"/>
                <w:sz w:val="22"/>
                <w:szCs w:val="22"/>
              </w:rPr>
              <w:t>金额</w:t>
            </w:r>
          </w:p>
        </w:tc>
        <w:tc>
          <w:tcPr>
            <w:tcW w:w="982" w:type="dxa"/>
            <w:tcBorders>
              <w:top w:val="nil"/>
              <w:left w:val="nil"/>
              <w:bottom w:val="single" w:color="auto" w:sz="4" w:space="0"/>
              <w:right w:val="single" w:color="auto" w:sz="4" w:space="0"/>
            </w:tcBorders>
            <w:vAlign w:val="bottom"/>
          </w:tcPr>
          <w:p>
            <w:pPr>
              <w:widowControl/>
              <w:jc w:val="center"/>
              <w:rPr>
                <w:rFonts w:ascii="宋体"/>
                <w:color w:val="000000"/>
                <w:kern w:val="0"/>
                <w:sz w:val="22"/>
                <w:szCs w:val="22"/>
              </w:rPr>
            </w:pPr>
            <w:r>
              <w:rPr>
                <w:rFonts w:hint="eastAsia" w:ascii="宋体" w:hAnsi="宋体" w:cs="宋体"/>
                <w:color w:val="000000"/>
                <w:kern w:val="0"/>
                <w:sz w:val="22"/>
                <w:szCs w:val="22"/>
              </w:rPr>
              <w:t>经济分类科目编码</w:t>
            </w:r>
          </w:p>
        </w:tc>
        <w:tc>
          <w:tcPr>
            <w:tcW w:w="1577" w:type="dxa"/>
            <w:tcBorders>
              <w:top w:val="nil"/>
              <w:left w:val="nil"/>
              <w:bottom w:val="single" w:color="auto" w:sz="4" w:space="0"/>
              <w:right w:val="single" w:color="auto" w:sz="4" w:space="0"/>
            </w:tcBorders>
            <w:vAlign w:val="bottom"/>
          </w:tcPr>
          <w:p>
            <w:pPr>
              <w:widowControl/>
              <w:jc w:val="center"/>
              <w:rPr>
                <w:rFonts w:ascii="宋体"/>
                <w:color w:val="000000"/>
                <w:kern w:val="0"/>
                <w:sz w:val="22"/>
                <w:szCs w:val="22"/>
              </w:rPr>
            </w:pPr>
            <w:r>
              <w:rPr>
                <w:rFonts w:hint="eastAsia" w:ascii="宋体" w:hAnsi="宋体" w:cs="宋体"/>
                <w:color w:val="000000"/>
                <w:kern w:val="0"/>
                <w:sz w:val="22"/>
                <w:szCs w:val="22"/>
              </w:rPr>
              <w:t>科目名称</w:t>
            </w:r>
          </w:p>
        </w:tc>
        <w:tc>
          <w:tcPr>
            <w:tcW w:w="1605" w:type="dxa"/>
            <w:tcBorders>
              <w:top w:val="nil"/>
              <w:left w:val="nil"/>
              <w:bottom w:val="single" w:color="auto" w:sz="4" w:space="0"/>
              <w:right w:val="single" w:color="auto" w:sz="4" w:space="0"/>
            </w:tcBorders>
            <w:vAlign w:val="bottom"/>
          </w:tcPr>
          <w:p>
            <w:pPr>
              <w:widowControl/>
              <w:jc w:val="center"/>
              <w:rPr>
                <w:rFonts w:ascii="宋体"/>
                <w:color w:val="000000"/>
                <w:kern w:val="0"/>
                <w:sz w:val="22"/>
                <w:szCs w:val="22"/>
              </w:rPr>
            </w:pPr>
            <w:r>
              <w:rPr>
                <w:rFonts w:hint="eastAsia" w:ascii="宋体" w:hAnsi="宋体" w:cs="宋体"/>
                <w:color w:val="000000"/>
                <w:kern w:val="0"/>
                <w:sz w:val="22"/>
                <w:szCs w:val="22"/>
              </w:rPr>
              <w:t>金额</w:t>
            </w:r>
          </w:p>
        </w:tc>
      </w:tr>
      <w:tr>
        <w:tblPrEx>
          <w:tblCellMar>
            <w:top w:w="0" w:type="dxa"/>
            <w:left w:w="108" w:type="dxa"/>
            <w:bottom w:w="0" w:type="dxa"/>
            <w:right w:w="108" w:type="dxa"/>
          </w:tblCellMar>
        </w:tblPrEx>
        <w:trPr>
          <w:wAfter w:w="0" w:type="auto"/>
          <w:trHeight w:val="264"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301</w:t>
            </w:r>
          </w:p>
        </w:tc>
        <w:tc>
          <w:tcPr>
            <w:tcW w:w="3068"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工资福利支出</w:t>
            </w:r>
          </w:p>
        </w:tc>
        <w:tc>
          <w:tcPr>
            <w:tcW w:w="1003"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75.89</w:t>
            </w:r>
          </w:p>
        </w:tc>
        <w:tc>
          <w:tcPr>
            <w:tcW w:w="982"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302</w:t>
            </w:r>
          </w:p>
        </w:tc>
        <w:tc>
          <w:tcPr>
            <w:tcW w:w="1577"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商品和服务支出　</w:t>
            </w:r>
          </w:p>
        </w:tc>
        <w:tc>
          <w:tcPr>
            <w:tcW w:w="1605"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42.93</w:t>
            </w:r>
          </w:p>
        </w:tc>
      </w:tr>
      <w:tr>
        <w:tblPrEx>
          <w:tblCellMar>
            <w:top w:w="0" w:type="dxa"/>
            <w:left w:w="108" w:type="dxa"/>
            <w:bottom w:w="0" w:type="dxa"/>
            <w:right w:w="108" w:type="dxa"/>
          </w:tblCellMar>
        </w:tblPrEx>
        <w:trPr>
          <w:wAfter w:w="0" w:type="auto"/>
          <w:trHeight w:val="264"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30101</w:t>
            </w:r>
          </w:p>
        </w:tc>
        <w:tc>
          <w:tcPr>
            <w:tcW w:w="3068"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　基本工资</w:t>
            </w:r>
          </w:p>
        </w:tc>
        <w:tc>
          <w:tcPr>
            <w:tcW w:w="1003"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15.67</w:t>
            </w:r>
          </w:p>
        </w:tc>
        <w:tc>
          <w:tcPr>
            <w:tcW w:w="982"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30201</w:t>
            </w:r>
          </w:p>
        </w:tc>
        <w:tc>
          <w:tcPr>
            <w:tcW w:w="1577"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办公费　</w:t>
            </w:r>
          </w:p>
        </w:tc>
        <w:tc>
          <w:tcPr>
            <w:tcW w:w="1605"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1.27</w:t>
            </w:r>
          </w:p>
        </w:tc>
      </w:tr>
      <w:tr>
        <w:tblPrEx>
          <w:tblCellMar>
            <w:top w:w="0" w:type="dxa"/>
            <w:left w:w="108" w:type="dxa"/>
            <w:bottom w:w="0" w:type="dxa"/>
            <w:right w:w="108" w:type="dxa"/>
          </w:tblCellMar>
        </w:tblPrEx>
        <w:trPr>
          <w:wAfter w:w="0" w:type="auto"/>
          <w:trHeight w:val="264"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30102</w:t>
            </w:r>
          </w:p>
        </w:tc>
        <w:tc>
          <w:tcPr>
            <w:tcW w:w="3068"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　津贴补贴</w:t>
            </w:r>
          </w:p>
        </w:tc>
        <w:tc>
          <w:tcPr>
            <w:tcW w:w="1003"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20.05</w:t>
            </w:r>
          </w:p>
        </w:tc>
        <w:tc>
          <w:tcPr>
            <w:tcW w:w="982"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30202</w:t>
            </w:r>
          </w:p>
        </w:tc>
        <w:tc>
          <w:tcPr>
            <w:tcW w:w="1577"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手续费　</w:t>
            </w:r>
          </w:p>
        </w:tc>
        <w:tc>
          <w:tcPr>
            <w:tcW w:w="1605"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0.27</w:t>
            </w:r>
          </w:p>
        </w:tc>
      </w:tr>
      <w:tr>
        <w:tblPrEx>
          <w:tblCellMar>
            <w:top w:w="0" w:type="dxa"/>
            <w:left w:w="108" w:type="dxa"/>
            <w:bottom w:w="0" w:type="dxa"/>
            <w:right w:w="108" w:type="dxa"/>
          </w:tblCellMar>
        </w:tblPrEx>
        <w:trPr>
          <w:wAfter w:w="0" w:type="auto"/>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30103</w:t>
            </w:r>
          </w:p>
        </w:tc>
        <w:tc>
          <w:tcPr>
            <w:tcW w:w="3068"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奖金</w:t>
            </w:r>
            <w:r>
              <w:rPr>
                <w:rFonts w:ascii="宋体" w:hAnsi="宋体" w:cs="宋体"/>
                <w:color w:val="000000"/>
                <w:kern w:val="0"/>
                <w:sz w:val="22"/>
                <w:szCs w:val="22"/>
              </w:rPr>
              <w:t xml:space="preserve">  </w:t>
            </w:r>
            <w:r>
              <w:rPr>
                <w:rFonts w:hint="eastAsia" w:ascii="宋体" w:hAnsi="宋体" w:cs="宋体"/>
                <w:color w:val="000000"/>
                <w:kern w:val="0"/>
                <w:sz w:val="22"/>
                <w:szCs w:val="22"/>
              </w:rPr>
              <w:t>　</w:t>
            </w:r>
          </w:p>
        </w:tc>
        <w:tc>
          <w:tcPr>
            <w:tcW w:w="1003"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19.68</w:t>
            </w:r>
          </w:p>
        </w:tc>
        <w:tc>
          <w:tcPr>
            <w:tcW w:w="982"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30303</w:t>
            </w:r>
          </w:p>
        </w:tc>
        <w:tc>
          <w:tcPr>
            <w:tcW w:w="1577"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电费　</w:t>
            </w:r>
          </w:p>
        </w:tc>
        <w:tc>
          <w:tcPr>
            <w:tcW w:w="1605"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0.85</w:t>
            </w:r>
          </w:p>
        </w:tc>
      </w:tr>
      <w:tr>
        <w:tblPrEx>
          <w:tblCellMar>
            <w:top w:w="0" w:type="dxa"/>
            <w:left w:w="108" w:type="dxa"/>
            <w:bottom w:w="0" w:type="dxa"/>
            <w:right w:w="108" w:type="dxa"/>
          </w:tblCellMar>
        </w:tblPrEx>
        <w:trPr>
          <w:wAfter w:w="0" w:type="auto"/>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30106</w:t>
            </w:r>
          </w:p>
        </w:tc>
        <w:tc>
          <w:tcPr>
            <w:tcW w:w="3068"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0"/>
                <w:szCs w:val="20"/>
              </w:rPr>
              <w:t>伙食补助费</w:t>
            </w:r>
          </w:p>
        </w:tc>
        <w:tc>
          <w:tcPr>
            <w:tcW w:w="1003"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1.33</w:t>
            </w:r>
          </w:p>
        </w:tc>
        <w:tc>
          <w:tcPr>
            <w:tcW w:w="982"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30304</w:t>
            </w:r>
          </w:p>
        </w:tc>
        <w:tc>
          <w:tcPr>
            <w:tcW w:w="1577"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邮电费　</w:t>
            </w:r>
          </w:p>
        </w:tc>
        <w:tc>
          <w:tcPr>
            <w:tcW w:w="1605"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0.88</w:t>
            </w:r>
          </w:p>
        </w:tc>
      </w:tr>
      <w:tr>
        <w:tblPrEx>
          <w:tblCellMar>
            <w:top w:w="0" w:type="dxa"/>
            <w:left w:w="108" w:type="dxa"/>
            <w:bottom w:w="0" w:type="dxa"/>
            <w:right w:w="108" w:type="dxa"/>
          </w:tblCellMar>
        </w:tblPrEx>
        <w:trPr>
          <w:wAfter w:w="0" w:type="auto"/>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30107</w:t>
            </w:r>
          </w:p>
        </w:tc>
        <w:tc>
          <w:tcPr>
            <w:tcW w:w="3068"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0"/>
                <w:szCs w:val="20"/>
              </w:rPr>
              <w:t>绩效工资</w:t>
            </w:r>
          </w:p>
        </w:tc>
        <w:tc>
          <w:tcPr>
            <w:tcW w:w="1003"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p>
        </w:tc>
        <w:tc>
          <w:tcPr>
            <w:tcW w:w="982"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30305</w:t>
            </w:r>
          </w:p>
        </w:tc>
        <w:tc>
          <w:tcPr>
            <w:tcW w:w="1577"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物业管理费　</w:t>
            </w:r>
          </w:p>
        </w:tc>
        <w:tc>
          <w:tcPr>
            <w:tcW w:w="160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1.82</w:t>
            </w:r>
          </w:p>
        </w:tc>
      </w:tr>
      <w:tr>
        <w:tblPrEx>
          <w:tblCellMar>
            <w:top w:w="0" w:type="dxa"/>
            <w:left w:w="108" w:type="dxa"/>
            <w:bottom w:w="0" w:type="dxa"/>
            <w:right w:w="108" w:type="dxa"/>
          </w:tblCellMar>
        </w:tblPrEx>
        <w:trPr>
          <w:wAfter w:w="0" w:type="auto"/>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30108</w:t>
            </w:r>
          </w:p>
        </w:tc>
        <w:tc>
          <w:tcPr>
            <w:tcW w:w="3068"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0"/>
                <w:szCs w:val="20"/>
              </w:rPr>
              <w:t>机关事业单位基本养老保险缴费</w:t>
            </w:r>
          </w:p>
        </w:tc>
        <w:tc>
          <w:tcPr>
            <w:tcW w:w="1003"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6.45</w:t>
            </w:r>
          </w:p>
        </w:tc>
        <w:tc>
          <w:tcPr>
            <w:tcW w:w="982"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30306</w:t>
            </w:r>
          </w:p>
        </w:tc>
        <w:tc>
          <w:tcPr>
            <w:tcW w:w="1577"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差旅费</w:t>
            </w:r>
          </w:p>
        </w:tc>
        <w:tc>
          <w:tcPr>
            <w:tcW w:w="1605"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5.31</w:t>
            </w:r>
          </w:p>
        </w:tc>
      </w:tr>
      <w:tr>
        <w:tblPrEx>
          <w:tblCellMar>
            <w:top w:w="0" w:type="dxa"/>
            <w:left w:w="108" w:type="dxa"/>
            <w:bottom w:w="0" w:type="dxa"/>
            <w:right w:w="108" w:type="dxa"/>
          </w:tblCellMar>
        </w:tblPrEx>
        <w:trPr>
          <w:wAfter w:w="0" w:type="auto"/>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30109</w:t>
            </w:r>
          </w:p>
        </w:tc>
        <w:tc>
          <w:tcPr>
            <w:tcW w:w="3068"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0"/>
                <w:szCs w:val="20"/>
              </w:rPr>
              <w:t>职业年金缴费</w:t>
            </w:r>
          </w:p>
        </w:tc>
        <w:tc>
          <w:tcPr>
            <w:tcW w:w="1003"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3.34</w:t>
            </w:r>
          </w:p>
        </w:tc>
        <w:tc>
          <w:tcPr>
            <w:tcW w:w="982"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30307</w:t>
            </w:r>
          </w:p>
        </w:tc>
        <w:tc>
          <w:tcPr>
            <w:tcW w:w="1577"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维修费</w:t>
            </w:r>
          </w:p>
        </w:tc>
        <w:tc>
          <w:tcPr>
            <w:tcW w:w="1605"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3.43</w:t>
            </w:r>
          </w:p>
        </w:tc>
      </w:tr>
      <w:tr>
        <w:tblPrEx>
          <w:tblCellMar>
            <w:top w:w="0" w:type="dxa"/>
            <w:left w:w="108" w:type="dxa"/>
            <w:bottom w:w="0" w:type="dxa"/>
            <w:right w:w="108" w:type="dxa"/>
          </w:tblCellMar>
        </w:tblPrEx>
        <w:trPr>
          <w:wAfter w:w="0" w:type="auto"/>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30110</w:t>
            </w:r>
          </w:p>
        </w:tc>
        <w:tc>
          <w:tcPr>
            <w:tcW w:w="3068"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0"/>
                <w:szCs w:val="20"/>
              </w:rPr>
              <w:t>职工基本医疗保险缴费</w:t>
            </w:r>
          </w:p>
        </w:tc>
        <w:tc>
          <w:tcPr>
            <w:tcW w:w="1003"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4.65</w:t>
            </w:r>
          </w:p>
        </w:tc>
        <w:tc>
          <w:tcPr>
            <w:tcW w:w="982"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30308</w:t>
            </w:r>
          </w:p>
        </w:tc>
        <w:tc>
          <w:tcPr>
            <w:tcW w:w="1577"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会议费</w:t>
            </w:r>
          </w:p>
        </w:tc>
        <w:tc>
          <w:tcPr>
            <w:tcW w:w="160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0.12</w:t>
            </w:r>
          </w:p>
        </w:tc>
      </w:tr>
      <w:tr>
        <w:tblPrEx>
          <w:tblCellMar>
            <w:top w:w="0" w:type="dxa"/>
            <w:left w:w="108" w:type="dxa"/>
            <w:bottom w:w="0" w:type="dxa"/>
            <w:right w:w="108" w:type="dxa"/>
          </w:tblCellMar>
        </w:tblPrEx>
        <w:trPr>
          <w:wAfter w:w="0" w:type="auto"/>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30111</w:t>
            </w:r>
          </w:p>
        </w:tc>
        <w:tc>
          <w:tcPr>
            <w:tcW w:w="3068"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0"/>
                <w:szCs w:val="20"/>
              </w:rPr>
              <w:t>公务员医疗补助缴费</w:t>
            </w:r>
          </w:p>
        </w:tc>
        <w:tc>
          <w:tcPr>
            <w:tcW w:w="1003"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0.32</w:t>
            </w:r>
          </w:p>
        </w:tc>
        <w:tc>
          <w:tcPr>
            <w:tcW w:w="982"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30309</w:t>
            </w:r>
          </w:p>
        </w:tc>
        <w:tc>
          <w:tcPr>
            <w:tcW w:w="1577"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公务接待费</w:t>
            </w:r>
          </w:p>
        </w:tc>
        <w:tc>
          <w:tcPr>
            <w:tcW w:w="1605"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 xml:space="preserve">  0.15</w:t>
            </w:r>
          </w:p>
        </w:tc>
      </w:tr>
      <w:tr>
        <w:tblPrEx>
          <w:tblCellMar>
            <w:top w:w="0" w:type="dxa"/>
            <w:left w:w="108" w:type="dxa"/>
            <w:bottom w:w="0" w:type="dxa"/>
            <w:right w:w="108" w:type="dxa"/>
          </w:tblCellMar>
        </w:tblPrEx>
        <w:trPr>
          <w:wAfter w:w="0" w:type="auto"/>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30112</w:t>
            </w:r>
          </w:p>
        </w:tc>
        <w:tc>
          <w:tcPr>
            <w:tcW w:w="3068"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0"/>
                <w:szCs w:val="20"/>
              </w:rPr>
              <w:t>其他社会保障缴费</w:t>
            </w:r>
          </w:p>
        </w:tc>
        <w:tc>
          <w:tcPr>
            <w:tcW w:w="1003"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p>
        </w:tc>
        <w:tc>
          <w:tcPr>
            <w:tcW w:w="982"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30210</w:t>
            </w:r>
          </w:p>
        </w:tc>
        <w:tc>
          <w:tcPr>
            <w:tcW w:w="1577"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劳务费</w:t>
            </w:r>
          </w:p>
        </w:tc>
        <w:tc>
          <w:tcPr>
            <w:tcW w:w="1605"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 xml:space="preserve">  14.37</w:t>
            </w:r>
          </w:p>
        </w:tc>
      </w:tr>
      <w:tr>
        <w:tblPrEx>
          <w:tblCellMar>
            <w:top w:w="0" w:type="dxa"/>
            <w:left w:w="108" w:type="dxa"/>
            <w:bottom w:w="0" w:type="dxa"/>
            <w:right w:w="108" w:type="dxa"/>
          </w:tblCellMar>
        </w:tblPrEx>
        <w:trPr>
          <w:wAfter w:w="0" w:type="auto"/>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30113</w:t>
            </w:r>
          </w:p>
        </w:tc>
        <w:tc>
          <w:tcPr>
            <w:tcW w:w="3068"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0"/>
                <w:szCs w:val="20"/>
              </w:rPr>
              <w:t>住房公积金</w:t>
            </w:r>
          </w:p>
        </w:tc>
        <w:tc>
          <w:tcPr>
            <w:tcW w:w="1003"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4.40</w:t>
            </w:r>
          </w:p>
        </w:tc>
        <w:tc>
          <w:tcPr>
            <w:tcW w:w="982"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30211</w:t>
            </w:r>
          </w:p>
        </w:tc>
        <w:tc>
          <w:tcPr>
            <w:tcW w:w="1577"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工会经费</w:t>
            </w:r>
          </w:p>
        </w:tc>
        <w:tc>
          <w:tcPr>
            <w:tcW w:w="1605"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 xml:space="preserve">  0.92</w:t>
            </w:r>
          </w:p>
        </w:tc>
      </w:tr>
      <w:tr>
        <w:tblPrEx>
          <w:tblCellMar>
            <w:top w:w="0" w:type="dxa"/>
            <w:left w:w="108" w:type="dxa"/>
            <w:bottom w:w="0" w:type="dxa"/>
            <w:right w:w="108" w:type="dxa"/>
          </w:tblCellMar>
        </w:tblPrEx>
        <w:trPr>
          <w:wAfter w:w="0" w:type="auto"/>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30114</w:t>
            </w:r>
          </w:p>
        </w:tc>
        <w:tc>
          <w:tcPr>
            <w:tcW w:w="3068"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0"/>
                <w:szCs w:val="20"/>
              </w:rPr>
              <w:t>医疗费</w:t>
            </w:r>
          </w:p>
        </w:tc>
        <w:tc>
          <w:tcPr>
            <w:tcW w:w="1003"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p>
        </w:tc>
        <w:tc>
          <w:tcPr>
            <w:tcW w:w="982"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 xml:space="preserve"> 30212</w:t>
            </w:r>
          </w:p>
        </w:tc>
        <w:tc>
          <w:tcPr>
            <w:tcW w:w="1577"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公务用车运行维护费</w:t>
            </w:r>
          </w:p>
        </w:tc>
        <w:tc>
          <w:tcPr>
            <w:tcW w:w="1605"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 xml:space="preserve">  4.19</w:t>
            </w:r>
          </w:p>
        </w:tc>
      </w:tr>
      <w:tr>
        <w:tblPrEx>
          <w:tblCellMar>
            <w:top w:w="0" w:type="dxa"/>
            <w:left w:w="108" w:type="dxa"/>
            <w:bottom w:w="0" w:type="dxa"/>
            <w:right w:w="108" w:type="dxa"/>
          </w:tblCellMar>
        </w:tblPrEx>
        <w:trPr>
          <w:wAfter w:w="0" w:type="auto"/>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30199</w:t>
            </w:r>
          </w:p>
        </w:tc>
        <w:tc>
          <w:tcPr>
            <w:tcW w:w="3068"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0"/>
                <w:szCs w:val="20"/>
              </w:rPr>
              <w:t>其他工资福利支出</w:t>
            </w:r>
          </w:p>
        </w:tc>
        <w:tc>
          <w:tcPr>
            <w:tcW w:w="1003"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p>
        </w:tc>
        <w:tc>
          <w:tcPr>
            <w:tcW w:w="982"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30213</w:t>
            </w:r>
          </w:p>
        </w:tc>
        <w:tc>
          <w:tcPr>
            <w:tcW w:w="1577"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其他交通费</w:t>
            </w:r>
          </w:p>
        </w:tc>
        <w:tc>
          <w:tcPr>
            <w:tcW w:w="1605"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 xml:space="preserve">  3.47</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3068"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p>
        </w:tc>
        <w:tc>
          <w:tcPr>
            <w:tcW w:w="1003"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p>
        </w:tc>
        <w:tc>
          <w:tcPr>
            <w:tcW w:w="982"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30214</w:t>
            </w:r>
          </w:p>
        </w:tc>
        <w:tc>
          <w:tcPr>
            <w:tcW w:w="1577"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税金及附加费用</w:t>
            </w:r>
          </w:p>
        </w:tc>
        <w:tc>
          <w:tcPr>
            <w:tcW w:w="1605"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 xml:space="preserve">  0.23</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303</w:t>
            </w:r>
          </w:p>
        </w:tc>
        <w:tc>
          <w:tcPr>
            <w:tcW w:w="3068"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对个人和家庭的补助</w:t>
            </w:r>
          </w:p>
        </w:tc>
        <w:tc>
          <w:tcPr>
            <w:tcW w:w="1003"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1.99</w:t>
            </w:r>
          </w:p>
        </w:tc>
        <w:tc>
          <w:tcPr>
            <w:tcW w:w="982"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30215</w:t>
            </w:r>
          </w:p>
        </w:tc>
        <w:tc>
          <w:tcPr>
            <w:tcW w:w="1577"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其他商品和服务支出</w:t>
            </w:r>
          </w:p>
        </w:tc>
        <w:tc>
          <w:tcPr>
            <w:tcW w:w="1605"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 xml:space="preserve">  5.65</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30301</w:t>
            </w:r>
          </w:p>
        </w:tc>
        <w:tc>
          <w:tcPr>
            <w:tcW w:w="3068"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退休费</w:t>
            </w:r>
          </w:p>
        </w:tc>
        <w:tc>
          <w:tcPr>
            <w:tcW w:w="1003"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1.49</w:t>
            </w:r>
          </w:p>
        </w:tc>
        <w:tc>
          <w:tcPr>
            <w:tcW w:w="982"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p>
        </w:tc>
        <w:tc>
          <w:tcPr>
            <w:tcW w:w="1577"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p>
        </w:tc>
        <w:tc>
          <w:tcPr>
            <w:tcW w:w="1605"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30302</w:t>
            </w:r>
          </w:p>
        </w:tc>
        <w:tc>
          <w:tcPr>
            <w:tcW w:w="3068"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其他对个人和家庭的补助</w:t>
            </w:r>
          </w:p>
        </w:tc>
        <w:tc>
          <w:tcPr>
            <w:tcW w:w="1003"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cs="宋体"/>
                <w:color w:val="000000"/>
                <w:kern w:val="0"/>
                <w:sz w:val="22"/>
                <w:szCs w:val="22"/>
              </w:rPr>
              <w:t>0.</w:t>
            </w:r>
            <w:r>
              <w:rPr>
                <w:rFonts w:ascii="宋体" w:hAnsi="宋体" w:cs="宋体"/>
                <w:color w:val="000000"/>
                <w:kern w:val="0"/>
                <w:sz w:val="22"/>
                <w:szCs w:val="22"/>
              </w:rPr>
              <w:t>50</w:t>
            </w:r>
          </w:p>
        </w:tc>
        <w:tc>
          <w:tcPr>
            <w:tcW w:w="982"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p>
        </w:tc>
        <w:tc>
          <w:tcPr>
            <w:tcW w:w="1577"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p>
        </w:tc>
        <w:tc>
          <w:tcPr>
            <w:tcW w:w="1605"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w:t>
            </w:r>
          </w:p>
        </w:tc>
        <w:tc>
          <w:tcPr>
            <w:tcW w:w="3068"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 xml:space="preserve"> </w:t>
            </w:r>
            <w:r>
              <w:rPr>
                <w:rFonts w:hint="eastAsia" w:ascii="宋体" w:hAnsi="宋体" w:cs="宋体"/>
                <w:color w:val="000000"/>
                <w:kern w:val="0"/>
                <w:sz w:val="22"/>
                <w:szCs w:val="22"/>
              </w:rPr>
              <w:t>……</w:t>
            </w:r>
          </w:p>
        </w:tc>
        <w:tc>
          <w:tcPr>
            <w:tcW w:w="1003"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p>
        </w:tc>
        <w:tc>
          <w:tcPr>
            <w:tcW w:w="982"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307</w:t>
            </w:r>
          </w:p>
        </w:tc>
        <w:tc>
          <w:tcPr>
            <w:tcW w:w="1577"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债务利息支出　</w:t>
            </w:r>
          </w:p>
        </w:tc>
        <w:tc>
          <w:tcPr>
            <w:tcW w:w="1605"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w:t>
            </w:r>
          </w:p>
        </w:tc>
        <w:tc>
          <w:tcPr>
            <w:tcW w:w="3068"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 xml:space="preserve"> </w:t>
            </w:r>
            <w:r>
              <w:rPr>
                <w:rFonts w:hint="eastAsia" w:ascii="宋体" w:hAnsi="宋体" w:cs="宋体"/>
                <w:color w:val="000000"/>
                <w:kern w:val="0"/>
                <w:sz w:val="22"/>
                <w:szCs w:val="22"/>
              </w:rPr>
              <w:t>……</w:t>
            </w:r>
          </w:p>
        </w:tc>
        <w:tc>
          <w:tcPr>
            <w:tcW w:w="1003"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p>
        </w:tc>
        <w:tc>
          <w:tcPr>
            <w:tcW w:w="982"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310</w:t>
            </w:r>
          </w:p>
        </w:tc>
        <w:tc>
          <w:tcPr>
            <w:tcW w:w="1577"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资本性支出</w:t>
            </w:r>
          </w:p>
        </w:tc>
        <w:tc>
          <w:tcPr>
            <w:tcW w:w="1605"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5.33</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3068"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1003"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p>
        </w:tc>
        <w:tc>
          <w:tcPr>
            <w:tcW w:w="982"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399</w:t>
            </w:r>
          </w:p>
        </w:tc>
        <w:tc>
          <w:tcPr>
            <w:tcW w:w="1577"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其他支出　</w:t>
            </w:r>
          </w:p>
        </w:tc>
        <w:tc>
          <w:tcPr>
            <w:tcW w:w="1605"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人员经费合计</w:t>
            </w:r>
          </w:p>
        </w:tc>
        <w:tc>
          <w:tcPr>
            <w:tcW w:w="3068" w:type="dxa"/>
            <w:tcBorders>
              <w:top w:val="nil"/>
              <w:left w:val="nil"/>
              <w:bottom w:val="single" w:color="auto" w:sz="4" w:space="0"/>
              <w:right w:val="single" w:color="auto" w:sz="4" w:space="0"/>
            </w:tcBorders>
            <w:vAlign w:val="bottom"/>
          </w:tcPr>
          <w:p>
            <w:pPr>
              <w:widowControl/>
              <w:jc w:val="center"/>
              <w:rPr>
                <w:rFonts w:ascii="宋体"/>
                <w:color w:val="000000"/>
                <w:kern w:val="0"/>
                <w:sz w:val="22"/>
                <w:szCs w:val="22"/>
              </w:rPr>
            </w:pPr>
            <w:r>
              <w:rPr>
                <w:rFonts w:ascii="宋体" w:hAnsi="宋体" w:cs="宋体"/>
                <w:color w:val="000000"/>
                <w:kern w:val="0"/>
                <w:sz w:val="22"/>
                <w:szCs w:val="22"/>
              </w:rPr>
              <w:t>77.88</w:t>
            </w:r>
          </w:p>
        </w:tc>
        <w:tc>
          <w:tcPr>
            <w:tcW w:w="1003" w:type="dxa"/>
            <w:tcBorders>
              <w:top w:val="nil"/>
              <w:left w:val="nil"/>
              <w:bottom w:val="single" w:color="auto" w:sz="4" w:space="0"/>
              <w:right w:val="single" w:color="auto" w:sz="4" w:space="0"/>
            </w:tcBorders>
            <w:vAlign w:val="center"/>
          </w:tcPr>
          <w:p>
            <w:pPr>
              <w:widowControl/>
              <w:rPr>
                <w:rFonts w:ascii="宋体"/>
                <w:color w:val="000000"/>
                <w:kern w:val="0"/>
                <w:sz w:val="22"/>
                <w:szCs w:val="22"/>
              </w:rPr>
            </w:pPr>
          </w:p>
        </w:tc>
        <w:tc>
          <w:tcPr>
            <w:tcW w:w="982"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公用经费合计</w:t>
            </w:r>
          </w:p>
        </w:tc>
        <w:tc>
          <w:tcPr>
            <w:tcW w:w="1577" w:type="dxa"/>
            <w:tcBorders>
              <w:bottom w:val="single" w:color="auto" w:sz="4" w:space="0"/>
            </w:tcBorders>
          </w:tcPr>
          <w:p>
            <w:pPr>
              <w:widowControl/>
              <w:jc w:val="left"/>
              <w:rPr>
                <w:rFonts w:ascii="宋体"/>
                <w:color w:val="000000"/>
                <w:kern w:val="0"/>
                <w:sz w:val="22"/>
                <w:szCs w:val="22"/>
              </w:rPr>
            </w:pPr>
          </w:p>
        </w:tc>
        <w:tc>
          <w:tcPr>
            <w:tcW w:w="1605"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48.26</w:t>
            </w:r>
          </w:p>
        </w:tc>
      </w:tr>
      <w:tr>
        <w:tblPrEx>
          <w:tblCellMar>
            <w:top w:w="0" w:type="dxa"/>
            <w:left w:w="108" w:type="dxa"/>
            <w:bottom w:w="0" w:type="dxa"/>
            <w:right w:w="108" w:type="dxa"/>
          </w:tblCellMar>
        </w:tblPrEx>
        <w:trPr>
          <w:wAfter w:w="0" w:type="auto"/>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3068"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p>
        </w:tc>
        <w:tc>
          <w:tcPr>
            <w:tcW w:w="1003"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p>
        </w:tc>
        <w:tc>
          <w:tcPr>
            <w:tcW w:w="982"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p>
        </w:tc>
        <w:tc>
          <w:tcPr>
            <w:tcW w:w="1577" w:type="dxa"/>
            <w:tcBorders>
              <w:top w:val="single" w:color="auto" w:sz="4" w:space="0"/>
              <w:left w:val="nil"/>
              <w:bottom w:val="single" w:color="auto" w:sz="4" w:space="0"/>
              <w:right w:val="single" w:color="auto" w:sz="4" w:space="0"/>
            </w:tcBorders>
            <w:vAlign w:val="bottom"/>
          </w:tcPr>
          <w:p>
            <w:pPr>
              <w:widowControl/>
              <w:jc w:val="left"/>
              <w:rPr>
                <w:rFonts w:ascii="宋体"/>
                <w:color w:val="000000"/>
                <w:kern w:val="0"/>
                <w:sz w:val="22"/>
                <w:szCs w:val="22"/>
              </w:rPr>
            </w:pPr>
          </w:p>
        </w:tc>
        <w:tc>
          <w:tcPr>
            <w:tcW w:w="1605" w:type="dxa"/>
            <w:tcBorders>
              <w:top w:val="single" w:color="auto" w:sz="4" w:space="0"/>
              <w:left w:val="nil"/>
              <w:bottom w:val="single" w:color="auto" w:sz="4" w:space="0"/>
              <w:right w:val="single" w:color="auto" w:sz="4" w:space="0"/>
            </w:tcBorders>
            <w:vAlign w:val="bottom"/>
          </w:tcPr>
          <w:p>
            <w:pPr>
              <w:widowControl/>
              <w:jc w:val="left"/>
              <w:rPr>
                <w:rFonts w:ascii="宋体"/>
                <w:color w:val="000000"/>
                <w:kern w:val="0"/>
                <w:sz w:val="22"/>
                <w:szCs w:val="22"/>
              </w:rPr>
            </w:pPr>
          </w:p>
        </w:tc>
      </w:tr>
      <w:tr>
        <w:tblPrEx>
          <w:tblCellMar>
            <w:top w:w="0" w:type="dxa"/>
            <w:left w:w="108" w:type="dxa"/>
            <w:bottom w:w="0" w:type="dxa"/>
            <w:right w:w="108" w:type="dxa"/>
          </w:tblCellMar>
        </w:tblPrEx>
        <w:trPr>
          <w:wAfter w:w="0" w:type="auto"/>
          <w:trHeight w:val="264" w:hRule="atLeast"/>
          <w:jc w:val="center"/>
        </w:trPr>
        <w:tc>
          <w:tcPr>
            <w:tcW w:w="3984" w:type="dxa"/>
            <w:gridSpan w:val="2"/>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p>
        </w:tc>
        <w:tc>
          <w:tcPr>
            <w:tcW w:w="1003"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p>
        </w:tc>
        <w:tc>
          <w:tcPr>
            <w:tcW w:w="2559" w:type="dxa"/>
            <w:gridSpan w:val="2"/>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1605"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p>
        </w:tc>
      </w:tr>
    </w:tbl>
    <w:p>
      <w:pPr>
        <w:sectPr>
          <w:pgSz w:w="11906" w:h="16838"/>
          <w:pgMar w:top="1440" w:right="1797" w:bottom="1440" w:left="1797" w:header="851" w:footer="992" w:gutter="0"/>
          <w:pgNumType w:fmt="numberInDash"/>
          <w:cols w:space="720" w:num="1"/>
          <w:docGrid w:type="lines" w:linePitch="312" w:charSpace="0"/>
        </w:sectPr>
      </w:pPr>
      <w:r>
        <w:rPr>
          <w:rFonts w:hint="eastAsia" w:cs="宋体"/>
        </w:rPr>
        <w:t>注：本表反映本年度一般公共预算财政拨款基本支出明细情况。</w:t>
      </w:r>
    </w:p>
    <w:p>
      <w:pPr>
        <w:jc w:val="center"/>
        <w:rPr>
          <w:rFonts w:ascii="方正小标宋简体" w:hAnsi="宋体" w:eastAsia="方正小标宋简体"/>
          <w:kern w:val="0"/>
          <w:sz w:val="36"/>
          <w:szCs w:val="36"/>
        </w:rPr>
      </w:pPr>
    </w:p>
    <w:p>
      <w:pPr>
        <w:jc w:val="center"/>
        <w:rPr>
          <w:rFonts w:ascii="方正小标宋简体" w:hAnsi="宋体" w:eastAsia="方正小标宋简体"/>
          <w:kern w:val="0"/>
          <w:sz w:val="36"/>
          <w:szCs w:val="36"/>
        </w:rPr>
      </w:pPr>
      <w:r>
        <w:rPr>
          <w:rFonts w:hint="eastAsia" w:ascii="方正小标宋简体" w:hAnsi="宋体" w:eastAsia="方正小标宋简体" w:cs="方正小标宋简体"/>
          <w:kern w:val="0"/>
          <w:sz w:val="36"/>
          <w:szCs w:val="36"/>
        </w:rPr>
        <w:t>表七：</w:t>
      </w:r>
      <w:r>
        <w:rPr>
          <w:rFonts w:hint="eastAsia" w:ascii="方正小标宋简体" w:eastAsia="方正小标宋简体" w:cs="方正小标宋简体"/>
          <w:sz w:val="36"/>
          <w:szCs w:val="36"/>
        </w:rPr>
        <w:t>一般</w:t>
      </w:r>
      <w:r>
        <w:rPr>
          <w:rFonts w:hint="eastAsia" w:ascii="方正小标宋简体" w:hAnsi="宋体" w:eastAsia="方正小标宋简体" w:cs="方正小标宋简体"/>
          <w:kern w:val="0"/>
          <w:sz w:val="36"/>
          <w:szCs w:val="36"/>
        </w:rPr>
        <w:t>公共预算财政拨款安排的“三公”经费支出决算表</w:t>
      </w:r>
    </w:p>
    <w:p/>
    <w:p>
      <w:pPr>
        <w:jc w:val="right"/>
      </w:pPr>
      <w:r>
        <w:rPr>
          <w:rFonts w:hint="eastAsia" w:cs="宋体"/>
        </w:rPr>
        <w:t>单位：万元</w:t>
      </w:r>
    </w:p>
    <w:tbl>
      <w:tblPr>
        <w:tblStyle w:val="5"/>
        <w:tblW w:w="13921" w:type="dxa"/>
        <w:jc w:val="center"/>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kern w:val="0"/>
                <w:sz w:val="22"/>
                <w:szCs w:val="22"/>
              </w:rPr>
              <w:t>2020</w:t>
            </w:r>
            <w:r>
              <w:rPr>
                <w:rFonts w:hint="eastAsia" w:ascii="宋体" w:hAnsi="宋体" w:cs="宋体"/>
                <w:kern w:val="0"/>
                <w:sz w:val="22"/>
                <w:szCs w:val="22"/>
              </w:rPr>
              <w:t>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kern w:val="0"/>
                <w:sz w:val="22"/>
                <w:szCs w:val="22"/>
              </w:rPr>
              <w:t>2020</w:t>
            </w:r>
            <w:r>
              <w:rPr>
                <w:rFonts w:hint="eastAsia" w:ascii="宋体" w:hAnsi="宋体" w:cs="宋体"/>
                <w:kern w:val="0"/>
                <w:sz w:val="22"/>
                <w:szCs w:val="22"/>
              </w:rPr>
              <w:t>年度决算数</w:t>
            </w:r>
          </w:p>
        </w:tc>
      </w:tr>
      <w:tr>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合计</w:t>
            </w:r>
          </w:p>
        </w:tc>
        <w:tc>
          <w:tcPr>
            <w:tcW w:w="1603" w:type="dxa"/>
            <w:vMerge w:val="restart"/>
            <w:tcBorders>
              <w:top w:val="nil"/>
              <w:left w:val="nil"/>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因公出国</w:t>
            </w:r>
            <w:r>
              <w:rPr>
                <w:rFonts w:ascii="宋体" w:hAnsi="宋体" w:cs="宋体"/>
                <w:kern w:val="0"/>
                <w:sz w:val="22"/>
                <w:szCs w:val="22"/>
              </w:rPr>
              <w:t>(</w:t>
            </w:r>
            <w:r>
              <w:rPr>
                <w:rFonts w:hint="eastAsia" w:ascii="宋体" w:hAnsi="宋体" w:cs="宋体"/>
                <w:kern w:val="0"/>
                <w:sz w:val="22"/>
                <w:szCs w:val="22"/>
              </w:rPr>
              <w:t>境）费</w:t>
            </w:r>
          </w:p>
        </w:tc>
        <w:tc>
          <w:tcPr>
            <w:tcW w:w="3312" w:type="dxa"/>
            <w:gridSpan w:val="3"/>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公务接待费</w:t>
            </w:r>
          </w:p>
        </w:tc>
        <w:tc>
          <w:tcPr>
            <w:tcW w:w="80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合计</w:t>
            </w:r>
          </w:p>
        </w:tc>
        <w:tc>
          <w:tcPr>
            <w:tcW w:w="1560" w:type="dxa"/>
            <w:vMerge w:val="restart"/>
            <w:tcBorders>
              <w:top w:val="nil"/>
              <w:left w:val="nil"/>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因公出国</w:t>
            </w:r>
            <w:r>
              <w:rPr>
                <w:rFonts w:ascii="宋体" w:hAnsi="宋体" w:cs="宋体"/>
                <w:kern w:val="0"/>
                <w:sz w:val="22"/>
                <w:szCs w:val="22"/>
              </w:rPr>
              <w:t>(</w:t>
            </w:r>
            <w:r>
              <w:rPr>
                <w:rFonts w:hint="eastAsia" w:ascii="宋体" w:hAnsi="宋体" w:cs="宋体"/>
                <w:kern w:val="0"/>
                <w:sz w:val="22"/>
                <w:szCs w:val="22"/>
              </w:rPr>
              <w:t>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公务接待费</w:t>
            </w:r>
          </w:p>
        </w:tc>
      </w:tr>
      <w:tr>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1603" w:type="dxa"/>
            <w:vMerge w:val="continue"/>
            <w:tcBorders>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828"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小计</w:t>
            </w:r>
          </w:p>
        </w:tc>
        <w:tc>
          <w:tcPr>
            <w:tcW w:w="1242"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公务用车</w:t>
            </w:r>
            <w:r>
              <w:rPr>
                <w:rFonts w:ascii="宋体" w:hAnsi="宋体" w:cs="宋体"/>
                <w:kern w:val="0"/>
                <w:sz w:val="22"/>
                <w:szCs w:val="22"/>
              </w:rPr>
              <w:t xml:space="preserve"> </w:t>
            </w:r>
            <w:r>
              <w:rPr>
                <w:rFonts w:hint="eastAsia" w:ascii="宋体" w:hAnsi="宋体" w:cs="宋体"/>
                <w:kern w:val="0"/>
                <w:sz w:val="22"/>
                <w:szCs w:val="22"/>
              </w:rPr>
              <w:t>购置费</w:t>
            </w:r>
          </w:p>
        </w:tc>
        <w:tc>
          <w:tcPr>
            <w:tcW w:w="1242"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公务用车</w:t>
            </w:r>
            <w:r>
              <w:rPr>
                <w:rFonts w:ascii="宋体" w:hAnsi="宋体" w:cs="宋体"/>
                <w:kern w:val="0"/>
                <w:sz w:val="22"/>
                <w:szCs w:val="22"/>
              </w:rPr>
              <w:t xml:space="preserve"> </w:t>
            </w:r>
            <w:r>
              <w:rPr>
                <w:rFonts w:hint="eastAsia" w:ascii="宋体" w:hAnsi="宋体" w:cs="宋体"/>
                <w:kern w:val="0"/>
                <w:sz w:val="22"/>
                <w:szCs w:val="22"/>
              </w:rPr>
              <w:t>运行费</w:t>
            </w:r>
          </w:p>
        </w:tc>
        <w:tc>
          <w:tcPr>
            <w:tcW w:w="1216" w:type="dxa"/>
            <w:vMerge w:val="continue"/>
            <w:tcBorders>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1560" w:type="dxa"/>
            <w:vMerge w:val="continue"/>
            <w:tcBorders>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806"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小计</w:t>
            </w:r>
          </w:p>
        </w:tc>
        <w:tc>
          <w:tcPr>
            <w:tcW w:w="1398"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公务用车</w:t>
            </w:r>
            <w:r>
              <w:rPr>
                <w:rFonts w:ascii="宋体" w:hAnsi="宋体" w:cs="宋体"/>
                <w:kern w:val="0"/>
                <w:sz w:val="22"/>
                <w:szCs w:val="22"/>
              </w:rPr>
              <w:t xml:space="preserve"> </w:t>
            </w:r>
            <w:r>
              <w:rPr>
                <w:rFonts w:hint="eastAsia" w:ascii="宋体" w:hAnsi="宋体" w:cs="宋体"/>
                <w:kern w:val="0"/>
                <w:sz w:val="22"/>
                <w:szCs w:val="22"/>
              </w:rPr>
              <w:t>购置费</w:t>
            </w:r>
          </w:p>
        </w:tc>
        <w:tc>
          <w:tcPr>
            <w:tcW w:w="1208"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公务用车</w:t>
            </w:r>
            <w:r>
              <w:rPr>
                <w:rFonts w:ascii="宋体" w:hAnsi="宋体" w:cs="宋体"/>
                <w:kern w:val="0"/>
                <w:sz w:val="22"/>
                <w:szCs w:val="22"/>
              </w:rPr>
              <w:t xml:space="preserve"> </w:t>
            </w:r>
            <w:r>
              <w:rPr>
                <w:rFonts w:hint="eastAsia" w:ascii="宋体" w:hAnsi="宋体" w:cs="宋体"/>
                <w:kern w:val="0"/>
                <w:sz w:val="22"/>
                <w:szCs w:val="22"/>
              </w:rPr>
              <w:t>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color w:val="000000"/>
                <w:kern w:val="0"/>
                <w:sz w:val="22"/>
                <w:szCs w:val="22"/>
              </w:rPr>
            </w:pPr>
          </w:p>
        </w:tc>
      </w:tr>
      <w:tr>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1</w:t>
            </w:r>
          </w:p>
        </w:tc>
        <w:tc>
          <w:tcPr>
            <w:tcW w:w="1603"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2</w:t>
            </w:r>
          </w:p>
        </w:tc>
        <w:tc>
          <w:tcPr>
            <w:tcW w:w="828"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3</w:t>
            </w:r>
          </w:p>
        </w:tc>
        <w:tc>
          <w:tcPr>
            <w:tcW w:w="1242"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4</w:t>
            </w:r>
          </w:p>
        </w:tc>
        <w:tc>
          <w:tcPr>
            <w:tcW w:w="1242"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5</w:t>
            </w:r>
          </w:p>
        </w:tc>
        <w:tc>
          <w:tcPr>
            <w:tcW w:w="1216"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6</w:t>
            </w:r>
          </w:p>
        </w:tc>
        <w:tc>
          <w:tcPr>
            <w:tcW w:w="806"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7</w:t>
            </w:r>
          </w:p>
        </w:tc>
        <w:tc>
          <w:tcPr>
            <w:tcW w:w="156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8</w:t>
            </w:r>
          </w:p>
        </w:tc>
        <w:tc>
          <w:tcPr>
            <w:tcW w:w="806"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9</w:t>
            </w:r>
          </w:p>
        </w:tc>
        <w:tc>
          <w:tcPr>
            <w:tcW w:w="1398"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10</w:t>
            </w:r>
          </w:p>
        </w:tc>
        <w:tc>
          <w:tcPr>
            <w:tcW w:w="1208"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11</w:t>
            </w:r>
          </w:p>
        </w:tc>
        <w:tc>
          <w:tcPr>
            <w:tcW w:w="1183"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12</w:t>
            </w:r>
          </w:p>
        </w:tc>
      </w:tr>
      <w:tr>
        <w:tblPrEx>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vAlign w:val="center"/>
          </w:tcPr>
          <w:p>
            <w:pPr>
              <w:widowControl/>
              <w:ind w:firstLine="200" w:firstLineChars="100"/>
              <w:jc w:val="center"/>
              <w:rPr>
                <w:rFonts w:ascii="Arial" w:hAnsi="Arial" w:cs="Arial"/>
                <w:color w:val="000000"/>
                <w:kern w:val="0"/>
                <w:sz w:val="20"/>
                <w:szCs w:val="20"/>
              </w:rPr>
            </w:pPr>
          </w:p>
        </w:tc>
        <w:tc>
          <w:tcPr>
            <w:tcW w:w="1603" w:type="dxa"/>
            <w:tcBorders>
              <w:top w:val="nil"/>
              <w:left w:val="nil"/>
              <w:bottom w:val="single" w:color="auto" w:sz="4" w:space="0"/>
              <w:right w:val="single" w:color="auto" w:sz="4" w:space="0"/>
            </w:tcBorders>
            <w:vAlign w:val="center"/>
          </w:tcPr>
          <w:p>
            <w:pPr>
              <w:widowControl/>
              <w:ind w:firstLine="200" w:firstLineChars="100"/>
              <w:jc w:val="center"/>
              <w:rPr>
                <w:rFonts w:ascii="Arial" w:hAnsi="Arial" w:cs="Arial"/>
                <w:color w:val="000000"/>
                <w:kern w:val="0"/>
                <w:sz w:val="20"/>
                <w:szCs w:val="20"/>
              </w:rPr>
            </w:pPr>
            <w:r>
              <w:rPr>
                <w:rFonts w:ascii="Arial" w:hAnsi="Arial" w:cs="Arial"/>
                <w:color w:val="000000"/>
                <w:kern w:val="0"/>
                <w:sz w:val="20"/>
                <w:szCs w:val="20"/>
              </w:rPr>
              <w:t>0</w:t>
            </w:r>
          </w:p>
        </w:tc>
        <w:tc>
          <w:tcPr>
            <w:tcW w:w="828" w:type="dxa"/>
            <w:tcBorders>
              <w:top w:val="nil"/>
              <w:left w:val="nil"/>
              <w:bottom w:val="single" w:color="auto" w:sz="4" w:space="0"/>
              <w:right w:val="single" w:color="auto" w:sz="4" w:space="0"/>
            </w:tcBorders>
            <w:vAlign w:val="center"/>
          </w:tcPr>
          <w:p>
            <w:pPr>
              <w:widowControl/>
              <w:ind w:firstLine="200" w:firstLineChars="100"/>
              <w:jc w:val="center"/>
              <w:rPr>
                <w:rFonts w:ascii="Arial" w:hAnsi="Arial" w:cs="Arial"/>
                <w:color w:val="000000"/>
                <w:kern w:val="0"/>
                <w:sz w:val="20"/>
                <w:szCs w:val="20"/>
              </w:rPr>
            </w:pPr>
            <w:r>
              <w:rPr>
                <w:rFonts w:ascii="Arial" w:hAnsi="Arial" w:cs="Arial"/>
                <w:color w:val="000000"/>
                <w:kern w:val="0"/>
                <w:sz w:val="20"/>
                <w:szCs w:val="20"/>
              </w:rPr>
              <w:t>8</w:t>
            </w:r>
          </w:p>
        </w:tc>
        <w:tc>
          <w:tcPr>
            <w:tcW w:w="124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0</w:t>
            </w:r>
          </w:p>
        </w:tc>
        <w:tc>
          <w:tcPr>
            <w:tcW w:w="124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8</w:t>
            </w:r>
          </w:p>
        </w:tc>
        <w:tc>
          <w:tcPr>
            <w:tcW w:w="1216" w:type="dxa"/>
            <w:tcBorders>
              <w:top w:val="nil"/>
              <w:left w:val="nil"/>
              <w:bottom w:val="single" w:color="auto" w:sz="4" w:space="0"/>
              <w:right w:val="single" w:color="auto" w:sz="4" w:space="0"/>
            </w:tcBorders>
            <w:vAlign w:val="center"/>
          </w:tcPr>
          <w:p>
            <w:pPr>
              <w:widowControl/>
              <w:ind w:firstLine="200" w:firstLineChars="100"/>
              <w:jc w:val="center"/>
              <w:rPr>
                <w:rFonts w:ascii="Arial" w:hAnsi="Arial" w:cs="Arial"/>
                <w:color w:val="000000"/>
                <w:kern w:val="0"/>
                <w:sz w:val="20"/>
                <w:szCs w:val="20"/>
              </w:rPr>
            </w:pPr>
            <w:r>
              <w:rPr>
                <w:rFonts w:ascii="Arial" w:hAnsi="Arial" w:cs="Arial"/>
                <w:color w:val="000000"/>
                <w:kern w:val="0"/>
                <w:sz w:val="20"/>
                <w:szCs w:val="20"/>
              </w:rPr>
              <w:t>0.15</w:t>
            </w:r>
          </w:p>
        </w:tc>
        <w:tc>
          <w:tcPr>
            <w:tcW w:w="806" w:type="dxa"/>
            <w:tcBorders>
              <w:top w:val="nil"/>
              <w:left w:val="nil"/>
              <w:bottom w:val="single" w:color="auto" w:sz="4" w:space="0"/>
              <w:right w:val="single" w:color="auto" w:sz="4" w:space="0"/>
            </w:tcBorders>
            <w:vAlign w:val="center"/>
          </w:tcPr>
          <w:p>
            <w:pPr>
              <w:widowControl/>
              <w:ind w:firstLine="200" w:firstLineChars="100"/>
              <w:jc w:val="center"/>
              <w:rPr>
                <w:rFonts w:ascii="Arial" w:hAnsi="Arial" w:cs="Arial"/>
                <w:color w:val="000000"/>
                <w:kern w:val="0"/>
                <w:sz w:val="20"/>
                <w:szCs w:val="20"/>
              </w:rPr>
            </w:pPr>
            <w:r>
              <w:rPr>
                <w:rFonts w:ascii="Arial" w:hAnsi="Arial" w:cs="Arial"/>
                <w:color w:val="000000"/>
                <w:kern w:val="0"/>
                <w:sz w:val="20"/>
                <w:szCs w:val="20"/>
              </w:rPr>
              <w:t>0</w:t>
            </w:r>
          </w:p>
        </w:tc>
        <w:tc>
          <w:tcPr>
            <w:tcW w:w="1560" w:type="dxa"/>
            <w:tcBorders>
              <w:top w:val="nil"/>
              <w:left w:val="nil"/>
              <w:bottom w:val="single" w:color="auto" w:sz="4" w:space="0"/>
              <w:right w:val="single" w:color="auto" w:sz="4" w:space="0"/>
            </w:tcBorders>
            <w:vAlign w:val="center"/>
          </w:tcPr>
          <w:p>
            <w:pPr>
              <w:widowControl/>
              <w:ind w:firstLine="200" w:firstLineChars="100"/>
              <w:jc w:val="center"/>
              <w:rPr>
                <w:rFonts w:ascii="Arial" w:hAnsi="Arial" w:cs="Arial"/>
                <w:color w:val="000000"/>
                <w:kern w:val="0"/>
                <w:sz w:val="20"/>
                <w:szCs w:val="20"/>
              </w:rPr>
            </w:pPr>
            <w:r>
              <w:rPr>
                <w:rFonts w:ascii="Arial" w:hAnsi="Arial" w:cs="Arial"/>
                <w:color w:val="000000"/>
                <w:kern w:val="0"/>
                <w:sz w:val="20"/>
                <w:szCs w:val="20"/>
              </w:rPr>
              <w:t>0</w:t>
            </w:r>
          </w:p>
        </w:tc>
        <w:tc>
          <w:tcPr>
            <w:tcW w:w="806" w:type="dxa"/>
            <w:tcBorders>
              <w:top w:val="nil"/>
              <w:left w:val="nil"/>
              <w:bottom w:val="single" w:color="auto" w:sz="4" w:space="0"/>
              <w:right w:val="single" w:color="auto" w:sz="4" w:space="0"/>
            </w:tcBorders>
            <w:vAlign w:val="center"/>
          </w:tcPr>
          <w:p>
            <w:pPr>
              <w:widowControl/>
              <w:ind w:firstLine="200" w:firstLineChars="100"/>
              <w:jc w:val="center"/>
              <w:rPr>
                <w:rFonts w:ascii="Arial" w:hAnsi="Arial" w:cs="Arial"/>
                <w:color w:val="000000"/>
                <w:kern w:val="0"/>
                <w:sz w:val="20"/>
                <w:szCs w:val="20"/>
              </w:rPr>
            </w:pPr>
            <w:r>
              <w:rPr>
                <w:rFonts w:ascii="Arial" w:hAnsi="Arial" w:cs="Arial"/>
                <w:color w:val="000000"/>
                <w:kern w:val="0"/>
                <w:sz w:val="20"/>
                <w:szCs w:val="20"/>
              </w:rPr>
              <w:t>4.19</w:t>
            </w:r>
          </w:p>
        </w:tc>
        <w:tc>
          <w:tcPr>
            <w:tcW w:w="1398" w:type="dxa"/>
            <w:tcBorders>
              <w:top w:val="nil"/>
              <w:left w:val="nil"/>
              <w:bottom w:val="single" w:color="auto" w:sz="4" w:space="0"/>
              <w:right w:val="single" w:color="auto" w:sz="4" w:space="0"/>
            </w:tcBorders>
            <w:vAlign w:val="center"/>
          </w:tcPr>
          <w:p>
            <w:pPr>
              <w:widowControl/>
              <w:ind w:firstLine="400" w:firstLineChars="200"/>
              <w:jc w:val="center"/>
              <w:rPr>
                <w:rFonts w:ascii="Arial" w:hAnsi="Arial" w:cs="Arial"/>
                <w:color w:val="000000"/>
                <w:kern w:val="0"/>
                <w:sz w:val="20"/>
                <w:szCs w:val="20"/>
              </w:rPr>
            </w:pPr>
            <w:r>
              <w:rPr>
                <w:rFonts w:ascii="Arial" w:hAnsi="Arial" w:cs="Arial"/>
                <w:color w:val="000000"/>
                <w:kern w:val="0"/>
                <w:sz w:val="20"/>
                <w:szCs w:val="20"/>
              </w:rPr>
              <w:t>0</w:t>
            </w:r>
          </w:p>
        </w:tc>
        <w:tc>
          <w:tcPr>
            <w:tcW w:w="1208"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4.19</w:t>
            </w:r>
          </w:p>
        </w:tc>
        <w:tc>
          <w:tcPr>
            <w:tcW w:w="1183" w:type="dxa"/>
            <w:tcBorders>
              <w:top w:val="nil"/>
              <w:left w:val="nil"/>
              <w:bottom w:val="single" w:color="auto" w:sz="4" w:space="0"/>
              <w:right w:val="single" w:color="auto" w:sz="4" w:space="0"/>
            </w:tcBorders>
            <w:vAlign w:val="center"/>
          </w:tcPr>
          <w:p>
            <w:pPr>
              <w:widowControl/>
              <w:ind w:firstLine="200" w:firstLineChars="100"/>
              <w:jc w:val="center"/>
              <w:rPr>
                <w:rFonts w:ascii="Arial" w:hAnsi="Arial" w:cs="Arial"/>
                <w:color w:val="000000"/>
                <w:kern w:val="0"/>
                <w:sz w:val="20"/>
                <w:szCs w:val="20"/>
              </w:rPr>
            </w:pPr>
            <w:r>
              <w:rPr>
                <w:rFonts w:ascii="Arial" w:hAnsi="Arial" w:cs="Arial"/>
                <w:color w:val="000000"/>
                <w:kern w:val="0"/>
                <w:sz w:val="20"/>
                <w:szCs w:val="20"/>
              </w:rPr>
              <w:t>0.15</w:t>
            </w:r>
          </w:p>
        </w:tc>
      </w:tr>
    </w:tbl>
    <w:p>
      <w:pPr>
        <w:sectPr>
          <w:pgSz w:w="16838" w:h="11906" w:orient="landscape"/>
          <w:pgMar w:top="1797" w:right="1440" w:bottom="1797" w:left="1440" w:header="851" w:footer="992" w:gutter="0"/>
          <w:pgNumType w:fmt="numberInDash"/>
          <w:cols w:space="720" w:num="1"/>
          <w:docGrid w:type="lines" w:linePitch="312" w:charSpace="0"/>
        </w:sectPr>
      </w:pPr>
      <w:r>
        <w:rPr>
          <w:rFonts w:hint="eastAsia" w:cs="宋体"/>
        </w:rPr>
        <w:t>注：本表反映本年度“三公”经费支出预决算情况。其中，</w:t>
      </w:r>
      <w:r>
        <w:t>2020</w:t>
      </w:r>
      <w:r>
        <w:rPr>
          <w:rFonts w:hint="eastAsia" w:cs="宋体"/>
        </w:rPr>
        <w:t>年度预算数为“三公”经费年初预算数，决算数是包括当年一般公共预算财政拨款和以前年度结转资金安排的实际支出。</w:t>
      </w:r>
    </w:p>
    <w:p/>
    <w:p/>
    <w:tbl>
      <w:tblPr>
        <w:tblStyle w:val="5"/>
        <w:tblW w:w="12480" w:type="dxa"/>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kern w:val="0"/>
                <w:sz w:val="36"/>
                <w:szCs w:val="36"/>
              </w:rPr>
            </w:pPr>
            <w:r>
              <w:rPr>
                <w:rFonts w:hint="eastAsia" w:ascii="方正小标宋简体" w:hAnsi="宋体" w:eastAsia="方正小标宋简体" w:cs="方正小标宋简体"/>
                <w:kern w:val="0"/>
                <w:sz w:val="36"/>
                <w:szCs w:val="36"/>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ascii="仿宋_GB2312" w:hAnsi="宋体"/>
                <w:kern w:val="0"/>
                <w:sz w:val="24"/>
                <w:szCs w:val="24"/>
              </w:rPr>
            </w:pPr>
          </w:p>
        </w:tc>
        <w:tc>
          <w:tcPr>
            <w:tcW w:w="1385" w:type="dxa"/>
            <w:tcBorders>
              <w:top w:val="nil"/>
              <w:left w:val="nil"/>
              <w:bottom w:val="nil"/>
              <w:right w:val="nil"/>
            </w:tcBorders>
            <w:vAlign w:val="bottom"/>
          </w:tcPr>
          <w:p>
            <w:pPr>
              <w:widowControl/>
              <w:jc w:val="left"/>
              <w:rPr>
                <w:rFonts w:ascii="仿宋_GB2312" w:hAnsi="宋体"/>
                <w:kern w:val="0"/>
                <w:sz w:val="24"/>
                <w:szCs w:val="24"/>
              </w:rPr>
            </w:pPr>
          </w:p>
        </w:tc>
        <w:tc>
          <w:tcPr>
            <w:tcW w:w="765" w:type="dxa"/>
            <w:tcBorders>
              <w:top w:val="nil"/>
              <w:left w:val="nil"/>
              <w:bottom w:val="nil"/>
              <w:right w:val="nil"/>
            </w:tcBorders>
            <w:vAlign w:val="bottom"/>
          </w:tcPr>
          <w:p>
            <w:pPr>
              <w:widowControl/>
              <w:jc w:val="left"/>
              <w:rPr>
                <w:rFonts w:ascii="仿宋_GB2312" w:hAnsi="宋体"/>
                <w:kern w:val="0"/>
                <w:sz w:val="24"/>
                <w:szCs w:val="24"/>
              </w:rPr>
            </w:pPr>
          </w:p>
        </w:tc>
        <w:tc>
          <w:tcPr>
            <w:tcW w:w="1040" w:type="dxa"/>
            <w:tcBorders>
              <w:top w:val="nil"/>
              <w:left w:val="nil"/>
              <w:bottom w:val="nil"/>
              <w:right w:val="nil"/>
            </w:tcBorders>
            <w:vAlign w:val="bottom"/>
          </w:tcPr>
          <w:p>
            <w:pPr>
              <w:widowControl/>
              <w:jc w:val="left"/>
              <w:rPr>
                <w:rFonts w:ascii="仿宋_GB2312" w:hAnsi="宋体"/>
                <w:kern w:val="0"/>
                <w:sz w:val="24"/>
                <w:szCs w:val="24"/>
              </w:rPr>
            </w:pPr>
          </w:p>
        </w:tc>
        <w:tc>
          <w:tcPr>
            <w:tcW w:w="1040" w:type="dxa"/>
            <w:tcBorders>
              <w:top w:val="nil"/>
              <w:left w:val="nil"/>
              <w:bottom w:val="nil"/>
              <w:right w:val="nil"/>
            </w:tcBorders>
            <w:vAlign w:val="bottom"/>
          </w:tcPr>
          <w:p>
            <w:pPr>
              <w:widowControl/>
              <w:jc w:val="left"/>
              <w:rPr>
                <w:rFonts w:ascii="仿宋_GB2312" w:hAnsi="宋体"/>
                <w:kern w:val="0"/>
                <w:sz w:val="24"/>
                <w:szCs w:val="24"/>
              </w:rPr>
            </w:pPr>
          </w:p>
        </w:tc>
        <w:tc>
          <w:tcPr>
            <w:tcW w:w="1040" w:type="dxa"/>
            <w:tcBorders>
              <w:top w:val="nil"/>
              <w:left w:val="nil"/>
              <w:bottom w:val="nil"/>
              <w:right w:val="nil"/>
            </w:tcBorders>
            <w:vAlign w:val="bottom"/>
          </w:tcPr>
          <w:p>
            <w:pPr>
              <w:widowControl/>
              <w:jc w:val="left"/>
              <w:rPr>
                <w:rFonts w:ascii="仿宋_GB2312" w:hAnsi="宋体"/>
                <w:kern w:val="0"/>
                <w:sz w:val="24"/>
                <w:szCs w:val="24"/>
              </w:rPr>
            </w:pPr>
          </w:p>
        </w:tc>
        <w:tc>
          <w:tcPr>
            <w:tcW w:w="1040" w:type="dxa"/>
            <w:tcBorders>
              <w:top w:val="nil"/>
              <w:left w:val="nil"/>
              <w:bottom w:val="nil"/>
              <w:right w:val="nil"/>
            </w:tcBorders>
            <w:vAlign w:val="bottom"/>
          </w:tcPr>
          <w:p>
            <w:pPr>
              <w:widowControl/>
              <w:jc w:val="left"/>
              <w:rPr>
                <w:rFonts w:ascii="仿宋_GB2312" w:hAnsi="宋体"/>
                <w:kern w:val="0"/>
                <w:sz w:val="24"/>
                <w:szCs w:val="24"/>
              </w:rPr>
            </w:pPr>
          </w:p>
        </w:tc>
        <w:tc>
          <w:tcPr>
            <w:tcW w:w="1040" w:type="dxa"/>
            <w:tcBorders>
              <w:top w:val="nil"/>
              <w:left w:val="nil"/>
              <w:bottom w:val="nil"/>
              <w:right w:val="nil"/>
            </w:tcBorders>
            <w:vAlign w:val="bottom"/>
          </w:tcPr>
          <w:p>
            <w:pPr>
              <w:widowControl/>
              <w:jc w:val="left"/>
              <w:rPr>
                <w:rFonts w:ascii="仿宋_GB2312" w:hAnsi="宋体"/>
                <w:kern w:val="0"/>
                <w:sz w:val="24"/>
                <w:szCs w:val="24"/>
              </w:rPr>
            </w:pPr>
          </w:p>
        </w:tc>
        <w:tc>
          <w:tcPr>
            <w:tcW w:w="1040" w:type="dxa"/>
            <w:tcBorders>
              <w:top w:val="nil"/>
              <w:left w:val="nil"/>
              <w:bottom w:val="nil"/>
              <w:right w:val="nil"/>
            </w:tcBorders>
            <w:vAlign w:val="bottom"/>
          </w:tcPr>
          <w:p>
            <w:pPr>
              <w:widowControl/>
              <w:jc w:val="left"/>
              <w:rPr>
                <w:rFonts w:ascii="仿宋_GB2312" w:hAnsi="宋体"/>
                <w:kern w:val="0"/>
                <w:sz w:val="24"/>
                <w:szCs w:val="24"/>
              </w:rPr>
            </w:pPr>
          </w:p>
        </w:tc>
        <w:tc>
          <w:tcPr>
            <w:tcW w:w="1040" w:type="dxa"/>
            <w:tcBorders>
              <w:top w:val="nil"/>
              <w:left w:val="nil"/>
              <w:bottom w:val="nil"/>
              <w:right w:val="nil"/>
            </w:tcBorders>
            <w:vAlign w:val="bottom"/>
          </w:tcPr>
          <w:p>
            <w:pPr>
              <w:widowControl/>
              <w:jc w:val="left"/>
              <w:rPr>
                <w:rFonts w:ascii="仿宋_GB2312" w:hAnsi="宋体"/>
                <w:kern w:val="0"/>
                <w:sz w:val="24"/>
                <w:szCs w:val="24"/>
              </w:rPr>
            </w:pPr>
          </w:p>
        </w:tc>
        <w:tc>
          <w:tcPr>
            <w:tcW w:w="2010" w:type="dxa"/>
            <w:gridSpan w:val="2"/>
            <w:tcBorders>
              <w:top w:val="nil"/>
              <w:left w:val="nil"/>
              <w:bottom w:val="nil"/>
              <w:right w:val="nil"/>
            </w:tcBorders>
            <w:vAlign w:val="bottom"/>
          </w:tcPr>
          <w:p>
            <w:pPr>
              <w:widowControl/>
              <w:jc w:val="right"/>
              <w:rPr>
                <w:rFonts w:ascii="仿宋_GB2312" w:hAnsi="宋体"/>
                <w:kern w:val="0"/>
                <w:sz w:val="22"/>
                <w:szCs w:val="22"/>
              </w:rPr>
            </w:pPr>
            <w:r>
              <w:rPr>
                <w:rFonts w:hint="eastAsia" w:ascii="仿宋_GB2312" w:hAnsi="宋体" w:cs="宋体"/>
                <w:kern w:val="0"/>
                <w:sz w:val="22"/>
                <w:szCs w:val="22"/>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vAlign w:val="center"/>
          </w:tcPr>
          <w:p>
            <w:pPr>
              <w:widowControl/>
              <w:jc w:val="center"/>
              <w:rPr>
                <w:rFonts w:ascii="宋体"/>
                <w:kern w:val="0"/>
                <w:sz w:val="22"/>
                <w:szCs w:val="22"/>
              </w:rPr>
            </w:pPr>
            <w:r>
              <w:rPr>
                <w:rFonts w:hint="eastAsia" w:ascii="宋体" w:hAnsi="宋体" w:cs="宋体"/>
                <w:kern w:val="0"/>
                <w:sz w:val="22"/>
                <w:szCs w:val="22"/>
              </w:rPr>
              <w:t>支出功能分类科目编码</w:t>
            </w:r>
          </w:p>
        </w:tc>
        <w:tc>
          <w:tcPr>
            <w:tcW w:w="13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年初结转和结余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项目支出结转和结余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2"/>
                <w:szCs w:val="22"/>
              </w:rPr>
            </w:pPr>
          </w:p>
        </w:tc>
        <w:tc>
          <w:tcPr>
            <w:tcW w:w="765" w:type="dxa"/>
            <w:vMerge w:val="continue"/>
            <w:tcBorders>
              <w:top w:val="nil"/>
              <w:left w:val="single" w:color="auto" w:sz="4" w:space="0"/>
              <w:bottom w:val="nil"/>
              <w:right w:val="single" w:color="auto" w:sz="4" w:space="0"/>
            </w:tcBorders>
            <w:vAlign w:val="center"/>
          </w:tcPr>
          <w:p>
            <w:pPr>
              <w:widowControl/>
              <w:jc w:val="left"/>
              <w:rPr>
                <w:rFonts w:ascii="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r>
      <w:tr>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合</w:t>
            </w:r>
            <w:r>
              <w:rPr>
                <w:rFonts w:ascii="宋体" w:hAnsi="宋体" w:cs="宋体"/>
                <w:kern w:val="0"/>
                <w:sz w:val="22"/>
                <w:szCs w:val="22"/>
              </w:rPr>
              <w:t xml:space="preserve">  </w:t>
            </w:r>
            <w:r>
              <w:rPr>
                <w:rFonts w:hint="eastAsia" w:ascii="宋体" w:hAnsi="宋体" w:cs="宋体"/>
                <w:kern w:val="0"/>
                <w:sz w:val="22"/>
                <w:szCs w:val="22"/>
              </w:rPr>
              <w:t>计</w:t>
            </w:r>
          </w:p>
        </w:tc>
        <w:tc>
          <w:tcPr>
            <w:tcW w:w="765" w:type="dxa"/>
            <w:tcBorders>
              <w:top w:val="single" w:color="auto" w:sz="4" w:space="0"/>
              <w:left w:val="nil"/>
              <w:bottom w:val="single" w:color="auto" w:sz="4" w:space="0"/>
              <w:right w:val="single" w:color="auto" w:sz="4" w:space="0"/>
            </w:tcBorders>
            <w:vAlign w:val="center"/>
          </w:tcPr>
          <w:p>
            <w:pPr>
              <w:widowControl/>
              <w:jc w:val="right"/>
              <w:rPr>
                <w:rFonts w:ascii="宋体"/>
                <w:kern w:val="0"/>
                <w:sz w:val="22"/>
                <w:szCs w:val="22"/>
              </w:rPr>
            </w:pPr>
            <w:r>
              <w:rPr>
                <w:rFonts w:ascii="宋体" w:cs="宋体"/>
                <w:kern w:val="0"/>
                <w:sz w:val="22"/>
                <w:szCs w:val="22"/>
              </w:rPr>
              <w:t>0</w:t>
            </w: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kern w:val="0"/>
                <w:sz w:val="22"/>
                <w:szCs w:val="22"/>
              </w:rPr>
            </w:pPr>
            <w:r>
              <w:rPr>
                <w:rFonts w:ascii="宋体" w:cs="宋体"/>
                <w:kern w:val="0"/>
                <w:sz w:val="22"/>
                <w:szCs w:val="22"/>
              </w:rPr>
              <w:t>0</w:t>
            </w: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kern w:val="0"/>
                <w:sz w:val="22"/>
                <w:szCs w:val="22"/>
              </w:rPr>
            </w:pPr>
            <w:r>
              <w:rPr>
                <w:rFonts w:ascii="宋体" w:cs="宋体"/>
                <w:kern w:val="0"/>
                <w:sz w:val="22"/>
                <w:szCs w:val="22"/>
              </w:rPr>
              <w:t>0</w:t>
            </w: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kern w:val="0"/>
                <w:sz w:val="22"/>
                <w:szCs w:val="22"/>
              </w:rPr>
            </w:pPr>
            <w:r>
              <w:rPr>
                <w:rFonts w:ascii="宋体" w:cs="宋体"/>
                <w:kern w:val="0"/>
                <w:sz w:val="22"/>
                <w:szCs w:val="22"/>
              </w:rPr>
              <w:t>0</w:t>
            </w: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ascii="宋体" w:cs="宋体"/>
                <w:kern w:val="0"/>
                <w:sz w:val="22"/>
                <w:szCs w:val="22"/>
              </w:rPr>
              <w:t>0</w:t>
            </w: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ascii="宋体" w:cs="宋体"/>
                <w:kern w:val="0"/>
                <w:sz w:val="22"/>
                <w:szCs w:val="22"/>
              </w:rPr>
              <w:t>0</w:t>
            </w: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ascii="宋体" w:cs="宋体"/>
                <w:kern w:val="0"/>
                <w:sz w:val="22"/>
                <w:szCs w:val="22"/>
              </w:rPr>
              <w:t>0</w:t>
            </w: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ascii="宋体" w:cs="宋体"/>
                <w:kern w:val="0"/>
                <w:sz w:val="22"/>
                <w:szCs w:val="22"/>
              </w:rPr>
              <w:t>0</w:t>
            </w: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ascii="宋体" w:cs="宋体"/>
                <w:kern w:val="0"/>
                <w:sz w:val="22"/>
                <w:szCs w:val="22"/>
              </w:rPr>
              <w:t>0</w:t>
            </w: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ascii="宋体" w:cs="宋体"/>
                <w:kern w:val="0"/>
                <w:sz w:val="22"/>
                <w:szCs w:val="22"/>
              </w:rPr>
              <w:t>0</w:t>
            </w: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rPr>
                <w:rFonts w:ascii="宋体"/>
                <w:kern w:val="0"/>
                <w:sz w:val="22"/>
                <w:szCs w:val="22"/>
              </w:rPr>
            </w:pPr>
            <w:r>
              <w:rPr>
                <w:rFonts w:hint="eastAsia" w:ascii="宋体" w:hAnsi="宋体" w:cs="宋体"/>
                <w:kern w:val="0"/>
                <w:sz w:val="22"/>
                <w:szCs w:val="22"/>
              </w:rPr>
              <w:t>　类</w:t>
            </w:r>
          </w:p>
        </w:tc>
        <w:tc>
          <w:tcPr>
            <w:tcW w:w="1385"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款</w:t>
            </w:r>
          </w:p>
        </w:tc>
        <w:tc>
          <w:tcPr>
            <w:tcW w:w="1385"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项</w:t>
            </w:r>
          </w:p>
        </w:tc>
        <w:tc>
          <w:tcPr>
            <w:tcW w:w="1385"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r>
    </w:tbl>
    <w:p>
      <w:pPr>
        <w:spacing w:line="560" w:lineRule="exact"/>
        <w:ind w:firstLine="420"/>
      </w:pPr>
      <w:r>
        <w:rPr>
          <w:rFonts w:hint="eastAsia" w:cs="宋体"/>
        </w:rPr>
        <w:t>注：本表反映本年度政府性基金预算财政拨款收入支出及结转和结余情况。</w:t>
      </w:r>
    </w:p>
    <w:p>
      <w:pPr>
        <w:spacing w:line="560" w:lineRule="exact"/>
        <w:ind w:firstLine="420"/>
      </w:pPr>
      <w:r>
        <w:rPr>
          <w:rFonts w:hint="eastAsia" w:cs="宋体"/>
        </w:rPr>
        <w:t>备注：</w:t>
      </w:r>
      <w:r>
        <w:rPr>
          <w:rFonts w:hint="eastAsia" w:cs="宋体"/>
          <w:lang w:eastAsia="zh-CN"/>
        </w:rPr>
        <w:t>本单位</w:t>
      </w:r>
      <w:r>
        <w:rPr>
          <w:rFonts w:hint="eastAsia" w:cs="宋体"/>
        </w:rPr>
        <w:t>没有政府性基金预算财政拨款收入，也没有政府性基金预算安排的支出，故本表无数据。</w:t>
      </w:r>
    </w:p>
    <w:p>
      <w:pPr>
        <w:spacing w:line="560" w:lineRule="exact"/>
        <w:ind w:firstLine="420"/>
      </w:pPr>
    </w:p>
    <w:p>
      <w:pPr>
        <w:spacing w:line="560" w:lineRule="exact"/>
        <w:ind w:firstLine="420"/>
      </w:pPr>
    </w:p>
    <w:tbl>
      <w:tblPr>
        <w:tblStyle w:val="5"/>
        <w:tblW w:w="13520" w:type="dxa"/>
        <w:tblInd w:w="-13" w:type="dxa"/>
        <w:tblLayout w:type="fixed"/>
        <w:tblCellMar>
          <w:top w:w="15" w:type="dxa"/>
          <w:left w:w="15" w:type="dxa"/>
          <w:bottom w:w="15" w:type="dxa"/>
          <w:right w:w="15" w:type="dxa"/>
        </w:tblCellMar>
      </w:tblPr>
      <w:tblGrid>
        <w:gridCol w:w="1318"/>
        <w:gridCol w:w="1292"/>
        <w:gridCol w:w="2249"/>
        <w:gridCol w:w="3242"/>
        <w:gridCol w:w="1344"/>
        <w:gridCol w:w="4075"/>
      </w:tblGrid>
      <w:tr>
        <w:tblPrEx>
          <w:tblCellMar>
            <w:top w:w="15" w:type="dxa"/>
            <w:left w:w="15" w:type="dxa"/>
            <w:bottom w:w="15" w:type="dxa"/>
            <w:right w:w="15" w:type="dxa"/>
          </w:tblCellMar>
        </w:tblPrEx>
        <w:trPr>
          <w:trHeight w:val="768" w:hRule="atLeast"/>
        </w:trPr>
        <w:tc>
          <w:tcPr>
            <w:tcW w:w="13520" w:type="dxa"/>
            <w:gridSpan w:val="6"/>
            <w:shd w:val="clear" w:color="auto" w:fill="FFFFFF"/>
            <w:vAlign w:val="center"/>
          </w:tcPr>
          <w:p>
            <w:pPr>
              <w:widowControl/>
              <w:jc w:val="center"/>
              <w:textAlignment w:val="center"/>
              <w:rPr>
                <w:rFonts w:ascii="华文中宋" w:hAnsi="华文中宋" w:eastAsia="华文中宋"/>
                <w:color w:val="000000"/>
                <w:sz w:val="32"/>
                <w:szCs w:val="32"/>
              </w:rPr>
            </w:pPr>
            <w:r>
              <w:rPr>
                <w:rFonts w:hint="eastAsia" w:ascii="华文中宋" w:hAnsi="华文中宋" w:eastAsia="华文中宋" w:cs="华文中宋"/>
                <w:color w:val="000000"/>
                <w:kern w:val="0"/>
                <w:sz w:val="32"/>
                <w:szCs w:val="32"/>
              </w:rPr>
              <w:t>表九：国有资本经营预算财政拨款支出决算表</w:t>
            </w:r>
          </w:p>
        </w:tc>
      </w:tr>
      <w:tr>
        <w:tblPrEx>
          <w:tblCellMar>
            <w:top w:w="15" w:type="dxa"/>
            <w:left w:w="15" w:type="dxa"/>
            <w:bottom w:w="15" w:type="dxa"/>
            <w:right w:w="15" w:type="dxa"/>
          </w:tblCellMar>
        </w:tblPrEx>
        <w:trPr>
          <w:trHeight w:val="350" w:hRule="atLeast"/>
        </w:trPr>
        <w:tc>
          <w:tcPr>
            <w:tcW w:w="1318" w:type="dxa"/>
            <w:shd w:val="clear" w:color="auto" w:fill="FFFFFF"/>
            <w:vAlign w:val="center"/>
          </w:tcPr>
          <w:p>
            <w:pPr>
              <w:widowControl/>
              <w:jc w:val="left"/>
              <w:textAlignment w:val="center"/>
              <w:rPr>
                <w:rFonts w:ascii="宋体"/>
                <w:color w:val="000000"/>
                <w:sz w:val="20"/>
                <w:szCs w:val="20"/>
              </w:rPr>
            </w:pPr>
          </w:p>
        </w:tc>
        <w:tc>
          <w:tcPr>
            <w:tcW w:w="1292" w:type="dxa"/>
            <w:shd w:val="clear" w:color="auto" w:fill="FFFFFF"/>
            <w:vAlign w:val="center"/>
          </w:tcPr>
          <w:p>
            <w:pPr>
              <w:jc w:val="center"/>
              <w:rPr>
                <w:rFonts w:ascii="宋体"/>
                <w:color w:val="000000"/>
                <w:sz w:val="20"/>
                <w:szCs w:val="20"/>
              </w:rPr>
            </w:pPr>
          </w:p>
        </w:tc>
        <w:tc>
          <w:tcPr>
            <w:tcW w:w="2249" w:type="dxa"/>
            <w:shd w:val="clear" w:color="auto" w:fill="FFFFFF"/>
            <w:vAlign w:val="center"/>
          </w:tcPr>
          <w:p>
            <w:pPr>
              <w:jc w:val="center"/>
              <w:rPr>
                <w:rFonts w:ascii="宋体"/>
                <w:color w:val="000000"/>
                <w:sz w:val="20"/>
                <w:szCs w:val="20"/>
              </w:rPr>
            </w:pPr>
          </w:p>
        </w:tc>
        <w:tc>
          <w:tcPr>
            <w:tcW w:w="3242" w:type="dxa"/>
            <w:tcBorders>
              <w:bottom w:val="single" w:color="000000" w:sz="12" w:space="0"/>
            </w:tcBorders>
            <w:shd w:val="clear" w:color="auto" w:fill="FFFFFF"/>
            <w:vAlign w:val="center"/>
          </w:tcPr>
          <w:p>
            <w:pPr>
              <w:rPr>
                <w:rFonts w:ascii="宋体"/>
                <w:color w:val="000000"/>
                <w:sz w:val="20"/>
                <w:szCs w:val="20"/>
              </w:rPr>
            </w:pPr>
          </w:p>
        </w:tc>
        <w:tc>
          <w:tcPr>
            <w:tcW w:w="1344" w:type="dxa"/>
            <w:tcBorders>
              <w:bottom w:val="single" w:color="000000" w:sz="12" w:space="0"/>
            </w:tcBorders>
            <w:shd w:val="clear" w:color="auto" w:fill="FFFFFF"/>
            <w:vAlign w:val="center"/>
          </w:tcPr>
          <w:p>
            <w:pPr>
              <w:rPr>
                <w:rFonts w:ascii="宋体"/>
                <w:color w:val="000000"/>
                <w:sz w:val="20"/>
                <w:szCs w:val="20"/>
              </w:rPr>
            </w:pPr>
          </w:p>
        </w:tc>
        <w:tc>
          <w:tcPr>
            <w:tcW w:w="4075" w:type="dxa"/>
            <w:shd w:val="clear" w:color="auto" w:fill="FFFFFF"/>
            <w:vAlign w:val="center"/>
          </w:tcPr>
          <w:p>
            <w:pPr>
              <w:widowControl/>
              <w:jc w:val="right"/>
              <w:textAlignment w:val="center"/>
              <w:rPr>
                <w:rFonts w:ascii="宋体"/>
                <w:color w:val="000000"/>
                <w:sz w:val="20"/>
                <w:szCs w:val="20"/>
              </w:rPr>
            </w:pPr>
            <w:r>
              <w:rPr>
                <w:rFonts w:hint="eastAsia" w:ascii="宋体" w:hAnsi="宋体" w:cs="宋体"/>
                <w:color w:val="000000"/>
                <w:kern w:val="0"/>
                <w:sz w:val="20"/>
                <w:szCs w:val="20"/>
              </w:rPr>
              <w:t>单位：万元</w:t>
            </w:r>
          </w:p>
        </w:tc>
      </w:tr>
      <w:tr>
        <w:tblPrEx>
          <w:tblCellMar>
            <w:top w:w="15" w:type="dxa"/>
            <w:left w:w="15" w:type="dxa"/>
            <w:bottom w:w="15" w:type="dxa"/>
            <w:right w:w="15" w:type="dxa"/>
          </w:tblCellMar>
        </w:tblPrEx>
        <w:trPr>
          <w:trHeight w:val="460" w:hRule="atLeast"/>
        </w:trPr>
        <w:tc>
          <w:tcPr>
            <w:tcW w:w="4859"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项</w:t>
            </w:r>
            <w:r>
              <w:rPr>
                <w:rFonts w:ascii="宋体" w:hAnsi="宋体" w:cs="宋体"/>
                <w:color w:val="000000"/>
                <w:kern w:val="0"/>
                <w:sz w:val="24"/>
                <w:szCs w:val="24"/>
              </w:rPr>
              <w:t xml:space="preserve"> </w:t>
            </w:r>
            <w:r>
              <w:rPr>
                <w:rStyle w:val="12"/>
                <w:rFonts w:hint="eastAsia"/>
              </w:rPr>
              <w:t>目</w:t>
            </w:r>
          </w:p>
        </w:tc>
        <w:tc>
          <w:tcPr>
            <w:tcW w:w="8661" w:type="dxa"/>
            <w:gridSpan w:val="3"/>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本年支出</w:t>
            </w:r>
          </w:p>
        </w:tc>
      </w:tr>
      <w:tr>
        <w:tblPrEx>
          <w:tblCellMar>
            <w:top w:w="15" w:type="dxa"/>
            <w:left w:w="15" w:type="dxa"/>
            <w:bottom w:w="15" w:type="dxa"/>
            <w:right w:w="15" w:type="dxa"/>
          </w:tblCellMar>
        </w:tblPrEx>
        <w:trPr>
          <w:trHeight w:val="440" w:hRule="atLeast"/>
        </w:trPr>
        <w:tc>
          <w:tcPr>
            <w:tcW w:w="2610" w:type="dxa"/>
            <w:gridSpan w:val="2"/>
            <w:vMerge w:val="restart"/>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科目名称</w:t>
            </w:r>
          </w:p>
        </w:tc>
        <w:tc>
          <w:tcPr>
            <w:tcW w:w="3242"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合计</w:t>
            </w:r>
          </w:p>
        </w:tc>
        <w:tc>
          <w:tcPr>
            <w:tcW w:w="1344"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基本支出</w:t>
            </w:r>
            <w:r>
              <w:rPr>
                <w:rFonts w:ascii="宋体" w:hAnsi="宋体" w:cs="宋体"/>
                <w:color w:val="000000"/>
                <w:kern w:val="0"/>
                <w:sz w:val="24"/>
                <w:szCs w:val="24"/>
              </w:rPr>
              <w:t xml:space="preserve">  </w:t>
            </w:r>
          </w:p>
        </w:tc>
        <w:tc>
          <w:tcPr>
            <w:tcW w:w="40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项目支出</w:t>
            </w:r>
          </w:p>
        </w:tc>
      </w:tr>
      <w:tr>
        <w:tblPrEx>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ascii="宋体"/>
                <w:color w:val="000000"/>
                <w:sz w:val="24"/>
                <w:szCs w:val="24"/>
              </w:rPr>
            </w:pPr>
          </w:p>
        </w:tc>
        <w:tc>
          <w:tcPr>
            <w:tcW w:w="22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olor w:val="000000"/>
                <w:sz w:val="24"/>
                <w:szCs w:val="24"/>
              </w:rPr>
            </w:pPr>
          </w:p>
        </w:tc>
        <w:tc>
          <w:tcPr>
            <w:tcW w:w="3242" w:type="dxa"/>
            <w:vMerge w:val="continue"/>
            <w:tcBorders>
              <w:left w:val="single" w:color="000000" w:sz="4" w:space="0"/>
              <w:bottom w:val="single" w:color="000000" w:sz="4" w:space="0"/>
              <w:right w:val="single" w:color="000000" w:sz="4" w:space="0"/>
            </w:tcBorders>
            <w:vAlign w:val="center"/>
          </w:tcPr>
          <w:p>
            <w:pPr>
              <w:jc w:val="center"/>
              <w:rPr>
                <w:rFonts w:ascii="宋体"/>
                <w:color w:val="000000"/>
                <w:sz w:val="24"/>
                <w:szCs w:val="24"/>
              </w:rPr>
            </w:pPr>
          </w:p>
        </w:tc>
        <w:tc>
          <w:tcPr>
            <w:tcW w:w="1344" w:type="dxa"/>
            <w:vMerge w:val="continue"/>
            <w:tcBorders>
              <w:left w:val="single" w:color="000000" w:sz="4" w:space="0"/>
              <w:bottom w:val="single" w:color="000000" w:sz="4" w:space="0"/>
              <w:right w:val="single" w:color="000000" w:sz="4" w:space="0"/>
            </w:tcBorders>
            <w:vAlign w:val="center"/>
          </w:tcPr>
          <w:p>
            <w:pPr>
              <w:jc w:val="center"/>
              <w:rPr>
                <w:rFonts w:ascii="宋体"/>
                <w:color w:val="000000"/>
                <w:sz w:val="24"/>
                <w:szCs w:val="24"/>
              </w:rPr>
            </w:pPr>
          </w:p>
        </w:tc>
        <w:tc>
          <w:tcPr>
            <w:tcW w:w="40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olor w:val="000000"/>
                <w:sz w:val="24"/>
                <w:szCs w:val="24"/>
              </w:rPr>
            </w:pPr>
          </w:p>
        </w:tc>
      </w:tr>
      <w:tr>
        <w:tblPrEx>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ascii="宋体"/>
                <w:color w:val="000000"/>
                <w:sz w:val="24"/>
                <w:szCs w:val="24"/>
              </w:rPr>
            </w:pPr>
          </w:p>
        </w:tc>
        <w:tc>
          <w:tcPr>
            <w:tcW w:w="22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olor w:val="000000"/>
                <w:sz w:val="24"/>
                <w:szCs w:val="24"/>
              </w:rPr>
            </w:pPr>
          </w:p>
        </w:tc>
        <w:tc>
          <w:tcPr>
            <w:tcW w:w="3242" w:type="dxa"/>
            <w:vMerge w:val="continue"/>
            <w:tcBorders>
              <w:left w:val="single" w:color="000000" w:sz="4" w:space="0"/>
              <w:bottom w:val="single" w:color="000000" w:sz="4" w:space="0"/>
              <w:right w:val="single" w:color="000000" w:sz="4" w:space="0"/>
            </w:tcBorders>
            <w:vAlign w:val="center"/>
          </w:tcPr>
          <w:p>
            <w:pPr>
              <w:jc w:val="center"/>
              <w:rPr>
                <w:rFonts w:ascii="宋体"/>
                <w:color w:val="000000"/>
                <w:sz w:val="24"/>
                <w:szCs w:val="24"/>
              </w:rPr>
            </w:pPr>
          </w:p>
        </w:tc>
        <w:tc>
          <w:tcPr>
            <w:tcW w:w="1344" w:type="dxa"/>
            <w:vMerge w:val="continue"/>
            <w:tcBorders>
              <w:left w:val="single" w:color="000000" w:sz="4" w:space="0"/>
              <w:bottom w:val="single" w:color="000000" w:sz="4" w:space="0"/>
              <w:right w:val="single" w:color="000000" w:sz="4" w:space="0"/>
            </w:tcBorders>
            <w:vAlign w:val="center"/>
          </w:tcPr>
          <w:p>
            <w:pPr>
              <w:jc w:val="center"/>
              <w:rPr>
                <w:rFonts w:ascii="宋体"/>
                <w:color w:val="000000"/>
                <w:sz w:val="24"/>
                <w:szCs w:val="24"/>
              </w:rPr>
            </w:pPr>
          </w:p>
        </w:tc>
        <w:tc>
          <w:tcPr>
            <w:tcW w:w="40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olor w:val="000000"/>
                <w:sz w:val="24"/>
                <w:szCs w:val="24"/>
              </w:rPr>
            </w:pPr>
          </w:p>
        </w:tc>
      </w:tr>
      <w:tr>
        <w:tblPrEx>
          <w:tblCellMar>
            <w:top w:w="15" w:type="dxa"/>
            <w:left w:w="15" w:type="dxa"/>
            <w:bottom w:w="15" w:type="dxa"/>
            <w:right w:w="15" w:type="dxa"/>
          </w:tblCellMar>
        </w:tblPrEx>
        <w:trPr>
          <w:trHeight w:val="440" w:hRule="atLeast"/>
        </w:trPr>
        <w:tc>
          <w:tcPr>
            <w:tcW w:w="4859"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栏次</w:t>
            </w:r>
          </w:p>
        </w:tc>
        <w:tc>
          <w:tcPr>
            <w:tcW w:w="3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ascii="宋体" w:hAnsi="宋体" w:cs="宋体"/>
                <w:color w:val="000000"/>
                <w:kern w:val="0"/>
                <w:sz w:val="24"/>
                <w:szCs w:val="24"/>
              </w:rPr>
              <w:t>1</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ascii="宋体" w:hAnsi="宋体" w:cs="宋体"/>
                <w:color w:val="000000"/>
                <w:kern w:val="0"/>
                <w:sz w:val="24"/>
                <w:szCs w:val="24"/>
              </w:rPr>
              <w:t>2</w:t>
            </w:r>
          </w:p>
        </w:tc>
        <w:tc>
          <w:tcPr>
            <w:tcW w:w="40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ascii="宋体" w:hAnsi="宋体" w:cs="宋体"/>
                <w:color w:val="000000"/>
                <w:kern w:val="0"/>
                <w:sz w:val="24"/>
                <w:szCs w:val="24"/>
              </w:rPr>
              <w:t>3</w:t>
            </w:r>
          </w:p>
        </w:tc>
      </w:tr>
      <w:tr>
        <w:tblPrEx>
          <w:tblCellMar>
            <w:top w:w="15" w:type="dxa"/>
            <w:left w:w="15" w:type="dxa"/>
            <w:bottom w:w="15" w:type="dxa"/>
            <w:right w:w="15" w:type="dxa"/>
          </w:tblCellMar>
        </w:tblPrEx>
        <w:trPr>
          <w:trHeight w:val="440" w:hRule="atLeast"/>
        </w:trPr>
        <w:tc>
          <w:tcPr>
            <w:tcW w:w="4859" w:type="dxa"/>
            <w:gridSpan w:val="3"/>
            <w:tcBorders>
              <w:left w:val="single" w:color="000000" w:sz="12"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合计</w:t>
            </w:r>
          </w:p>
        </w:tc>
        <w:tc>
          <w:tcPr>
            <w:tcW w:w="324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szCs w:val="24"/>
              </w:rPr>
            </w:pPr>
            <w:r>
              <w:rPr>
                <w:rFonts w:ascii="宋体" w:cs="宋体"/>
                <w:color w:val="000000"/>
                <w:sz w:val="24"/>
                <w:szCs w:val="24"/>
              </w:rPr>
              <w:t>0</w:t>
            </w:r>
          </w:p>
        </w:tc>
        <w:tc>
          <w:tcPr>
            <w:tcW w:w="13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szCs w:val="24"/>
              </w:rPr>
            </w:pPr>
            <w:r>
              <w:rPr>
                <w:rFonts w:ascii="宋体" w:cs="宋体"/>
                <w:color w:val="000000"/>
                <w:sz w:val="24"/>
                <w:szCs w:val="24"/>
              </w:rPr>
              <w:t>0</w:t>
            </w:r>
          </w:p>
        </w:tc>
        <w:tc>
          <w:tcPr>
            <w:tcW w:w="40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szCs w:val="24"/>
              </w:rPr>
            </w:pPr>
            <w:r>
              <w:rPr>
                <w:rFonts w:ascii="宋体" w:cs="宋体"/>
                <w:color w:val="000000"/>
                <w:sz w:val="24"/>
                <w:szCs w:val="24"/>
              </w:rPr>
              <w:t>0</w:t>
            </w: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vAlign w:val="center"/>
          </w:tcPr>
          <w:p>
            <w:pPr>
              <w:jc w:val="center"/>
              <w:rPr>
                <w:rFonts w:ascii="宋体"/>
                <w:color w:val="000000"/>
                <w:sz w:val="24"/>
                <w:szCs w:val="24"/>
              </w:rPr>
            </w:pPr>
          </w:p>
        </w:tc>
        <w:tc>
          <w:tcPr>
            <w:tcW w:w="2249"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c>
          <w:tcPr>
            <w:tcW w:w="4075"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vAlign w:val="center"/>
          </w:tcPr>
          <w:p>
            <w:pPr>
              <w:jc w:val="center"/>
              <w:rPr>
                <w:rFonts w:ascii="宋体"/>
                <w:color w:val="000000"/>
                <w:sz w:val="24"/>
                <w:szCs w:val="24"/>
              </w:rPr>
            </w:pPr>
          </w:p>
        </w:tc>
        <w:tc>
          <w:tcPr>
            <w:tcW w:w="2249"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c>
          <w:tcPr>
            <w:tcW w:w="3242"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c>
          <w:tcPr>
            <w:tcW w:w="4075"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vAlign w:val="center"/>
          </w:tcPr>
          <w:p>
            <w:pPr>
              <w:jc w:val="center"/>
              <w:rPr>
                <w:rFonts w:ascii="宋体"/>
                <w:color w:val="000000"/>
                <w:sz w:val="24"/>
                <w:szCs w:val="24"/>
              </w:rPr>
            </w:pPr>
          </w:p>
        </w:tc>
        <w:tc>
          <w:tcPr>
            <w:tcW w:w="2249"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c>
          <w:tcPr>
            <w:tcW w:w="4075"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vAlign w:val="center"/>
          </w:tcPr>
          <w:p>
            <w:pPr>
              <w:jc w:val="center"/>
              <w:rPr>
                <w:rFonts w:ascii="宋体"/>
                <w:color w:val="000000"/>
                <w:sz w:val="24"/>
                <w:szCs w:val="24"/>
              </w:rPr>
            </w:pPr>
          </w:p>
        </w:tc>
        <w:tc>
          <w:tcPr>
            <w:tcW w:w="2249"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c>
          <w:tcPr>
            <w:tcW w:w="3242"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c>
          <w:tcPr>
            <w:tcW w:w="4075"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vAlign w:val="center"/>
          </w:tcPr>
          <w:p>
            <w:pPr>
              <w:jc w:val="center"/>
              <w:rPr>
                <w:rFonts w:ascii="宋体"/>
                <w:color w:val="000000"/>
                <w:sz w:val="24"/>
                <w:szCs w:val="24"/>
              </w:rPr>
            </w:pPr>
          </w:p>
        </w:tc>
        <w:tc>
          <w:tcPr>
            <w:tcW w:w="2249"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c>
          <w:tcPr>
            <w:tcW w:w="3242"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c>
          <w:tcPr>
            <w:tcW w:w="4075"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12" w:space="0"/>
              <w:right w:val="single" w:color="000000" w:sz="4" w:space="0"/>
            </w:tcBorders>
            <w:vAlign w:val="center"/>
          </w:tcPr>
          <w:p>
            <w:pPr>
              <w:jc w:val="center"/>
              <w:rPr>
                <w:rFonts w:ascii="宋体"/>
                <w:color w:val="000000"/>
                <w:sz w:val="24"/>
                <w:szCs w:val="24"/>
              </w:rPr>
            </w:pPr>
          </w:p>
        </w:tc>
        <w:tc>
          <w:tcPr>
            <w:tcW w:w="2249" w:type="dxa"/>
            <w:tcBorders>
              <w:top w:val="single" w:color="000000" w:sz="4" w:space="0"/>
              <w:left w:val="single" w:color="000000" w:sz="4" w:space="0"/>
              <w:bottom w:val="single" w:color="000000" w:sz="12" w:space="0"/>
              <w:right w:val="single" w:color="000000" w:sz="4" w:space="0"/>
            </w:tcBorders>
            <w:vAlign w:val="center"/>
          </w:tcPr>
          <w:p>
            <w:pPr>
              <w:rPr>
                <w:rFonts w:ascii="宋体"/>
                <w:color w:val="000000"/>
                <w:sz w:val="24"/>
                <w:szCs w:val="24"/>
              </w:rPr>
            </w:pPr>
          </w:p>
        </w:tc>
        <w:tc>
          <w:tcPr>
            <w:tcW w:w="3242" w:type="dxa"/>
            <w:tcBorders>
              <w:top w:val="single" w:color="000000" w:sz="4" w:space="0"/>
              <w:left w:val="single" w:color="000000" w:sz="4" w:space="0"/>
              <w:bottom w:val="single" w:color="000000" w:sz="12" w:space="0"/>
              <w:right w:val="single" w:color="000000" w:sz="4" w:space="0"/>
            </w:tcBorders>
            <w:vAlign w:val="center"/>
          </w:tcPr>
          <w:p>
            <w:pPr>
              <w:rPr>
                <w:rFonts w:ascii="宋体"/>
                <w:color w:val="000000"/>
                <w:sz w:val="24"/>
                <w:szCs w:val="24"/>
              </w:rPr>
            </w:pPr>
          </w:p>
        </w:tc>
        <w:tc>
          <w:tcPr>
            <w:tcW w:w="1344" w:type="dxa"/>
            <w:tcBorders>
              <w:top w:val="single" w:color="000000" w:sz="4" w:space="0"/>
              <w:left w:val="single" w:color="000000" w:sz="4" w:space="0"/>
              <w:bottom w:val="single" w:color="000000" w:sz="12" w:space="0"/>
              <w:right w:val="single" w:color="000000" w:sz="4" w:space="0"/>
            </w:tcBorders>
            <w:vAlign w:val="center"/>
          </w:tcPr>
          <w:p>
            <w:pPr>
              <w:rPr>
                <w:rFonts w:ascii="宋体"/>
                <w:color w:val="000000"/>
                <w:sz w:val="24"/>
                <w:szCs w:val="24"/>
              </w:rPr>
            </w:pPr>
          </w:p>
        </w:tc>
        <w:tc>
          <w:tcPr>
            <w:tcW w:w="4075" w:type="dxa"/>
            <w:tcBorders>
              <w:top w:val="single" w:color="000000" w:sz="4" w:space="0"/>
              <w:left w:val="single" w:color="000000" w:sz="4" w:space="0"/>
              <w:bottom w:val="single" w:color="000000" w:sz="12" w:space="0"/>
              <w:right w:val="single" w:color="000000" w:sz="4" w:space="0"/>
            </w:tcBorders>
            <w:vAlign w:val="center"/>
          </w:tcPr>
          <w:p>
            <w:pPr>
              <w:rPr>
                <w:rFonts w:ascii="宋体"/>
                <w:color w:val="000000"/>
                <w:sz w:val="24"/>
                <w:szCs w:val="24"/>
              </w:rPr>
            </w:pPr>
          </w:p>
        </w:tc>
      </w:tr>
      <w:tr>
        <w:tblPrEx>
          <w:tblCellMar>
            <w:top w:w="15" w:type="dxa"/>
            <w:left w:w="15" w:type="dxa"/>
            <w:bottom w:w="15" w:type="dxa"/>
            <w:right w:w="15" w:type="dxa"/>
          </w:tblCellMar>
        </w:tblPrEx>
        <w:trPr>
          <w:trHeight w:val="798" w:hRule="atLeast"/>
        </w:trPr>
        <w:tc>
          <w:tcPr>
            <w:tcW w:w="13520" w:type="dxa"/>
            <w:gridSpan w:val="6"/>
            <w:tcBorders>
              <w:top w:val="single" w:color="000000" w:sz="12" w:space="0"/>
            </w:tcBorders>
            <w:vAlign w:val="center"/>
          </w:tcPr>
          <w:p>
            <w:pPr>
              <w:widowControl/>
              <w:jc w:val="left"/>
              <w:textAlignment w:val="center"/>
              <w:rPr>
                <w:rFonts w:ascii="宋体"/>
                <w:color w:val="000000"/>
                <w:sz w:val="24"/>
                <w:szCs w:val="24"/>
              </w:rPr>
            </w:pPr>
            <w:r>
              <w:rPr>
                <w:rFonts w:hint="eastAsia" w:ascii="宋体" w:hAnsi="宋体" w:cs="宋体"/>
                <w:color w:val="000000"/>
                <w:kern w:val="0"/>
                <w:sz w:val="24"/>
                <w:szCs w:val="24"/>
              </w:rPr>
              <w:t>注：本表反映本年度国有资本经营预算财政拨款支出情况。</w:t>
            </w:r>
          </w:p>
        </w:tc>
      </w:tr>
    </w:tbl>
    <w:p>
      <w:pPr>
        <w:spacing w:line="560" w:lineRule="exact"/>
        <w:ind w:firstLine="420"/>
        <w:rPr>
          <w:rFonts w:ascii="宋体"/>
          <w:sz w:val="24"/>
          <w:szCs w:val="24"/>
        </w:rPr>
      </w:pPr>
      <w:r>
        <w:rPr>
          <w:rFonts w:hint="eastAsia" w:ascii="宋体" w:hAnsi="宋体" w:cs="宋体"/>
          <w:sz w:val="24"/>
          <w:szCs w:val="24"/>
        </w:rPr>
        <w:t>备注：</w:t>
      </w:r>
      <w:r>
        <w:rPr>
          <w:rFonts w:hint="eastAsia" w:ascii="宋体" w:hAnsi="宋体" w:cs="宋体"/>
          <w:sz w:val="24"/>
          <w:szCs w:val="24"/>
          <w:lang w:eastAsia="zh-CN"/>
        </w:rPr>
        <w:t>本单位</w:t>
      </w:r>
      <w:r>
        <w:rPr>
          <w:rFonts w:hint="eastAsia" w:ascii="宋体" w:hAnsi="宋体" w:cs="宋体"/>
          <w:sz w:val="24"/>
          <w:szCs w:val="24"/>
        </w:rPr>
        <w:t>没有</w:t>
      </w:r>
      <w:r>
        <w:rPr>
          <w:rFonts w:hint="eastAsia" w:ascii="宋体" w:hAnsi="宋体" w:cs="宋体"/>
          <w:color w:val="000000"/>
          <w:kern w:val="0"/>
          <w:sz w:val="24"/>
          <w:szCs w:val="24"/>
        </w:rPr>
        <w:t>国有资本经营预算财政拨款</w:t>
      </w:r>
      <w:r>
        <w:rPr>
          <w:rFonts w:hint="eastAsia" w:ascii="宋体" w:hAnsi="宋体" w:cs="宋体"/>
          <w:sz w:val="24"/>
          <w:szCs w:val="24"/>
        </w:rPr>
        <w:t>，也没有</w:t>
      </w:r>
      <w:r>
        <w:rPr>
          <w:rFonts w:hint="eastAsia" w:ascii="宋体" w:hAnsi="宋体" w:cs="宋体"/>
          <w:color w:val="000000"/>
          <w:kern w:val="0"/>
          <w:sz w:val="24"/>
          <w:szCs w:val="24"/>
        </w:rPr>
        <w:t>国有资本经营预算</w:t>
      </w:r>
      <w:r>
        <w:rPr>
          <w:rFonts w:hint="eastAsia" w:ascii="宋体" w:hAnsi="宋体" w:cs="宋体"/>
          <w:sz w:val="24"/>
          <w:szCs w:val="24"/>
        </w:rPr>
        <w:t>安排的支出，故本表无数据。</w:t>
      </w:r>
    </w:p>
    <w:p>
      <w:pPr>
        <w:spacing w:line="560" w:lineRule="exact"/>
        <w:ind w:firstLine="420"/>
        <w:sectPr>
          <w:pgSz w:w="16838" w:h="11906" w:orient="landscape"/>
          <w:pgMar w:top="1797" w:right="1440" w:bottom="1797" w:left="1440" w:header="851" w:footer="992" w:gutter="0"/>
          <w:pgNumType w:fmt="numberInDash"/>
          <w:cols w:space="720" w:num="1"/>
          <w:docGrid w:type="lines" w:linePitch="312" w:charSpace="0"/>
        </w:sectPr>
      </w:pPr>
    </w:p>
    <w:p>
      <w:pPr>
        <w:spacing w:line="580" w:lineRule="exact"/>
        <w:rPr>
          <w:rFonts w:ascii="仿宋_GB2312" w:eastAsia="仿宋_GB2312"/>
          <w:b/>
          <w:bCs/>
          <w:sz w:val="32"/>
          <w:szCs w:val="32"/>
        </w:rPr>
      </w:pPr>
      <w:r>
        <w:rPr>
          <w:rFonts w:hint="eastAsia" w:ascii="仿宋_GB2312" w:eastAsia="仿宋_GB2312" w:cs="仿宋_GB2312"/>
          <w:b/>
          <w:bCs/>
          <w:sz w:val="32"/>
          <w:szCs w:val="32"/>
        </w:rPr>
        <w:t>第三部分：</w:t>
      </w:r>
      <w:r>
        <w:rPr>
          <w:rFonts w:hint="eastAsia" w:ascii="仿宋_GB2312" w:hAnsi="黑体" w:eastAsia="仿宋_GB2312" w:cs="仿宋_GB2312"/>
          <w:b/>
          <w:bCs/>
          <w:color w:val="000000"/>
          <w:sz w:val="32"/>
          <w:szCs w:val="32"/>
        </w:rPr>
        <w:t>柳州市人民政府驻广州办事处</w:t>
      </w:r>
      <w:r>
        <w:rPr>
          <w:rFonts w:ascii="仿宋_GB2312" w:eastAsia="仿宋_GB2312" w:cs="仿宋_GB2312"/>
          <w:b/>
          <w:bCs/>
          <w:sz w:val="32"/>
          <w:szCs w:val="32"/>
        </w:rPr>
        <w:t>2020</w:t>
      </w:r>
      <w:r>
        <w:rPr>
          <w:rFonts w:hint="eastAsia" w:ascii="仿宋_GB2312" w:eastAsia="仿宋_GB2312" w:cs="仿宋_GB2312"/>
          <w:b/>
          <w:bCs/>
          <w:sz w:val="32"/>
          <w:szCs w:val="32"/>
        </w:rPr>
        <w:t>年度决算情况说明</w:t>
      </w:r>
    </w:p>
    <w:p>
      <w:pPr>
        <w:autoSpaceDE w:val="0"/>
        <w:autoSpaceDN w:val="0"/>
        <w:adjustRightInd w:val="0"/>
        <w:spacing w:line="580" w:lineRule="exact"/>
        <w:ind w:firstLine="643" w:firstLineChars="200"/>
        <w:jc w:val="left"/>
        <w:rPr>
          <w:rFonts w:ascii="仿宋_GB2312" w:eastAsia="仿宋_GB2312"/>
          <w:b/>
          <w:bCs/>
          <w:kern w:val="0"/>
          <w:sz w:val="32"/>
          <w:szCs w:val="32"/>
        </w:rPr>
      </w:pPr>
      <w:r>
        <w:rPr>
          <w:rFonts w:hint="eastAsia" w:ascii="仿宋_GB2312" w:eastAsia="仿宋_GB2312" w:cs="仿宋_GB2312"/>
          <w:b/>
          <w:bCs/>
          <w:kern w:val="0"/>
          <w:sz w:val="32"/>
          <w:szCs w:val="32"/>
        </w:rPr>
        <w:t>一、</w:t>
      </w:r>
      <w:r>
        <w:rPr>
          <w:rFonts w:eastAsia="仿宋_GB2312"/>
          <w:b/>
          <w:bCs/>
          <w:kern w:val="0"/>
          <w:sz w:val="32"/>
          <w:szCs w:val="32"/>
        </w:rPr>
        <w:t>2020</w:t>
      </w:r>
      <w:r>
        <w:rPr>
          <w:rFonts w:hint="eastAsia" w:ascii="仿宋_GB2312" w:eastAsia="仿宋_GB2312" w:cs="仿宋_GB2312"/>
          <w:b/>
          <w:bCs/>
          <w:kern w:val="0"/>
          <w:sz w:val="32"/>
          <w:szCs w:val="32"/>
        </w:rPr>
        <w:t>年度收入支出决算总体情况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t>2020</w:t>
      </w:r>
      <w:r>
        <w:rPr>
          <w:rFonts w:hint="eastAsia" w:ascii="仿宋_GB2312" w:eastAsia="仿宋_GB2312" w:cs="仿宋_GB2312"/>
          <w:kern w:val="0"/>
          <w:sz w:val="32"/>
          <w:szCs w:val="32"/>
        </w:rPr>
        <w:t>年度收入总计</w:t>
      </w:r>
      <w:r>
        <w:rPr>
          <w:rFonts w:ascii="仿宋_GB2312" w:eastAsia="仿宋_GB2312" w:cs="仿宋_GB2312"/>
          <w:kern w:val="0"/>
          <w:sz w:val="32"/>
          <w:szCs w:val="32"/>
        </w:rPr>
        <w:t>164.74</w:t>
      </w:r>
      <w:r>
        <w:rPr>
          <w:rFonts w:hint="eastAsia" w:ascii="仿宋_GB2312" w:eastAsia="仿宋_GB2312" w:cs="仿宋_GB2312"/>
          <w:kern w:val="0"/>
          <w:sz w:val="32"/>
          <w:szCs w:val="32"/>
        </w:rPr>
        <w:t>万元，支出总计</w:t>
      </w:r>
      <w:r>
        <w:rPr>
          <w:rFonts w:ascii="仿宋_GB2312" w:eastAsia="仿宋_GB2312" w:cs="仿宋_GB2312"/>
          <w:kern w:val="0"/>
          <w:sz w:val="32"/>
          <w:szCs w:val="32"/>
        </w:rPr>
        <w:t>126.14</w:t>
      </w:r>
      <w:r>
        <w:rPr>
          <w:rFonts w:hint="eastAsia" w:ascii="仿宋_GB2312" w:eastAsia="仿宋_GB2312" w:cs="仿宋_GB2312"/>
          <w:kern w:val="0"/>
          <w:sz w:val="32"/>
          <w:szCs w:val="32"/>
        </w:rPr>
        <w:t>万元，与</w:t>
      </w:r>
      <w:r>
        <w:rPr>
          <w:rFonts w:ascii="仿宋_GB2312" w:eastAsia="仿宋_GB2312" w:cs="仿宋_GB2312"/>
          <w:kern w:val="0"/>
          <w:sz w:val="32"/>
          <w:szCs w:val="32"/>
        </w:rPr>
        <w:t>2019</w:t>
      </w:r>
      <w:r>
        <w:rPr>
          <w:rFonts w:hint="eastAsia" w:ascii="仿宋_GB2312" w:eastAsia="仿宋_GB2312" w:cs="仿宋_GB2312"/>
          <w:kern w:val="0"/>
          <w:sz w:val="32"/>
          <w:szCs w:val="32"/>
        </w:rPr>
        <w:t>年相比，收入减少</w:t>
      </w:r>
      <w:r>
        <w:rPr>
          <w:rFonts w:ascii="仿宋_GB2312" w:eastAsia="仿宋_GB2312" w:cs="仿宋_GB2312"/>
          <w:kern w:val="0"/>
          <w:sz w:val="32"/>
          <w:szCs w:val="32"/>
        </w:rPr>
        <w:t>23.45</w:t>
      </w:r>
      <w:r>
        <w:rPr>
          <w:rFonts w:hint="eastAsia" w:ascii="仿宋_GB2312" w:eastAsia="仿宋_GB2312" w:cs="仿宋_GB2312"/>
          <w:kern w:val="0"/>
          <w:sz w:val="32"/>
          <w:szCs w:val="32"/>
        </w:rPr>
        <w:t>万元，下降</w:t>
      </w:r>
      <w:r>
        <w:rPr>
          <w:rFonts w:ascii="仿宋_GB2312" w:eastAsia="仿宋_GB2312" w:cs="仿宋_GB2312"/>
          <w:kern w:val="0"/>
          <w:sz w:val="32"/>
          <w:szCs w:val="32"/>
        </w:rPr>
        <w:t>12.46%</w:t>
      </w:r>
      <w:r>
        <w:rPr>
          <w:rFonts w:hint="eastAsia" w:ascii="仿宋_GB2312" w:eastAsia="仿宋_GB2312" w:cs="仿宋_GB2312"/>
          <w:kern w:val="0"/>
          <w:sz w:val="32"/>
          <w:szCs w:val="32"/>
        </w:rPr>
        <w:t>；支出增加</w:t>
      </w:r>
      <w:r>
        <w:rPr>
          <w:rFonts w:ascii="仿宋_GB2312" w:eastAsia="仿宋_GB2312" w:cs="仿宋_GB2312"/>
          <w:kern w:val="0"/>
          <w:sz w:val="32"/>
          <w:szCs w:val="32"/>
        </w:rPr>
        <w:t>11.70</w:t>
      </w:r>
      <w:r>
        <w:rPr>
          <w:rFonts w:hint="eastAsia" w:ascii="仿宋_GB2312" w:eastAsia="仿宋_GB2312" w:cs="仿宋_GB2312"/>
          <w:kern w:val="0"/>
          <w:sz w:val="32"/>
          <w:szCs w:val="32"/>
        </w:rPr>
        <w:t>万元，增长</w:t>
      </w:r>
      <w:r>
        <w:rPr>
          <w:rFonts w:ascii="仿宋_GB2312" w:eastAsia="仿宋_GB2312" w:cs="仿宋_GB2312"/>
          <w:kern w:val="0"/>
          <w:sz w:val="32"/>
          <w:szCs w:val="32"/>
        </w:rPr>
        <w:t>10.22%</w:t>
      </w:r>
    </w:p>
    <w:p>
      <w:pPr>
        <w:autoSpaceDE w:val="0"/>
        <w:autoSpaceDN w:val="0"/>
        <w:adjustRightInd w:val="0"/>
        <w:spacing w:line="580" w:lineRule="exact"/>
        <w:ind w:firstLine="643" w:firstLineChars="200"/>
        <w:jc w:val="left"/>
        <w:rPr>
          <w:rFonts w:ascii="仿宋_GB2312" w:eastAsia="仿宋_GB2312"/>
          <w:b/>
          <w:bCs/>
          <w:kern w:val="0"/>
          <w:sz w:val="32"/>
          <w:szCs w:val="32"/>
        </w:rPr>
      </w:pPr>
      <w:r>
        <w:rPr>
          <w:rFonts w:hint="eastAsia" w:ascii="仿宋_GB2312" w:eastAsia="仿宋_GB2312" w:cs="仿宋_GB2312"/>
          <w:b/>
          <w:bCs/>
          <w:kern w:val="0"/>
          <w:sz w:val="32"/>
          <w:szCs w:val="32"/>
        </w:rPr>
        <w:t>二、</w:t>
      </w:r>
      <w:r>
        <w:rPr>
          <w:rFonts w:eastAsia="仿宋_GB2312"/>
          <w:b/>
          <w:bCs/>
          <w:kern w:val="0"/>
          <w:sz w:val="32"/>
          <w:szCs w:val="32"/>
        </w:rPr>
        <w:t>2020</w:t>
      </w:r>
      <w:r>
        <w:rPr>
          <w:rFonts w:hint="eastAsia" w:ascii="仿宋_GB2312" w:eastAsia="仿宋_GB2312" w:cs="仿宋_GB2312"/>
          <w:b/>
          <w:bCs/>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b/>
          <w:bCs/>
          <w:kern w:val="0"/>
          <w:sz w:val="32"/>
          <w:szCs w:val="32"/>
        </w:rPr>
      </w:pPr>
      <w:r>
        <w:rPr>
          <w:rFonts w:hint="eastAsia" w:ascii="仿宋_GB2312" w:eastAsia="仿宋_GB2312" w:cs="仿宋_GB2312"/>
          <w:kern w:val="0"/>
          <w:sz w:val="32"/>
          <w:szCs w:val="32"/>
        </w:rPr>
        <w:t>本年收入总计</w:t>
      </w:r>
      <w:r>
        <w:rPr>
          <w:rFonts w:ascii="仿宋_GB2312" w:eastAsia="仿宋_GB2312" w:cs="仿宋_GB2312"/>
          <w:kern w:val="0"/>
          <w:sz w:val="32"/>
          <w:szCs w:val="32"/>
        </w:rPr>
        <w:t>164.74</w:t>
      </w:r>
      <w:r>
        <w:rPr>
          <w:rFonts w:hint="eastAsia" w:ascii="仿宋_GB2312" w:eastAsia="仿宋_GB2312" w:cs="仿宋_GB2312"/>
          <w:kern w:val="0"/>
          <w:sz w:val="32"/>
          <w:szCs w:val="32"/>
        </w:rPr>
        <w:t>万元，其中：一般公共预算财政拨款收入</w:t>
      </w:r>
      <w:r>
        <w:rPr>
          <w:rFonts w:ascii="仿宋_GB2312" w:eastAsia="仿宋_GB2312" w:cs="仿宋_GB2312"/>
          <w:kern w:val="0"/>
          <w:sz w:val="32"/>
          <w:szCs w:val="32"/>
        </w:rPr>
        <w:t>126.49</w:t>
      </w:r>
      <w:r>
        <w:rPr>
          <w:rFonts w:hint="eastAsia" w:ascii="仿宋_GB2312" w:eastAsia="仿宋_GB2312" w:cs="仿宋_GB2312"/>
          <w:kern w:val="0"/>
          <w:sz w:val="32"/>
          <w:szCs w:val="32"/>
        </w:rPr>
        <w:t>万元；占比</w:t>
      </w:r>
      <w:r>
        <w:rPr>
          <w:rFonts w:ascii="仿宋_GB2312" w:eastAsia="仿宋_GB2312" w:cs="仿宋_GB2312"/>
          <w:kern w:val="0"/>
          <w:sz w:val="32"/>
          <w:szCs w:val="32"/>
        </w:rPr>
        <w:t>76.78%</w:t>
      </w:r>
      <w:r>
        <w:rPr>
          <w:rFonts w:ascii="仿宋_GB2312" w:eastAsia="仿宋_GB2312"/>
          <w:kern w:val="0"/>
          <w:sz w:val="32"/>
          <w:szCs w:val="32"/>
        </w:rPr>
        <w:t> </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政府性基金</w:t>
      </w:r>
      <w:r>
        <w:rPr>
          <w:rFonts w:hint="eastAsia" w:ascii="仿宋_GB2312" w:eastAsia="仿宋_GB2312" w:cs="仿宋_GB2312"/>
          <w:kern w:val="0"/>
          <w:sz w:val="32"/>
          <w:szCs w:val="32"/>
        </w:rPr>
        <w:t>预算财政拨款收入</w:t>
      </w:r>
      <w:r>
        <w:rPr>
          <w:rFonts w:ascii="仿宋_GB2312" w:eastAsia="仿宋_GB2312" w:cs="仿宋_GB2312"/>
          <w:kern w:val="0"/>
          <w:sz w:val="32"/>
          <w:szCs w:val="32"/>
        </w:rPr>
        <w:t>0</w:t>
      </w:r>
      <w:r>
        <w:rPr>
          <w:rFonts w:hint="eastAsia" w:ascii="仿宋_GB2312" w:eastAsia="仿宋_GB2312" w:cs="仿宋_GB2312"/>
          <w:kern w:val="0"/>
          <w:sz w:val="32"/>
          <w:szCs w:val="32"/>
        </w:rPr>
        <w:t>万元；占比</w:t>
      </w:r>
      <w:r>
        <w:rPr>
          <w:rFonts w:ascii="仿宋_GB2312" w:eastAsia="仿宋_GB2312" w:cs="仿宋_GB2312"/>
          <w:kern w:val="0"/>
          <w:sz w:val="32"/>
          <w:szCs w:val="32"/>
        </w:rPr>
        <w:t>0</w:t>
      </w:r>
      <w:r>
        <w:rPr>
          <w:rFonts w:hint="eastAsia" w:ascii="仿宋_GB2312" w:eastAsia="仿宋_GB2312" w:cs="仿宋_GB2312"/>
          <w:kern w:val="0"/>
          <w:sz w:val="32"/>
          <w:szCs w:val="32"/>
        </w:rPr>
        <w:t>；上级补助收入</w:t>
      </w:r>
      <w:r>
        <w:rPr>
          <w:rFonts w:ascii="仿宋_GB2312" w:eastAsia="仿宋_GB2312" w:cs="仿宋_GB2312"/>
          <w:kern w:val="0"/>
          <w:sz w:val="32"/>
          <w:szCs w:val="32"/>
        </w:rPr>
        <w:t>0</w:t>
      </w:r>
      <w:r>
        <w:rPr>
          <w:rFonts w:hint="eastAsia" w:ascii="仿宋_GB2312" w:eastAsia="仿宋_GB2312" w:cs="仿宋_GB2312"/>
          <w:kern w:val="0"/>
          <w:sz w:val="32"/>
          <w:szCs w:val="32"/>
        </w:rPr>
        <w:t>万元，占比</w:t>
      </w:r>
      <w:r>
        <w:rPr>
          <w:rFonts w:ascii="仿宋_GB2312" w:eastAsia="仿宋_GB2312" w:cs="仿宋_GB2312"/>
          <w:kern w:val="0"/>
          <w:sz w:val="32"/>
          <w:szCs w:val="32"/>
        </w:rPr>
        <w:t xml:space="preserve">0 </w:t>
      </w:r>
      <w:r>
        <w:rPr>
          <w:rFonts w:hint="eastAsia" w:ascii="仿宋_GB2312" w:eastAsia="仿宋_GB2312" w:cs="仿宋_GB2312"/>
          <w:kern w:val="0"/>
          <w:sz w:val="32"/>
          <w:szCs w:val="32"/>
        </w:rPr>
        <w:t>；事业收入</w:t>
      </w:r>
      <w:r>
        <w:rPr>
          <w:rFonts w:ascii="仿宋_GB2312" w:eastAsia="仿宋_GB2312" w:cs="仿宋_GB2312"/>
          <w:kern w:val="0"/>
          <w:sz w:val="32"/>
          <w:szCs w:val="32"/>
        </w:rPr>
        <w:t>0</w:t>
      </w:r>
      <w:r>
        <w:rPr>
          <w:rFonts w:hint="eastAsia" w:ascii="仿宋_GB2312" w:eastAsia="仿宋_GB2312" w:cs="仿宋_GB2312"/>
          <w:kern w:val="0"/>
          <w:sz w:val="32"/>
          <w:szCs w:val="32"/>
        </w:rPr>
        <w:t>万元，占比</w:t>
      </w:r>
      <w:r>
        <w:rPr>
          <w:rFonts w:ascii="仿宋_GB2312" w:eastAsia="仿宋_GB2312" w:cs="仿宋_GB2312"/>
          <w:kern w:val="0"/>
          <w:sz w:val="32"/>
          <w:szCs w:val="32"/>
        </w:rPr>
        <w:t xml:space="preserve">0 </w:t>
      </w:r>
      <w:r>
        <w:rPr>
          <w:rFonts w:hint="eastAsia" w:ascii="仿宋_GB2312" w:eastAsia="仿宋_GB2312" w:cs="仿宋_GB2312"/>
          <w:kern w:val="0"/>
          <w:sz w:val="32"/>
          <w:szCs w:val="32"/>
        </w:rPr>
        <w:t>；事业单位经营收入</w:t>
      </w:r>
      <w:r>
        <w:rPr>
          <w:rFonts w:ascii="仿宋_GB2312" w:eastAsia="仿宋_GB2312" w:cs="仿宋_GB2312"/>
          <w:kern w:val="0"/>
          <w:sz w:val="32"/>
          <w:szCs w:val="32"/>
        </w:rPr>
        <w:t>0</w:t>
      </w:r>
      <w:r>
        <w:rPr>
          <w:rFonts w:hint="eastAsia" w:ascii="仿宋_GB2312" w:eastAsia="仿宋_GB2312" w:cs="仿宋_GB2312"/>
          <w:kern w:val="0"/>
          <w:sz w:val="32"/>
          <w:szCs w:val="32"/>
        </w:rPr>
        <w:t>万元，占比</w:t>
      </w:r>
      <w:r>
        <w:rPr>
          <w:rFonts w:ascii="仿宋_GB2312" w:eastAsia="仿宋_GB2312" w:cs="仿宋_GB2312"/>
          <w:kern w:val="0"/>
          <w:sz w:val="32"/>
          <w:szCs w:val="32"/>
        </w:rPr>
        <w:t>0</w:t>
      </w:r>
      <w:r>
        <w:rPr>
          <w:rFonts w:hint="eastAsia" w:ascii="仿宋_GB2312" w:eastAsia="仿宋_GB2312" w:cs="仿宋_GB2312"/>
          <w:kern w:val="0"/>
          <w:sz w:val="32"/>
          <w:szCs w:val="32"/>
        </w:rPr>
        <w:t>；其他收入</w:t>
      </w:r>
      <w:r>
        <w:rPr>
          <w:rFonts w:ascii="仿宋_GB2312" w:eastAsia="仿宋_GB2312" w:cs="仿宋_GB2312"/>
          <w:kern w:val="0"/>
          <w:sz w:val="32"/>
          <w:szCs w:val="32"/>
        </w:rPr>
        <w:t>38.25</w:t>
      </w:r>
      <w:r>
        <w:rPr>
          <w:rFonts w:hint="eastAsia" w:ascii="仿宋_GB2312" w:eastAsia="仿宋_GB2312" w:cs="仿宋_GB2312"/>
          <w:kern w:val="0"/>
          <w:sz w:val="32"/>
          <w:szCs w:val="32"/>
        </w:rPr>
        <w:t>万元，占比</w:t>
      </w:r>
      <w:r>
        <w:rPr>
          <w:rFonts w:ascii="仿宋_GB2312" w:eastAsia="仿宋_GB2312" w:cs="仿宋_GB2312"/>
          <w:kern w:val="0"/>
          <w:sz w:val="32"/>
          <w:szCs w:val="32"/>
        </w:rPr>
        <w:t>23.22%</w:t>
      </w:r>
      <w:r>
        <w:rPr>
          <w:rFonts w:hint="eastAsia" w:ascii="仿宋_GB2312" w:eastAsia="仿宋_GB2312" w:cs="仿宋_GB2312"/>
          <w:kern w:val="0"/>
          <w:sz w:val="32"/>
          <w:szCs w:val="32"/>
        </w:rPr>
        <w:t>。</w:t>
      </w:r>
    </w:p>
    <w:p>
      <w:pPr>
        <w:autoSpaceDE w:val="0"/>
        <w:autoSpaceDN w:val="0"/>
        <w:adjustRightInd w:val="0"/>
        <w:spacing w:line="580" w:lineRule="exact"/>
        <w:ind w:firstLine="643" w:firstLineChars="200"/>
        <w:jc w:val="left"/>
        <w:rPr>
          <w:rFonts w:ascii="仿宋_GB2312" w:eastAsia="仿宋_GB2312"/>
          <w:b/>
          <w:bCs/>
          <w:kern w:val="0"/>
          <w:sz w:val="32"/>
          <w:szCs w:val="32"/>
        </w:rPr>
      </w:pPr>
      <w:r>
        <w:rPr>
          <w:rFonts w:hint="eastAsia" w:ascii="仿宋_GB2312" w:eastAsia="仿宋_GB2312" w:cs="仿宋_GB2312"/>
          <w:b/>
          <w:bCs/>
          <w:kern w:val="0"/>
          <w:sz w:val="32"/>
          <w:szCs w:val="32"/>
        </w:rPr>
        <w:t>三、</w:t>
      </w:r>
      <w:r>
        <w:rPr>
          <w:rFonts w:eastAsia="仿宋_GB2312"/>
          <w:b/>
          <w:bCs/>
          <w:kern w:val="0"/>
          <w:sz w:val="32"/>
          <w:szCs w:val="32"/>
        </w:rPr>
        <w:t>2020</w:t>
      </w:r>
      <w:r>
        <w:rPr>
          <w:rFonts w:hint="eastAsia" w:ascii="仿宋_GB2312" w:eastAsia="仿宋_GB2312" w:cs="仿宋_GB2312"/>
          <w:b/>
          <w:bCs/>
          <w:kern w:val="0"/>
          <w:sz w:val="32"/>
          <w:szCs w:val="32"/>
        </w:rPr>
        <w:t>年度支出决算情况</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本年支出合计</w:t>
      </w:r>
      <w:r>
        <w:rPr>
          <w:rFonts w:ascii="仿宋_GB2312" w:eastAsia="仿宋_GB2312" w:cs="仿宋_GB2312"/>
          <w:kern w:val="0"/>
          <w:sz w:val="32"/>
          <w:szCs w:val="32"/>
        </w:rPr>
        <w:t xml:space="preserve"> 126.14</w:t>
      </w:r>
      <w:r>
        <w:rPr>
          <w:rFonts w:hint="eastAsia" w:ascii="仿宋_GB2312" w:eastAsia="仿宋_GB2312" w:cs="仿宋_GB2312"/>
          <w:kern w:val="0"/>
          <w:sz w:val="32"/>
          <w:szCs w:val="32"/>
        </w:rPr>
        <w:t>万元，其中：基本支出</w:t>
      </w:r>
      <w:r>
        <w:rPr>
          <w:rFonts w:ascii="仿宋_GB2312" w:eastAsia="仿宋_GB2312" w:cs="仿宋_GB2312"/>
          <w:kern w:val="0"/>
          <w:sz w:val="32"/>
          <w:szCs w:val="32"/>
        </w:rPr>
        <w:t xml:space="preserve"> 126.14</w:t>
      </w:r>
      <w:r>
        <w:rPr>
          <w:rFonts w:hint="eastAsia" w:ascii="仿宋_GB2312" w:eastAsia="仿宋_GB2312" w:cs="仿宋_GB2312"/>
          <w:kern w:val="0"/>
          <w:sz w:val="32"/>
          <w:szCs w:val="32"/>
        </w:rPr>
        <w:t>万元，占</w:t>
      </w:r>
      <w:r>
        <w:rPr>
          <w:rFonts w:ascii="仿宋_GB2312" w:eastAsia="仿宋_GB2312" w:cs="仿宋_GB2312"/>
          <w:kern w:val="0"/>
          <w:sz w:val="32"/>
          <w:szCs w:val="32"/>
        </w:rPr>
        <w:t>100%</w:t>
      </w:r>
      <w:r>
        <w:rPr>
          <w:rFonts w:hint="eastAsia" w:ascii="仿宋_GB2312" w:eastAsia="仿宋_GB2312" w:cs="仿宋_GB2312"/>
          <w:kern w:val="0"/>
          <w:sz w:val="32"/>
          <w:szCs w:val="32"/>
        </w:rPr>
        <w:t>；项目支出</w:t>
      </w:r>
      <w:r>
        <w:rPr>
          <w:rFonts w:ascii="仿宋_GB2312" w:eastAsia="仿宋_GB2312" w:cs="仿宋_GB2312"/>
          <w:kern w:val="0"/>
          <w:sz w:val="32"/>
          <w:szCs w:val="32"/>
        </w:rPr>
        <w:t xml:space="preserve"> 0</w:t>
      </w:r>
      <w:r>
        <w:rPr>
          <w:rFonts w:hint="eastAsia" w:ascii="仿宋_GB2312" w:eastAsia="仿宋_GB2312" w:cs="仿宋_GB2312"/>
          <w:kern w:val="0"/>
          <w:sz w:val="32"/>
          <w:szCs w:val="32"/>
        </w:rPr>
        <w:t>万元，占</w:t>
      </w:r>
      <w:r>
        <w:rPr>
          <w:rFonts w:ascii="仿宋_GB2312" w:eastAsia="仿宋_GB2312" w:cs="仿宋_GB2312"/>
          <w:kern w:val="0"/>
          <w:sz w:val="32"/>
          <w:szCs w:val="32"/>
        </w:rPr>
        <w:t>0%</w:t>
      </w:r>
      <w:r>
        <w:rPr>
          <w:rFonts w:hint="eastAsia" w:ascii="仿宋_GB2312" w:eastAsia="仿宋_GB2312" w:cs="仿宋_GB2312"/>
          <w:kern w:val="0"/>
          <w:sz w:val="32"/>
          <w:szCs w:val="32"/>
        </w:rPr>
        <w:t>；经营支出</w:t>
      </w:r>
      <w:r>
        <w:rPr>
          <w:rFonts w:ascii="仿宋_GB2312" w:eastAsia="仿宋_GB2312" w:cs="仿宋_GB2312"/>
          <w:kern w:val="0"/>
          <w:sz w:val="32"/>
          <w:szCs w:val="32"/>
        </w:rPr>
        <w:t>0</w:t>
      </w:r>
      <w:r>
        <w:rPr>
          <w:rFonts w:hint="eastAsia" w:ascii="仿宋_GB2312" w:eastAsia="仿宋_GB2312" w:cs="仿宋_GB2312"/>
          <w:kern w:val="0"/>
          <w:sz w:val="32"/>
          <w:szCs w:val="32"/>
        </w:rPr>
        <w:t>万元，占</w:t>
      </w:r>
      <w:r>
        <w:rPr>
          <w:rFonts w:ascii="仿宋_GB2312" w:eastAsia="仿宋_GB2312" w:cs="仿宋_GB2312"/>
          <w:kern w:val="0"/>
          <w:sz w:val="32"/>
          <w:szCs w:val="32"/>
        </w:rPr>
        <w:t xml:space="preserve"> 0%</w:t>
      </w:r>
      <w:r>
        <w:rPr>
          <w:rFonts w:hint="eastAsia" w:ascii="仿宋_GB2312" w:eastAsia="仿宋_GB2312" w:cs="仿宋_GB2312"/>
          <w:kern w:val="0"/>
          <w:sz w:val="32"/>
          <w:szCs w:val="32"/>
        </w:rPr>
        <w:t>。</w:t>
      </w:r>
    </w:p>
    <w:p>
      <w:pPr>
        <w:autoSpaceDE w:val="0"/>
        <w:autoSpaceDN w:val="0"/>
        <w:adjustRightInd w:val="0"/>
        <w:spacing w:line="580" w:lineRule="exact"/>
        <w:ind w:firstLine="643" w:firstLineChars="200"/>
        <w:jc w:val="left"/>
        <w:rPr>
          <w:rFonts w:ascii="仿宋_GB2312" w:eastAsia="仿宋_GB2312"/>
          <w:b/>
          <w:bCs/>
          <w:kern w:val="0"/>
          <w:sz w:val="32"/>
          <w:szCs w:val="32"/>
        </w:rPr>
      </w:pPr>
      <w:r>
        <w:rPr>
          <w:rFonts w:hint="eastAsia" w:ascii="仿宋_GB2312" w:eastAsia="仿宋_GB2312" w:cs="仿宋_GB2312"/>
          <w:b/>
          <w:bCs/>
          <w:kern w:val="0"/>
          <w:sz w:val="32"/>
          <w:szCs w:val="32"/>
        </w:rPr>
        <w:t>四、</w:t>
      </w:r>
      <w:r>
        <w:rPr>
          <w:rFonts w:eastAsia="仿宋_GB2312"/>
          <w:b/>
          <w:bCs/>
          <w:kern w:val="0"/>
          <w:sz w:val="32"/>
          <w:szCs w:val="32"/>
        </w:rPr>
        <w:t>2020</w:t>
      </w:r>
      <w:r>
        <w:rPr>
          <w:rFonts w:hint="eastAsia" w:ascii="仿宋_GB2312" w:eastAsia="仿宋_GB2312" w:cs="仿宋_GB2312"/>
          <w:b/>
          <w:bCs/>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ascii="仿宋_GB2312" w:eastAsia="仿宋_GB2312" w:cs="仿宋_GB2312"/>
          <w:kern w:val="0"/>
          <w:sz w:val="32"/>
          <w:szCs w:val="32"/>
        </w:rPr>
        <w:t xml:space="preserve"> 2020</w:t>
      </w:r>
      <w:r>
        <w:rPr>
          <w:rFonts w:hint="eastAsia" w:ascii="仿宋_GB2312" w:eastAsia="仿宋_GB2312" w:cs="仿宋_GB2312"/>
          <w:kern w:val="0"/>
          <w:sz w:val="32"/>
          <w:szCs w:val="32"/>
        </w:rPr>
        <w:t>年度财政拨款收、支总决算</w:t>
      </w:r>
      <w:r>
        <w:rPr>
          <w:rFonts w:ascii="仿宋_GB2312" w:eastAsia="仿宋_GB2312" w:cs="仿宋_GB2312"/>
          <w:kern w:val="0"/>
          <w:sz w:val="32"/>
          <w:szCs w:val="32"/>
        </w:rPr>
        <w:t xml:space="preserve"> 126.49</w:t>
      </w:r>
      <w:r>
        <w:rPr>
          <w:rFonts w:hint="eastAsia" w:ascii="仿宋_GB2312" w:eastAsia="仿宋_GB2312" w:cs="仿宋_GB2312"/>
          <w:kern w:val="0"/>
          <w:sz w:val="32"/>
          <w:szCs w:val="32"/>
        </w:rPr>
        <w:t>万元、</w:t>
      </w:r>
      <w:r>
        <w:rPr>
          <w:rFonts w:ascii="仿宋_GB2312" w:eastAsia="仿宋_GB2312" w:cs="仿宋_GB2312"/>
          <w:kern w:val="0"/>
          <w:sz w:val="32"/>
          <w:szCs w:val="32"/>
        </w:rPr>
        <w:t>126.14</w:t>
      </w:r>
      <w:r>
        <w:rPr>
          <w:rFonts w:hint="eastAsia" w:ascii="仿宋_GB2312" w:eastAsia="仿宋_GB2312" w:cs="仿宋_GB2312"/>
          <w:kern w:val="0"/>
          <w:sz w:val="32"/>
          <w:szCs w:val="32"/>
        </w:rPr>
        <w:t>万元。与</w:t>
      </w:r>
      <w:r>
        <w:rPr>
          <w:rFonts w:ascii="仿宋_GB2312" w:eastAsia="仿宋_GB2312" w:cs="仿宋_GB2312"/>
          <w:kern w:val="0"/>
          <w:sz w:val="32"/>
          <w:szCs w:val="32"/>
        </w:rPr>
        <w:t xml:space="preserve"> 2019 </w:t>
      </w:r>
      <w:r>
        <w:rPr>
          <w:rFonts w:hint="eastAsia" w:ascii="仿宋_GB2312" w:eastAsia="仿宋_GB2312" w:cs="仿宋_GB2312"/>
          <w:kern w:val="0"/>
          <w:sz w:val="32"/>
          <w:szCs w:val="32"/>
        </w:rPr>
        <w:t>年相比，财政拨款收入下降</w:t>
      </w:r>
      <w:r>
        <w:rPr>
          <w:rFonts w:ascii="仿宋_GB2312" w:eastAsia="仿宋_GB2312" w:cs="仿宋_GB2312"/>
          <w:kern w:val="0"/>
          <w:sz w:val="32"/>
          <w:szCs w:val="32"/>
        </w:rPr>
        <w:t>18.92</w:t>
      </w:r>
      <w:r>
        <w:rPr>
          <w:rFonts w:hint="eastAsia" w:ascii="仿宋_GB2312" w:eastAsia="仿宋_GB2312" w:cs="仿宋_GB2312"/>
          <w:kern w:val="0"/>
          <w:sz w:val="32"/>
          <w:szCs w:val="32"/>
        </w:rPr>
        <w:t>万元，下降</w:t>
      </w:r>
      <w:r>
        <w:rPr>
          <w:rFonts w:ascii="仿宋_GB2312" w:eastAsia="仿宋_GB2312" w:cs="仿宋_GB2312"/>
          <w:kern w:val="0"/>
          <w:sz w:val="32"/>
          <w:szCs w:val="32"/>
        </w:rPr>
        <w:t>13.01%</w:t>
      </w:r>
      <w:r>
        <w:rPr>
          <w:rFonts w:hint="eastAsia" w:ascii="仿宋_GB2312" w:eastAsia="仿宋_GB2312" w:cs="仿宋_GB2312"/>
          <w:kern w:val="0"/>
          <w:sz w:val="32"/>
          <w:szCs w:val="32"/>
        </w:rPr>
        <w:t>；支出增加</w:t>
      </w:r>
      <w:r>
        <w:rPr>
          <w:rFonts w:ascii="仿宋_GB2312" w:eastAsia="仿宋_GB2312" w:cs="仿宋_GB2312"/>
          <w:kern w:val="0"/>
          <w:sz w:val="32"/>
          <w:szCs w:val="32"/>
        </w:rPr>
        <w:t>11.70</w:t>
      </w:r>
      <w:r>
        <w:rPr>
          <w:rFonts w:hint="eastAsia" w:ascii="仿宋_GB2312" w:eastAsia="仿宋_GB2312" w:cs="仿宋_GB2312"/>
          <w:kern w:val="0"/>
          <w:sz w:val="32"/>
          <w:szCs w:val="32"/>
        </w:rPr>
        <w:t>万元，增长</w:t>
      </w:r>
      <w:r>
        <w:rPr>
          <w:rFonts w:ascii="仿宋_GB2312" w:eastAsia="仿宋_GB2312" w:cs="仿宋_GB2312"/>
          <w:kern w:val="0"/>
          <w:sz w:val="32"/>
          <w:szCs w:val="32"/>
        </w:rPr>
        <w:t>10.22%</w:t>
      </w:r>
      <w:r>
        <w:rPr>
          <w:rFonts w:hint="eastAsia" w:ascii="仿宋_GB2312" w:eastAsia="仿宋_GB2312" w:cs="仿宋_GB2312"/>
          <w:kern w:val="0"/>
          <w:sz w:val="32"/>
          <w:szCs w:val="32"/>
        </w:rPr>
        <w:t>。</w:t>
      </w:r>
    </w:p>
    <w:p>
      <w:pPr>
        <w:autoSpaceDE w:val="0"/>
        <w:autoSpaceDN w:val="0"/>
        <w:adjustRightInd w:val="0"/>
        <w:spacing w:line="580" w:lineRule="exact"/>
        <w:ind w:firstLine="643" w:firstLineChars="200"/>
        <w:jc w:val="left"/>
        <w:rPr>
          <w:rFonts w:eastAsia="仿宋_GB2312"/>
          <w:b/>
          <w:bCs/>
          <w:kern w:val="0"/>
          <w:sz w:val="32"/>
          <w:szCs w:val="32"/>
        </w:rPr>
      </w:pPr>
      <w:r>
        <w:rPr>
          <w:rFonts w:hint="eastAsia" w:ascii="仿宋_GB2312" w:eastAsia="仿宋_GB2312" w:cs="仿宋_GB2312"/>
          <w:b/>
          <w:bCs/>
          <w:kern w:val="0"/>
          <w:sz w:val="32"/>
          <w:szCs w:val="32"/>
        </w:rPr>
        <w:t>五、</w:t>
      </w:r>
      <w:r>
        <w:rPr>
          <w:rFonts w:eastAsia="仿宋_GB2312"/>
          <w:b/>
          <w:bCs/>
          <w:kern w:val="0"/>
          <w:sz w:val="32"/>
          <w:szCs w:val="32"/>
        </w:rPr>
        <w:t>2020</w:t>
      </w:r>
      <w:r>
        <w:rPr>
          <w:rFonts w:hint="eastAsia" w:eastAsia="仿宋_GB2312" w:cs="仿宋_GB2312"/>
          <w:b/>
          <w:bCs/>
          <w:kern w:val="0"/>
          <w:sz w:val="32"/>
          <w:szCs w:val="32"/>
        </w:rPr>
        <w:t>年度一般公共预算财政拨款支出决算情况</w:t>
      </w:r>
    </w:p>
    <w:p>
      <w:pPr>
        <w:autoSpaceDE w:val="0"/>
        <w:autoSpaceDN w:val="0"/>
        <w:adjustRightInd w:val="0"/>
        <w:spacing w:line="58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（一）财政拨款支出决算情况。</w:t>
      </w:r>
      <w:r>
        <w:rPr>
          <w:rFonts w:ascii="仿宋_GB2312" w:eastAsia="仿宋_GB2312" w:cs="仿宋_GB2312"/>
          <w:kern w:val="0"/>
          <w:sz w:val="32"/>
          <w:szCs w:val="32"/>
        </w:rPr>
        <w:t xml:space="preserve"> </w:t>
      </w:r>
    </w:p>
    <w:p>
      <w:pPr>
        <w:autoSpaceDE w:val="0"/>
        <w:autoSpaceDN w:val="0"/>
        <w:adjustRightInd w:val="0"/>
        <w:spacing w:line="580" w:lineRule="exact"/>
        <w:ind w:firstLine="640" w:firstLineChars="200"/>
        <w:rPr>
          <w:rFonts w:ascii="仿宋_GB2312" w:eastAsia="仿宋_GB2312"/>
          <w:kern w:val="0"/>
          <w:sz w:val="32"/>
          <w:szCs w:val="32"/>
        </w:rPr>
      </w:pPr>
      <w:r>
        <w:rPr>
          <w:rFonts w:ascii="仿宋_GB2312" w:eastAsia="仿宋_GB2312" w:cs="仿宋_GB2312"/>
          <w:kern w:val="0"/>
          <w:sz w:val="32"/>
          <w:szCs w:val="32"/>
        </w:rPr>
        <w:t>2020</w:t>
      </w:r>
      <w:r>
        <w:rPr>
          <w:rFonts w:hint="eastAsia" w:ascii="仿宋_GB2312" w:eastAsia="仿宋_GB2312" w:cs="仿宋_GB2312"/>
          <w:kern w:val="0"/>
          <w:sz w:val="32"/>
          <w:szCs w:val="32"/>
        </w:rPr>
        <w:t>年度财政拨款支出</w:t>
      </w:r>
      <w:r>
        <w:rPr>
          <w:rFonts w:ascii="仿宋_GB2312" w:eastAsia="仿宋_GB2312" w:cs="仿宋_GB2312"/>
          <w:kern w:val="0"/>
          <w:sz w:val="32"/>
          <w:szCs w:val="32"/>
        </w:rPr>
        <w:t xml:space="preserve">126.14 </w:t>
      </w:r>
      <w:r>
        <w:rPr>
          <w:rFonts w:hint="eastAsia" w:ascii="仿宋_GB2312" w:eastAsia="仿宋_GB2312" w:cs="仿宋_GB2312"/>
          <w:kern w:val="0"/>
          <w:sz w:val="32"/>
          <w:szCs w:val="32"/>
        </w:rPr>
        <w:t>万元，占本年支出合计的</w:t>
      </w:r>
      <w:r>
        <w:rPr>
          <w:rFonts w:ascii="仿宋_GB2312" w:eastAsia="仿宋_GB2312" w:cs="仿宋_GB2312"/>
          <w:kern w:val="0"/>
          <w:sz w:val="32"/>
          <w:szCs w:val="32"/>
        </w:rPr>
        <w:t xml:space="preserve"> 100%</w:t>
      </w:r>
      <w:r>
        <w:rPr>
          <w:rFonts w:hint="eastAsia" w:ascii="仿宋_GB2312" w:eastAsia="仿宋_GB2312" w:cs="仿宋_GB2312"/>
          <w:kern w:val="0"/>
          <w:sz w:val="32"/>
          <w:szCs w:val="32"/>
        </w:rPr>
        <w:t>。与</w:t>
      </w:r>
      <w:r>
        <w:rPr>
          <w:rFonts w:ascii="仿宋_GB2312" w:eastAsia="仿宋_GB2312" w:cs="仿宋_GB2312"/>
          <w:kern w:val="0"/>
          <w:sz w:val="32"/>
          <w:szCs w:val="32"/>
        </w:rPr>
        <w:t xml:space="preserve"> 2019 </w:t>
      </w:r>
      <w:r>
        <w:rPr>
          <w:rFonts w:hint="eastAsia" w:ascii="仿宋_GB2312" w:eastAsia="仿宋_GB2312" w:cs="仿宋_GB2312"/>
          <w:kern w:val="0"/>
          <w:sz w:val="32"/>
          <w:szCs w:val="32"/>
        </w:rPr>
        <w:t>年相比，财政拨款支出增加</w:t>
      </w:r>
      <w:r>
        <w:rPr>
          <w:rFonts w:ascii="仿宋_GB2312" w:eastAsia="仿宋_GB2312" w:cs="仿宋_GB2312"/>
          <w:kern w:val="0"/>
          <w:sz w:val="32"/>
          <w:szCs w:val="32"/>
        </w:rPr>
        <w:t>11.7</w:t>
      </w:r>
      <w:r>
        <w:rPr>
          <w:rFonts w:hint="eastAsia" w:ascii="仿宋_GB2312" w:eastAsia="仿宋_GB2312" w:cs="仿宋_GB2312"/>
          <w:kern w:val="0"/>
          <w:sz w:val="32"/>
          <w:szCs w:val="32"/>
        </w:rPr>
        <w:t>万元，增加</w:t>
      </w:r>
      <w:r>
        <w:rPr>
          <w:rFonts w:ascii="仿宋_GB2312" w:eastAsia="仿宋_GB2312" w:cs="仿宋_GB2312"/>
          <w:kern w:val="0"/>
          <w:sz w:val="32"/>
          <w:szCs w:val="32"/>
        </w:rPr>
        <w:t>10.22%</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rPr>
          <w:rFonts w:ascii="仿宋_GB2312" w:eastAsia="仿宋_GB2312"/>
          <w:kern w:val="0"/>
          <w:sz w:val="32"/>
          <w:szCs w:val="32"/>
        </w:rPr>
      </w:pPr>
      <w:r>
        <w:rPr>
          <w:rFonts w:hint="eastAsia" w:ascii="仿宋_GB2312" w:eastAsia="仿宋_GB2312" w:cs="仿宋_GB2312"/>
          <w:kern w:val="0"/>
          <w:sz w:val="32"/>
          <w:szCs w:val="32"/>
        </w:rPr>
        <w:t>（二）财政拨款支出决算结构情况</w:t>
      </w:r>
    </w:p>
    <w:p>
      <w:pPr>
        <w:autoSpaceDE w:val="0"/>
        <w:autoSpaceDN w:val="0"/>
        <w:adjustRightInd w:val="0"/>
        <w:spacing w:line="580" w:lineRule="exact"/>
        <w:rPr>
          <w:rFonts w:ascii="仿宋_GB2312" w:eastAsia="仿宋_GB2312"/>
          <w:kern w:val="0"/>
          <w:sz w:val="32"/>
          <w:szCs w:val="32"/>
        </w:rPr>
      </w:pPr>
      <w:r>
        <w:rPr>
          <w:rFonts w:ascii="仿宋_GB2312" w:eastAsia="仿宋_GB2312" w:cs="仿宋_GB2312"/>
          <w:kern w:val="0"/>
          <w:sz w:val="32"/>
          <w:szCs w:val="32"/>
        </w:rPr>
        <w:t xml:space="preserve">     2020 </w:t>
      </w:r>
      <w:r>
        <w:rPr>
          <w:rFonts w:hint="eastAsia" w:ascii="仿宋_GB2312" w:eastAsia="仿宋_GB2312" w:cs="仿宋_GB2312"/>
          <w:kern w:val="0"/>
          <w:sz w:val="32"/>
          <w:szCs w:val="32"/>
        </w:rPr>
        <w:t>年度财政拨款支出</w:t>
      </w:r>
      <w:r>
        <w:rPr>
          <w:rFonts w:ascii="仿宋_GB2312" w:eastAsia="仿宋_GB2312" w:cs="仿宋_GB2312"/>
          <w:kern w:val="0"/>
          <w:sz w:val="32"/>
          <w:szCs w:val="32"/>
        </w:rPr>
        <w:t xml:space="preserve"> 126.14 </w:t>
      </w:r>
      <w:r>
        <w:rPr>
          <w:rFonts w:hint="eastAsia" w:ascii="仿宋_GB2312" w:eastAsia="仿宋_GB2312" w:cs="仿宋_GB2312"/>
          <w:kern w:val="0"/>
          <w:sz w:val="32"/>
          <w:szCs w:val="32"/>
        </w:rPr>
        <w:t>万元，主要用于以下方面：一般公共服务（类）支出</w:t>
      </w:r>
      <w:r>
        <w:rPr>
          <w:rFonts w:ascii="仿宋_GB2312" w:eastAsia="仿宋_GB2312" w:cs="仿宋_GB2312"/>
          <w:kern w:val="0"/>
          <w:sz w:val="32"/>
          <w:szCs w:val="32"/>
        </w:rPr>
        <w:t xml:space="preserve"> 104.99</w:t>
      </w:r>
      <w:r>
        <w:rPr>
          <w:rFonts w:hint="eastAsia" w:ascii="仿宋_GB2312" w:eastAsia="仿宋_GB2312" w:cs="仿宋_GB2312"/>
          <w:kern w:val="0"/>
          <w:sz w:val="32"/>
          <w:szCs w:val="32"/>
        </w:rPr>
        <w:t>万元，</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占</w:t>
      </w:r>
      <w:r>
        <w:rPr>
          <w:rFonts w:ascii="仿宋_GB2312" w:eastAsia="仿宋_GB2312" w:cs="仿宋_GB2312"/>
          <w:kern w:val="0"/>
          <w:sz w:val="32"/>
          <w:szCs w:val="32"/>
        </w:rPr>
        <w:t>83.23%</w:t>
      </w:r>
      <w:r>
        <w:rPr>
          <w:rFonts w:hint="eastAsia" w:ascii="仿宋_GB2312" w:eastAsia="仿宋_GB2312" w:cs="仿宋_GB2312"/>
          <w:kern w:val="0"/>
          <w:sz w:val="32"/>
          <w:szCs w:val="32"/>
        </w:rPr>
        <w:t>；</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教育（类）支出</w:t>
      </w:r>
      <w:r>
        <w:rPr>
          <w:rFonts w:ascii="仿宋_GB2312" w:eastAsia="仿宋_GB2312" w:cs="仿宋_GB2312"/>
          <w:kern w:val="0"/>
          <w:sz w:val="32"/>
          <w:szCs w:val="32"/>
        </w:rPr>
        <w:t>0</w:t>
      </w:r>
      <w:r>
        <w:rPr>
          <w:rFonts w:hint="eastAsia" w:ascii="仿宋_GB2312" w:eastAsia="仿宋_GB2312" w:cs="仿宋_GB2312"/>
          <w:kern w:val="0"/>
          <w:sz w:val="32"/>
          <w:szCs w:val="32"/>
        </w:rPr>
        <w:t>万元，占</w:t>
      </w:r>
      <w:r>
        <w:rPr>
          <w:rFonts w:ascii="仿宋_GB2312" w:eastAsia="仿宋_GB2312" w:cs="仿宋_GB2312"/>
          <w:kern w:val="0"/>
          <w:sz w:val="32"/>
          <w:szCs w:val="32"/>
        </w:rPr>
        <w:t>0%</w:t>
      </w:r>
      <w:r>
        <w:rPr>
          <w:rFonts w:hint="eastAsia" w:ascii="仿宋_GB2312" w:eastAsia="仿宋_GB2312" w:cs="仿宋_GB2312"/>
          <w:kern w:val="0"/>
          <w:sz w:val="32"/>
          <w:szCs w:val="32"/>
        </w:rPr>
        <w:t>；科学技术（类）</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支出</w:t>
      </w:r>
      <w:r>
        <w:rPr>
          <w:rFonts w:ascii="仿宋_GB2312" w:eastAsia="仿宋_GB2312" w:cs="仿宋_GB2312"/>
          <w:kern w:val="0"/>
          <w:sz w:val="32"/>
          <w:szCs w:val="32"/>
        </w:rPr>
        <w:t>0</w:t>
      </w:r>
      <w:r>
        <w:rPr>
          <w:rFonts w:hint="eastAsia" w:ascii="仿宋_GB2312" w:eastAsia="仿宋_GB2312" w:cs="仿宋_GB2312"/>
          <w:kern w:val="0"/>
          <w:sz w:val="32"/>
          <w:szCs w:val="32"/>
        </w:rPr>
        <w:t>万元，占</w:t>
      </w:r>
      <w:r>
        <w:rPr>
          <w:rFonts w:ascii="仿宋_GB2312" w:eastAsia="仿宋_GB2312" w:cs="仿宋_GB2312"/>
          <w:kern w:val="0"/>
          <w:sz w:val="32"/>
          <w:szCs w:val="32"/>
        </w:rPr>
        <w:t>0%</w:t>
      </w:r>
      <w:r>
        <w:rPr>
          <w:rFonts w:hint="eastAsia" w:ascii="仿宋_GB2312" w:eastAsia="仿宋_GB2312" w:cs="仿宋_GB2312"/>
          <w:kern w:val="0"/>
          <w:sz w:val="32"/>
          <w:szCs w:val="32"/>
        </w:rPr>
        <w:t>；文化体育与传媒（类）支出</w:t>
      </w:r>
      <w:r>
        <w:rPr>
          <w:rFonts w:ascii="仿宋_GB2312" w:eastAsia="仿宋_GB2312" w:cs="仿宋_GB2312"/>
          <w:kern w:val="0"/>
          <w:sz w:val="32"/>
          <w:szCs w:val="32"/>
        </w:rPr>
        <w:t xml:space="preserve">0 </w:t>
      </w:r>
      <w:r>
        <w:rPr>
          <w:rFonts w:hint="eastAsia" w:ascii="仿宋_GB2312" w:eastAsia="仿宋_GB2312" w:cs="仿宋_GB2312"/>
          <w:kern w:val="0"/>
          <w:sz w:val="32"/>
          <w:szCs w:val="32"/>
        </w:rPr>
        <w:t>万元，占</w:t>
      </w:r>
      <w:r>
        <w:rPr>
          <w:rFonts w:ascii="仿宋_GB2312" w:eastAsia="仿宋_GB2312" w:cs="仿宋_GB2312"/>
          <w:kern w:val="0"/>
          <w:sz w:val="32"/>
          <w:szCs w:val="32"/>
        </w:rPr>
        <w:t>0%</w:t>
      </w:r>
      <w:r>
        <w:rPr>
          <w:rFonts w:hint="eastAsia" w:ascii="仿宋_GB2312" w:eastAsia="仿宋_GB2312" w:cs="仿宋_GB2312"/>
          <w:kern w:val="0"/>
          <w:sz w:val="32"/>
          <w:szCs w:val="32"/>
        </w:rPr>
        <w:t>；社会保障和就业（类）支出</w:t>
      </w:r>
      <w:r>
        <w:rPr>
          <w:rFonts w:ascii="仿宋_GB2312" w:eastAsia="仿宋_GB2312" w:cs="仿宋_GB2312"/>
          <w:kern w:val="0"/>
          <w:sz w:val="32"/>
          <w:szCs w:val="32"/>
        </w:rPr>
        <w:t>11.78</w:t>
      </w:r>
      <w:r>
        <w:rPr>
          <w:rFonts w:hint="eastAsia" w:ascii="仿宋_GB2312" w:eastAsia="仿宋_GB2312" w:cs="仿宋_GB2312"/>
          <w:kern w:val="0"/>
          <w:sz w:val="32"/>
          <w:szCs w:val="32"/>
        </w:rPr>
        <w:t>万元，占</w:t>
      </w:r>
      <w:r>
        <w:rPr>
          <w:rFonts w:ascii="仿宋_GB2312" w:eastAsia="仿宋_GB2312" w:cs="仿宋_GB2312"/>
          <w:kern w:val="0"/>
          <w:sz w:val="32"/>
          <w:szCs w:val="32"/>
        </w:rPr>
        <w:t>9.34%</w:t>
      </w:r>
      <w:r>
        <w:rPr>
          <w:rFonts w:hint="eastAsia" w:ascii="仿宋_GB2312" w:eastAsia="仿宋_GB2312" w:cs="仿宋_GB2312"/>
          <w:kern w:val="0"/>
          <w:sz w:val="32"/>
          <w:szCs w:val="32"/>
        </w:rPr>
        <w:t>，卫生健康支出</w:t>
      </w:r>
      <w:r>
        <w:rPr>
          <w:rFonts w:ascii="仿宋_GB2312" w:eastAsia="仿宋_GB2312" w:cs="仿宋_GB2312"/>
          <w:kern w:val="0"/>
          <w:sz w:val="32"/>
          <w:szCs w:val="32"/>
        </w:rPr>
        <w:t>4.97</w:t>
      </w:r>
      <w:r>
        <w:rPr>
          <w:rFonts w:hint="eastAsia" w:ascii="仿宋_GB2312" w:eastAsia="仿宋_GB2312" w:cs="仿宋_GB2312"/>
          <w:kern w:val="0"/>
          <w:sz w:val="32"/>
          <w:szCs w:val="32"/>
        </w:rPr>
        <w:t>万元，占</w:t>
      </w:r>
      <w:r>
        <w:rPr>
          <w:rFonts w:ascii="仿宋_GB2312" w:eastAsia="仿宋_GB2312" w:cs="仿宋_GB2312"/>
          <w:kern w:val="0"/>
          <w:sz w:val="32"/>
          <w:szCs w:val="32"/>
        </w:rPr>
        <w:t>3.94%</w:t>
      </w:r>
      <w:r>
        <w:rPr>
          <w:rFonts w:hint="eastAsia" w:ascii="仿宋_GB2312" w:eastAsia="仿宋_GB2312" w:cs="仿宋_GB2312"/>
          <w:kern w:val="0"/>
          <w:sz w:val="32"/>
          <w:szCs w:val="32"/>
        </w:rPr>
        <w:t>，农林水（类）支出</w:t>
      </w:r>
      <w:r>
        <w:rPr>
          <w:rFonts w:ascii="仿宋_GB2312" w:eastAsia="仿宋_GB2312" w:cs="仿宋_GB2312"/>
          <w:kern w:val="0"/>
          <w:sz w:val="32"/>
          <w:szCs w:val="32"/>
        </w:rPr>
        <w:t xml:space="preserve">0 </w:t>
      </w:r>
      <w:r>
        <w:rPr>
          <w:rFonts w:hint="eastAsia" w:ascii="仿宋_GB2312" w:eastAsia="仿宋_GB2312" w:cs="仿宋_GB2312"/>
          <w:kern w:val="0"/>
          <w:sz w:val="32"/>
          <w:szCs w:val="32"/>
        </w:rPr>
        <w:t>万元，占</w:t>
      </w:r>
      <w:r>
        <w:rPr>
          <w:rFonts w:ascii="仿宋_GB2312" w:eastAsia="仿宋_GB2312" w:cs="仿宋_GB2312"/>
          <w:kern w:val="0"/>
          <w:sz w:val="32"/>
          <w:szCs w:val="32"/>
        </w:rPr>
        <w:t xml:space="preserve"> 0%</w:t>
      </w:r>
      <w:r>
        <w:rPr>
          <w:rFonts w:hint="eastAsia" w:ascii="仿宋_GB2312" w:eastAsia="仿宋_GB2312" w:cs="仿宋_GB2312"/>
          <w:kern w:val="0"/>
          <w:sz w:val="32"/>
          <w:szCs w:val="32"/>
        </w:rPr>
        <w:t>；住房保障（类）支出</w:t>
      </w:r>
      <w:r>
        <w:rPr>
          <w:rFonts w:ascii="仿宋_GB2312" w:eastAsia="仿宋_GB2312" w:cs="仿宋_GB2312"/>
          <w:kern w:val="0"/>
          <w:sz w:val="32"/>
          <w:szCs w:val="32"/>
        </w:rPr>
        <w:t>4.4</w:t>
      </w:r>
      <w:r>
        <w:rPr>
          <w:rFonts w:hint="eastAsia" w:ascii="仿宋_GB2312" w:eastAsia="仿宋_GB2312" w:cs="仿宋_GB2312"/>
          <w:kern w:val="0"/>
          <w:sz w:val="32"/>
          <w:szCs w:val="32"/>
        </w:rPr>
        <w:t>万元，占</w:t>
      </w:r>
      <w:r>
        <w:rPr>
          <w:rFonts w:ascii="仿宋_GB2312" w:eastAsia="仿宋_GB2312" w:cs="仿宋_GB2312"/>
          <w:kern w:val="0"/>
          <w:sz w:val="32"/>
          <w:szCs w:val="32"/>
        </w:rPr>
        <w:t xml:space="preserve"> 3.49%</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rPr>
          <w:rFonts w:ascii="仿宋_GB2312" w:eastAsia="仿宋_GB2312"/>
          <w:kern w:val="0"/>
          <w:sz w:val="32"/>
          <w:szCs w:val="32"/>
        </w:rPr>
      </w:pPr>
      <w:r>
        <w:rPr>
          <w:rFonts w:hint="eastAsia" w:ascii="仿宋_GB2312" w:eastAsia="仿宋_GB2312" w:cs="仿宋_GB2312"/>
          <w:kern w:val="0"/>
          <w:sz w:val="32"/>
          <w:szCs w:val="32"/>
        </w:rPr>
        <w:t>（三）财政拨款支出决算具体情况</w:t>
      </w:r>
    </w:p>
    <w:p>
      <w:pPr>
        <w:autoSpaceDE w:val="0"/>
        <w:autoSpaceDN w:val="0"/>
        <w:adjustRightInd w:val="0"/>
        <w:spacing w:line="580" w:lineRule="exact"/>
        <w:ind w:firstLine="640" w:firstLineChars="200"/>
        <w:rPr>
          <w:rFonts w:ascii="仿宋_GB2312" w:eastAsia="仿宋_GB2312"/>
          <w:kern w:val="0"/>
          <w:sz w:val="32"/>
          <w:szCs w:val="32"/>
        </w:rPr>
      </w:pPr>
      <w:r>
        <w:rPr>
          <w:rFonts w:ascii="仿宋_GB2312" w:eastAsia="仿宋_GB2312" w:cs="仿宋_GB2312"/>
          <w:kern w:val="0"/>
          <w:sz w:val="32"/>
          <w:szCs w:val="32"/>
        </w:rPr>
        <w:t xml:space="preserve"> 2020 </w:t>
      </w:r>
      <w:r>
        <w:rPr>
          <w:rFonts w:hint="eastAsia" w:ascii="仿宋_GB2312" w:eastAsia="仿宋_GB2312" w:cs="仿宋_GB2312"/>
          <w:kern w:val="0"/>
          <w:sz w:val="32"/>
          <w:szCs w:val="32"/>
        </w:rPr>
        <w:t>年度财政拨款支出年初预算为</w:t>
      </w:r>
      <w:r>
        <w:rPr>
          <w:rFonts w:ascii="仿宋_GB2312" w:eastAsia="仿宋_GB2312" w:cs="仿宋_GB2312"/>
          <w:kern w:val="0"/>
          <w:sz w:val="32"/>
          <w:szCs w:val="32"/>
        </w:rPr>
        <w:t xml:space="preserve"> 126.49</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 xml:space="preserve">126.14 </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99.72%</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rPr>
          <w:rFonts w:ascii="仿宋_GB2312" w:eastAsia="仿宋_GB2312"/>
          <w:kern w:val="0"/>
          <w:sz w:val="32"/>
          <w:szCs w:val="32"/>
        </w:rPr>
      </w:pPr>
      <w:r>
        <w:rPr>
          <w:rFonts w:ascii="仿宋_GB2312" w:eastAsia="仿宋_GB2312" w:cs="仿宋_GB2312"/>
          <w:kern w:val="0"/>
          <w:sz w:val="32"/>
          <w:szCs w:val="32"/>
        </w:rPr>
        <w:t>1.</w:t>
      </w:r>
      <w:r>
        <w:rPr>
          <w:rFonts w:hint="eastAsia" w:ascii="仿宋_GB2312" w:eastAsia="仿宋_GB2312" w:cs="仿宋_GB2312"/>
          <w:kern w:val="0"/>
          <w:sz w:val="32"/>
          <w:szCs w:val="32"/>
        </w:rPr>
        <w:t>一般公共服务（类）财政事务（款）行政运行（项）。</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年初预算为</w:t>
      </w:r>
      <w:r>
        <w:rPr>
          <w:rFonts w:ascii="仿宋_GB2312" w:eastAsia="仿宋_GB2312" w:cs="仿宋_GB2312"/>
          <w:kern w:val="0"/>
          <w:sz w:val="32"/>
          <w:szCs w:val="32"/>
        </w:rPr>
        <w:t>56.82</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56.82</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 xml:space="preserve"> 100%</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rPr>
          <w:rFonts w:ascii="仿宋_GB2312" w:eastAsia="仿宋_GB2312" w:cs="仿宋_GB2312"/>
          <w:kern w:val="0"/>
          <w:sz w:val="32"/>
          <w:szCs w:val="32"/>
        </w:rPr>
      </w:pPr>
      <w:r>
        <w:rPr>
          <w:rFonts w:ascii="仿宋_GB2312" w:eastAsia="仿宋_GB2312" w:cs="仿宋_GB2312"/>
          <w:kern w:val="0"/>
          <w:sz w:val="32"/>
          <w:szCs w:val="32"/>
        </w:rPr>
        <w:t>2.</w:t>
      </w:r>
      <w:r>
        <w:rPr>
          <w:rFonts w:hint="eastAsia" w:ascii="仿宋_GB2312" w:eastAsia="仿宋_GB2312" w:cs="仿宋_GB2312"/>
          <w:kern w:val="0"/>
          <w:sz w:val="32"/>
          <w:szCs w:val="32"/>
        </w:rPr>
        <w:t>一般公共服务（类）财政事务（款）一般行政管理事</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务（项）。年初预算为</w:t>
      </w:r>
      <w:r>
        <w:rPr>
          <w:rFonts w:ascii="仿宋_GB2312" w:eastAsia="仿宋_GB2312" w:cs="仿宋_GB2312"/>
          <w:kern w:val="0"/>
          <w:sz w:val="32"/>
          <w:szCs w:val="32"/>
        </w:rPr>
        <w:t xml:space="preserve"> 45.88</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48.17</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 xml:space="preserve"> 104.99 %</w:t>
      </w:r>
      <w:r>
        <w:rPr>
          <w:rFonts w:hint="eastAsia" w:ascii="仿宋_GB2312" w:eastAsia="仿宋_GB2312" w:cs="仿宋_GB2312"/>
          <w:kern w:val="0"/>
          <w:sz w:val="32"/>
          <w:szCs w:val="32"/>
        </w:rPr>
        <w:t>。决算数大于预算数的主要原因是</w:t>
      </w:r>
      <w:r>
        <w:rPr>
          <w:rFonts w:ascii="仿宋_GB2312" w:eastAsia="仿宋_GB2312" w:cs="仿宋_GB2312"/>
          <w:kern w:val="0"/>
          <w:sz w:val="32"/>
          <w:szCs w:val="32"/>
        </w:rPr>
        <w:t>2020</w:t>
      </w:r>
      <w:r>
        <w:rPr>
          <w:rFonts w:hint="eastAsia" w:ascii="仿宋_GB2312" w:eastAsia="仿宋_GB2312" w:cs="仿宋_GB2312"/>
          <w:kern w:val="0"/>
          <w:sz w:val="32"/>
          <w:szCs w:val="32"/>
        </w:rPr>
        <w:t>年我单位新调入人员</w:t>
      </w:r>
      <w:r>
        <w:rPr>
          <w:rFonts w:ascii="仿宋_GB2312" w:eastAsia="仿宋_GB2312" w:cs="仿宋_GB2312"/>
          <w:kern w:val="0"/>
          <w:sz w:val="32"/>
          <w:szCs w:val="32"/>
        </w:rPr>
        <w:t>2</w:t>
      </w:r>
      <w:r>
        <w:rPr>
          <w:rFonts w:hint="eastAsia" w:ascii="仿宋_GB2312" w:eastAsia="仿宋_GB2312" w:cs="仿宋_GB2312"/>
          <w:kern w:val="0"/>
          <w:sz w:val="32"/>
          <w:szCs w:val="32"/>
        </w:rPr>
        <w:t>名，增加相应的行政管理费用。</w:t>
      </w:r>
      <w:r>
        <w:rPr>
          <w:rFonts w:ascii="仿宋_GB2312" w:eastAsia="仿宋_GB2312" w:cs="仿宋_GB2312"/>
          <w:kern w:val="0"/>
          <w:sz w:val="32"/>
          <w:szCs w:val="32"/>
        </w:rPr>
        <w:t xml:space="preserve"> </w:t>
      </w:r>
    </w:p>
    <w:p>
      <w:pPr>
        <w:autoSpaceDE w:val="0"/>
        <w:autoSpaceDN w:val="0"/>
        <w:adjustRightInd w:val="0"/>
        <w:spacing w:line="580" w:lineRule="exact"/>
        <w:ind w:firstLine="640" w:firstLineChars="200"/>
        <w:rPr>
          <w:rFonts w:ascii="仿宋_GB2312" w:eastAsia="仿宋_GB2312"/>
          <w:kern w:val="0"/>
          <w:sz w:val="32"/>
          <w:szCs w:val="32"/>
        </w:rPr>
      </w:pPr>
      <w:r>
        <w:rPr>
          <w:rFonts w:ascii="仿宋_GB2312" w:eastAsia="仿宋_GB2312" w:cs="仿宋_GB2312"/>
          <w:kern w:val="0"/>
          <w:sz w:val="32"/>
          <w:szCs w:val="32"/>
        </w:rPr>
        <w:t>3.</w:t>
      </w:r>
      <w:r>
        <w:rPr>
          <w:rFonts w:hint="eastAsia" w:ascii="仿宋_GB2312" w:eastAsia="仿宋_GB2312" w:cs="仿宋_GB2312"/>
          <w:kern w:val="0"/>
          <w:sz w:val="32"/>
          <w:szCs w:val="32"/>
        </w:rPr>
        <w:t>社会保障和就业支出（类）行政事业单位养老支出（款）行政单位离退休（项）。年初预算为</w:t>
      </w:r>
      <w:r>
        <w:rPr>
          <w:rFonts w:ascii="仿宋_GB2312" w:eastAsia="仿宋_GB2312" w:cs="仿宋_GB2312"/>
          <w:kern w:val="0"/>
          <w:sz w:val="32"/>
          <w:szCs w:val="32"/>
        </w:rPr>
        <w:t xml:space="preserve">1.84 </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1.99</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108.15%</w:t>
      </w:r>
      <w:r>
        <w:rPr>
          <w:rFonts w:hint="eastAsia" w:ascii="仿宋_GB2312" w:eastAsia="仿宋_GB2312" w:cs="仿宋_GB2312"/>
          <w:kern w:val="0"/>
          <w:sz w:val="32"/>
          <w:szCs w:val="32"/>
        </w:rPr>
        <w:t>。决算数大于预算数的主要原因是</w:t>
      </w:r>
      <w:r>
        <w:rPr>
          <w:rFonts w:ascii="仿宋_GB2312" w:eastAsia="仿宋_GB2312" w:cs="仿宋_GB2312"/>
          <w:kern w:val="0"/>
          <w:sz w:val="32"/>
          <w:szCs w:val="32"/>
        </w:rPr>
        <w:t>2019</w:t>
      </w:r>
      <w:r>
        <w:rPr>
          <w:rFonts w:hint="eastAsia" w:ascii="仿宋_GB2312" w:eastAsia="仿宋_GB2312" w:cs="仿宋_GB2312"/>
          <w:kern w:val="0"/>
          <w:sz w:val="32"/>
          <w:szCs w:val="32"/>
        </w:rPr>
        <w:t>年</w:t>
      </w:r>
      <w:r>
        <w:rPr>
          <w:rFonts w:ascii="仿宋_GB2312" w:eastAsia="仿宋_GB2312" w:cs="仿宋_GB2312"/>
          <w:kern w:val="0"/>
          <w:sz w:val="32"/>
          <w:szCs w:val="32"/>
        </w:rPr>
        <w:t>11</w:t>
      </w:r>
      <w:r>
        <w:rPr>
          <w:rFonts w:hint="eastAsia" w:ascii="仿宋_GB2312" w:eastAsia="仿宋_GB2312" w:cs="仿宋_GB2312"/>
          <w:kern w:val="0"/>
          <w:sz w:val="32"/>
          <w:szCs w:val="32"/>
        </w:rPr>
        <w:t>月我单位新增退休人员</w:t>
      </w:r>
      <w:r>
        <w:rPr>
          <w:rFonts w:ascii="仿宋_GB2312" w:eastAsia="仿宋_GB2312" w:cs="仿宋_GB2312"/>
          <w:kern w:val="0"/>
          <w:sz w:val="32"/>
          <w:szCs w:val="32"/>
        </w:rPr>
        <w:t>1</w:t>
      </w:r>
      <w:r>
        <w:rPr>
          <w:rFonts w:hint="eastAsia" w:ascii="仿宋_GB2312" w:eastAsia="仿宋_GB2312" w:cs="仿宋_GB2312"/>
          <w:kern w:val="0"/>
          <w:sz w:val="32"/>
          <w:szCs w:val="32"/>
        </w:rPr>
        <w:t>名，</w:t>
      </w:r>
      <w:r>
        <w:rPr>
          <w:rFonts w:ascii="仿宋_GB2312" w:eastAsia="仿宋_GB2312" w:cs="仿宋_GB2312"/>
          <w:kern w:val="0"/>
          <w:sz w:val="32"/>
          <w:szCs w:val="32"/>
        </w:rPr>
        <w:t>2020</w:t>
      </w:r>
      <w:r>
        <w:rPr>
          <w:rFonts w:hint="eastAsia" w:ascii="仿宋_GB2312" w:eastAsia="仿宋_GB2312" w:cs="仿宋_GB2312"/>
          <w:kern w:val="0"/>
          <w:sz w:val="32"/>
          <w:szCs w:val="32"/>
        </w:rPr>
        <w:t>年财政未增加该退休人员费用拨款</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rPr>
          <w:rFonts w:ascii="仿宋_GB2312" w:eastAsia="仿宋_GB2312"/>
          <w:kern w:val="0"/>
          <w:sz w:val="32"/>
          <w:szCs w:val="32"/>
        </w:rPr>
      </w:pPr>
      <w:r>
        <w:rPr>
          <w:rFonts w:ascii="仿宋_GB2312" w:eastAsia="仿宋_GB2312" w:cs="仿宋_GB2312"/>
          <w:kern w:val="0"/>
          <w:sz w:val="32"/>
          <w:szCs w:val="32"/>
        </w:rPr>
        <w:t>4.</w:t>
      </w:r>
      <w:r>
        <w:rPr>
          <w:rFonts w:hint="eastAsia" w:ascii="仿宋_GB2312" w:eastAsia="仿宋_GB2312" w:cs="仿宋_GB2312"/>
          <w:kern w:val="0"/>
          <w:sz w:val="32"/>
          <w:szCs w:val="32"/>
        </w:rPr>
        <w:t>社会保障和就业支出（类）行政事业单位养老支出（款）机关事业单位基本养老保险缴费支出（项）。年初预算为</w:t>
      </w:r>
      <w:r>
        <w:rPr>
          <w:rFonts w:ascii="仿宋_GB2312" w:eastAsia="仿宋_GB2312" w:cs="仿宋_GB2312"/>
          <w:kern w:val="0"/>
          <w:sz w:val="32"/>
          <w:szCs w:val="32"/>
        </w:rPr>
        <w:t xml:space="preserve">7.35 </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6.45</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87.76%</w:t>
      </w:r>
      <w:r>
        <w:rPr>
          <w:rFonts w:hint="eastAsia" w:ascii="仿宋_GB2312" w:eastAsia="仿宋_GB2312" w:cs="仿宋_GB2312"/>
          <w:kern w:val="0"/>
          <w:sz w:val="32"/>
          <w:szCs w:val="32"/>
        </w:rPr>
        <w:t>。决算数小于预算数的主要原因是</w:t>
      </w:r>
      <w:r>
        <w:rPr>
          <w:rFonts w:ascii="仿宋_GB2312" w:eastAsia="仿宋_GB2312" w:cs="仿宋_GB2312"/>
          <w:kern w:val="0"/>
          <w:sz w:val="32"/>
          <w:szCs w:val="32"/>
        </w:rPr>
        <w:t>2019</w:t>
      </w:r>
      <w:r>
        <w:rPr>
          <w:rFonts w:hint="eastAsia" w:ascii="仿宋_GB2312" w:eastAsia="仿宋_GB2312" w:cs="仿宋_GB2312"/>
          <w:kern w:val="0"/>
          <w:sz w:val="32"/>
          <w:szCs w:val="32"/>
        </w:rPr>
        <w:t>年基本养老保险缴费有挂账余额待冲抵。</w:t>
      </w:r>
    </w:p>
    <w:p>
      <w:pPr>
        <w:autoSpaceDE w:val="0"/>
        <w:autoSpaceDN w:val="0"/>
        <w:adjustRightInd w:val="0"/>
        <w:spacing w:line="580" w:lineRule="exact"/>
        <w:ind w:firstLine="640" w:firstLineChars="200"/>
        <w:rPr>
          <w:rFonts w:ascii="仿宋_GB2312" w:eastAsia="仿宋_GB2312"/>
          <w:kern w:val="0"/>
          <w:sz w:val="32"/>
          <w:szCs w:val="32"/>
        </w:rPr>
      </w:pPr>
      <w:r>
        <w:rPr>
          <w:rFonts w:ascii="仿宋_GB2312" w:eastAsia="仿宋_GB2312" w:cs="仿宋_GB2312"/>
          <w:kern w:val="0"/>
          <w:sz w:val="32"/>
          <w:szCs w:val="32"/>
        </w:rPr>
        <w:t>5.</w:t>
      </w:r>
      <w:r>
        <w:rPr>
          <w:rFonts w:hint="eastAsia" w:ascii="仿宋_GB2312" w:eastAsia="仿宋_GB2312" w:cs="仿宋_GB2312"/>
          <w:kern w:val="0"/>
          <w:sz w:val="32"/>
          <w:szCs w:val="32"/>
        </w:rPr>
        <w:t>社会保障和就业支出（类）行政事业单位养老支出（款）机关事业单位职业年金缴费支出（项）。年初预算为</w:t>
      </w:r>
      <w:r>
        <w:rPr>
          <w:rFonts w:ascii="仿宋_GB2312" w:eastAsia="仿宋_GB2312" w:cs="仿宋_GB2312"/>
          <w:kern w:val="0"/>
          <w:sz w:val="32"/>
          <w:szCs w:val="32"/>
        </w:rPr>
        <w:t>3.68</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3.34</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90.76%</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rPr>
          <w:rFonts w:ascii="仿宋_GB2312" w:eastAsia="仿宋_GB2312"/>
          <w:kern w:val="0"/>
          <w:sz w:val="32"/>
          <w:szCs w:val="32"/>
        </w:rPr>
      </w:pPr>
      <w:r>
        <w:rPr>
          <w:rFonts w:ascii="仿宋_GB2312" w:eastAsia="仿宋_GB2312" w:cs="仿宋_GB2312"/>
          <w:kern w:val="0"/>
          <w:sz w:val="32"/>
          <w:szCs w:val="32"/>
        </w:rPr>
        <w:t>6.</w:t>
      </w:r>
      <w:r>
        <w:rPr>
          <w:rFonts w:hint="eastAsia" w:ascii="仿宋_GB2312" w:eastAsia="仿宋_GB2312" w:cs="仿宋_GB2312"/>
          <w:kern w:val="0"/>
          <w:sz w:val="32"/>
          <w:szCs w:val="32"/>
        </w:rPr>
        <w:t>卫生健康支出（类）行政事业单位医疗（款）行政单位医疗（项）。年初预算为</w:t>
      </w:r>
      <w:r>
        <w:rPr>
          <w:rFonts w:ascii="仿宋_GB2312" w:eastAsia="仿宋_GB2312" w:cs="仿宋_GB2312"/>
          <w:kern w:val="0"/>
          <w:sz w:val="32"/>
          <w:szCs w:val="32"/>
        </w:rPr>
        <w:t>3.45</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4.65</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134.78%</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rPr>
          <w:rFonts w:ascii="仿宋_GB2312" w:eastAsia="仿宋_GB2312"/>
          <w:kern w:val="0"/>
          <w:sz w:val="32"/>
          <w:szCs w:val="32"/>
        </w:rPr>
      </w:pPr>
      <w:r>
        <w:rPr>
          <w:rFonts w:ascii="仿宋_GB2312" w:eastAsia="仿宋_GB2312" w:cs="仿宋_GB2312"/>
          <w:kern w:val="0"/>
          <w:sz w:val="32"/>
          <w:szCs w:val="32"/>
        </w:rPr>
        <w:t>7.</w:t>
      </w:r>
      <w:r>
        <w:rPr>
          <w:rFonts w:hint="eastAsia" w:ascii="仿宋_GB2312" w:eastAsia="仿宋_GB2312" w:cs="仿宋_GB2312"/>
          <w:kern w:val="0"/>
          <w:sz w:val="32"/>
          <w:szCs w:val="32"/>
        </w:rPr>
        <w:t>卫生健康支出（类）行政事业单位医疗（款）公务员医疗补助（项）。年初预算为</w:t>
      </w:r>
      <w:r>
        <w:rPr>
          <w:rFonts w:ascii="仿宋_GB2312" w:eastAsia="仿宋_GB2312" w:cs="仿宋_GB2312"/>
          <w:kern w:val="0"/>
          <w:sz w:val="32"/>
          <w:szCs w:val="32"/>
        </w:rPr>
        <w:t>1.95</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0.32</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16.41%</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rPr>
          <w:rFonts w:ascii="仿宋_GB2312" w:eastAsia="仿宋_GB2312"/>
          <w:kern w:val="0"/>
          <w:sz w:val="32"/>
          <w:szCs w:val="32"/>
        </w:rPr>
      </w:pPr>
      <w:r>
        <w:rPr>
          <w:rFonts w:ascii="仿宋_GB2312" w:eastAsia="仿宋_GB2312" w:cs="仿宋_GB2312"/>
          <w:kern w:val="0"/>
          <w:sz w:val="32"/>
          <w:szCs w:val="32"/>
        </w:rPr>
        <w:t>8.</w:t>
      </w:r>
      <w:r>
        <w:rPr>
          <w:rFonts w:hint="eastAsia" w:ascii="仿宋_GB2312" w:eastAsia="仿宋_GB2312" w:cs="仿宋_GB2312"/>
          <w:kern w:val="0"/>
          <w:sz w:val="32"/>
          <w:szCs w:val="32"/>
        </w:rPr>
        <w:t>住房保障支出（类）住房改革支出（款）住房公积金（项）。年初预算为</w:t>
      </w:r>
      <w:r>
        <w:rPr>
          <w:rFonts w:ascii="仿宋_GB2312" w:eastAsia="仿宋_GB2312" w:cs="仿宋_GB2312"/>
          <w:kern w:val="0"/>
          <w:sz w:val="32"/>
          <w:szCs w:val="32"/>
        </w:rPr>
        <w:t>5.52</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4.40</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79.71%</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六、</w:t>
      </w:r>
      <w:r>
        <w:rPr>
          <w:rFonts w:ascii="仿宋_GB2312" w:eastAsia="仿宋_GB2312" w:cs="仿宋_GB2312"/>
          <w:kern w:val="0"/>
          <w:sz w:val="32"/>
          <w:szCs w:val="32"/>
        </w:rPr>
        <w:t>2020</w:t>
      </w:r>
      <w:r>
        <w:rPr>
          <w:rFonts w:hint="eastAsia" w:ascii="仿宋_GB2312" w:eastAsia="仿宋_GB2312" w:cs="仿宋_GB2312"/>
          <w:kern w:val="0"/>
          <w:sz w:val="32"/>
          <w:szCs w:val="32"/>
        </w:rPr>
        <w:t>年度一般公共预算财政拨款基本支出决算情况</w:t>
      </w:r>
    </w:p>
    <w:p>
      <w:pPr>
        <w:autoSpaceDE w:val="0"/>
        <w:autoSpaceDN w:val="0"/>
        <w:adjustRightInd w:val="0"/>
        <w:spacing w:line="580" w:lineRule="exact"/>
        <w:ind w:firstLine="640" w:firstLineChars="200"/>
        <w:rPr>
          <w:rFonts w:ascii="仿宋_GB2312" w:eastAsia="仿宋_GB2312"/>
          <w:kern w:val="0"/>
          <w:sz w:val="32"/>
          <w:szCs w:val="32"/>
        </w:rPr>
      </w:pPr>
      <w:r>
        <w:rPr>
          <w:rFonts w:ascii="仿宋_GB2312" w:eastAsia="仿宋_GB2312" w:cs="仿宋_GB2312"/>
          <w:kern w:val="0"/>
          <w:sz w:val="32"/>
          <w:szCs w:val="32"/>
        </w:rPr>
        <w:t>2020</w:t>
      </w:r>
      <w:r>
        <w:rPr>
          <w:rFonts w:hint="eastAsia" w:ascii="仿宋_GB2312" w:eastAsia="仿宋_GB2312" w:cs="仿宋_GB2312"/>
          <w:kern w:val="0"/>
          <w:sz w:val="32"/>
          <w:szCs w:val="32"/>
        </w:rPr>
        <w:t>年度财政拨款基本支出</w:t>
      </w:r>
      <w:r>
        <w:rPr>
          <w:rFonts w:ascii="仿宋_GB2312" w:eastAsia="仿宋_GB2312" w:cs="仿宋_GB2312"/>
          <w:kern w:val="0"/>
          <w:sz w:val="32"/>
          <w:szCs w:val="32"/>
        </w:rPr>
        <w:t>126.14</w:t>
      </w:r>
      <w:r>
        <w:rPr>
          <w:rFonts w:hint="eastAsia" w:ascii="仿宋_GB2312" w:eastAsia="仿宋_GB2312" w:cs="仿宋_GB2312"/>
          <w:kern w:val="0"/>
          <w:sz w:val="32"/>
          <w:szCs w:val="32"/>
        </w:rPr>
        <w:t>万元，其中：</w:t>
      </w:r>
    </w:p>
    <w:p>
      <w:pPr>
        <w:autoSpaceDE w:val="0"/>
        <w:autoSpaceDN w:val="0"/>
        <w:adjustRightInd w:val="0"/>
        <w:spacing w:line="580" w:lineRule="exact"/>
        <w:ind w:firstLine="640" w:firstLineChars="200"/>
        <w:rPr>
          <w:rFonts w:ascii="仿宋_GB2312" w:eastAsia="仿宋_GB2312"/>
          <w:kern w:val="0"/>
          <w:sz w:val="32"/>
          <w:szCs w:val="32"/>
        </w:rPr>
      </w:pPr>
      <w:r>
        <w:rPr>
          <w:rFonts w:hint="eastAsia" w:ascii="仿宋_GB2312" w:eastAsia="仿宋_GB2312" w:cs="仿宋_GB2312"/>
          <w:kern w:val="0"/>
          <w:sz w:val="32"/>
          <w:szCs w:val="32"/>
        </w:rPr>
        <w:t>人员经费</w:t>
      </w:r>
      <w:r>
        <w:rPr>
          <w:rFonts w:ascii="仿宋_GB2312" w:eastAsia="仿宋_GB2312" w:cs="仿宋_GB2312"/>
          <w:kern w:val="0"/>
          <w:sz w:val="32"/>
          <w:szCs w:val="32"/>
        </w:rPr>
        <w:t>77.88</w:t>
      </w:r>
      <w:r>
        <w:rPr>
          <w:rFonts w:hint="eastAsia" w:ascii="仿宋_GB2312" w:eastAsia="仿宋_GB2312" w:cs="仿宋_GB2312"/>
          <w:kern w:val="0"/>
          <w:sz w:val="32"/>
          <w:szCs w:val="32"/>
        </w:rPr>
        <w:t>万元，主要包括：基本工资、津贴补贴、</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奖金、伙食补助费、机关事业单位基本养老保险缴费、职业年金缴费、职工基本医疗保险缴费、公务员医疗补助缴费、住房公积金、退休费、其他对个人和家庭的补助；</w:t>
      </w:r>
    </w:p>
    <w:p>
      <w:pPr>
        <w:autoSpaceDE w:val="0"/>
        <w:autoSpaceDN w:val="0"/>
        <w:adjustRightInd w:val="0"/>
        <w:spacing w:line="580" w:lineRule="exact"/>
        <w:ind w:firstLine="640" w:firstLineChars="200"/>
        <w:rPr>
          <w:rFonts w:ascii="仿宋_GB2312" w:eastAsia="仿宋_GB2312"/>
          <w:kern w:val="0"/>
          <w:sz w:val="32"/>
          <w:szCs w:val="32"/>
        </w:rPr>
      </w:pPr>
      <w:r>
        <w:rPr>
          <w:rFonts w:hint="eastAsia" w:ascii="仿宋_GB2312" w:eastAsia="仿宋_GB2312" w:cs="仿宋_GB2312"/>
          <w:kern w:val="0"/>
          <w:sz w:val="32"/>
          <w:szCs w:val="32"/>
        </w:rPr>
        <w:t>公用经费</w:t>
      </w:r>
      <w:r>
        <w:rPr>
          <w:rFonts w:ascii="仿宋_GB2312" w:eastAsia="仿宋_GB2312" w:cs="仿宋_GB2312"/>
          <w:kern w:val="0"/>
          <w:sz w:val="32"/>
          <w:szCs w:val="32"/>
        </w:rPr>
        <w:t>48.26</w:t>
      </w:r>
      <w:r>
        <w:rPr>
          <w:rFonts w:hint="eastAsia" w:ascii="仿宋_GB2312" w:eastAsia="仿宋_GB2312" w:cs="仿宋_GB2312"/>
          <w:kern w:val="0"/>
          <w:sz w:val="32"/>
          <w:szCs w:val="32"/>
        </w:rPr>
        <w:t>万元，主要</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包括：办公费、手续费、水费、电费、邮电费、物业管理费、差旅费、维修（护）费、会议费、公务接待费、劳务费、工会经费、公务用车运行维护费、其他交通费用、税金及附加费用、其他商品和服务支出、办公设备购置。</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ascii="仿宋_GB2312" w:eastAsia="仿宋_GB2312" w:cs="仿宋_GB2312"/>
          <w:kern w:val="0"/>
          <w:sz w:val="32"/>
          <w:szCs w:val="32"/>
        </w:rPr>
        <w:t xml:space="preserve">2020 </w:t>
      </w:r>
      <w:r>
        <w:rPr>
          <w:rFonts w:hint="eastAsia" w:ascii="仿宋_GB2312" w:eastAsia="仿宋_GB2312" w:cs="仿宋_GB2312"/>
          <w:kern w:val="0"/>
          <w:sz w:val="32"/>
          <w:szCs w:val="32"/>
        </w:rPr>
        <w:t>年度一般公共预算财政拨款“三公”</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经费支出决算情况</w:t>
      </w:r>
      <w:r>
        <w:rPr>
          <w:rFonts w:ascii="仿宋_GB2312" w:eastAsia="仿宋_GB2312" w:cs="仿宋_GB2312"/>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（一）“三公”经费财政拨款支出决算总体情况</w:t>
      </w:r>
      <w:r>
        <w:rPr>
          <w:rFonts w:ascii="仿宋_GB2312" w:eastAsia="仿宋_GB2312" w:cs="仿宋_GB2312"/>
          <w:kern w:val="0"/>
          <w:sz w:val="32"/>
          <w:szCs w:val="32"/>
        </w:rPr>
        <w:t xml:space="preserve"> </w:t>
      </w:r>
    </w:p>
    <w:p>
      <w:pPr>
        <w:autoSpaceDE w:val="0"/>
        <w:autoSpaceDN w:val="0"/>
        <w:adjustRightInd w:val="0"/>
        <w:spacing w:line="580" w:lineRule="exact"/>
        <w:ind w:firstLine="640" w:firstLineChars="200"/>
        <w:rPr>
          <w:rFonts w:ascii="仿宋_GB2312" w:eastAsia="仿宋_GB2312"/>
          <w:kern w:val="0"/>
          <w:sz w:val="32"/>
          <w:szCs w:val="32"/>
        </w:rPr>
      </w:pPr>
      <w:r>
        <w:rPr>
          <w:rFonts w:ascii="仿宋_GB2312" w:eastAsia="仿宋_GB2312" w:cs="仿宋_GB2312"/>
          <w:kern w:val="0"/>
          <w:sz w:val="32"/>
          <w:szCs w:val="32"/>
        </w:rPr>
        <w:t xml:space="preserve">2020 </w:t>
      </w:r>
      <w:r>
        <w:rPr>
          <w:rFonts w:hint="eastAsia" w:ascii="仿宋_GB2312" w:eastAsia="仿宋_GB2312" w:cs="仿宋_GB2312"/>
          <w:kern w:val="0"/>
          <w:sz w:val="32"/>
          <w:szCs w:val="32"/>
        </w:rPr>
        <w:t>年度“三公”经费财政拨款支出预算为</w:t>
      </w:r>
      <w:r>
        <w:rPr>
          <w:rFonts w:ascii="仿宋_GB2312" w:eastAsia="仿宋_GB2312" w:cs="仿宋_GB2312"/>
          <w:kern w:val="0"/>
          <w:sz w:val="32"/>
          <w:szCs w:val="32"/>
        </w:rPr>
        <w:t>8.15</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4.34</w:t>
      </w:r>
      <w:r>
        <w:rPr>
          <w:rFonts w:hint="eastAsia" w:ascii="仿宋_GB2312" w:eastAsia="仿宋_GB2312" w:cs="仿宋_GB2312"/>
          <w:kern w:val="0"/>
          <w:sz w:val="32"/>
          <w:szCs w:val="32"/>
        </w:rPr>
        <w:t>万元，完成预算的</w:t>
      </w:r>
      <w:r>
        <w:rPr>
          <w:rFonts w:ascii="仿宋_GB2312" w:eastAsia="仿宋_GB2312" w:cs="仿宋_GB2312"/>
          <w:kern w:val="0"/>
          <w:sz w:val="32"/>
          <w:szCs w:val="32"/>
        </w:rPr>
        <w:t>53.25%</w:t>
      </w:r>
      <w:r>
        <w:rPr>
          <w:rFonts w:hint="eastAsia" w:ascii="仿宋_GB2312" w:eastAsia="仿宋_GB2312" w:cs="仿宋_GB2312"/>
          <w:kern w:val="0"/>
          <w:sz w:val="32"/>
          <w:szCs w:val="32"/>
        </w:rPr>
        <w:t>，其中：因公出国（境）费支出决算为</w:t>
      </w:r>
      <w:r>
        <w:rPr>
          <w:rFonts w:ascii="仿宋_GB2312" w:eastAsia="仿宋_GB2312" w:cs="仿宋_GB2312"/>
          <w:kern w:val="0"/>
          <w:sz w:val="32"/>
          <w:szCs w:val="32"/>
        </w:rPr>
        <w:t>0</w:t>
      </w:r>
      <w:r>
        <w:rPr>
          <w:rFonts w:hint="eastAsia" w:ascii="仿宋_GB2312" w:eastAsia="仿宋_GB2312" w:cs="仿宋_GB2312"/>
          <w:kern w:val="0"/>
          <w:sz w:val="32"/>
          <w:szCs w:val="32"/>
        </w:rPr>
        <w:t>万元，完成预算的</w:t>
      </w:r>
      <w:r>
        <w:rPr>
          <w:rFonts w:ascii="仿宋_GB2312" w:eastAsia="仿宋_GB2312" w:cs="仿宋_GB2312"/>
          <w:kern w:val="0"/>
          <w:sz w:val="32"/>
          <w:szCs w:val="32"/>
        </w:rPr>
        <w:t>100%</w:t>
      </w:r>
      <w:r>
        <w:rPr>
          <w:rFonts w:hint="eastAsia" w:ascii="仿宋_GB2312" w:eastAsia="仿宋_GB2312" w:cs="仿宋_GB2312"/>
          <w:kern w:val="0"/>
          <w:sz w:val="32"/>
          <w:szCs w:val="32"/>
        </w:rPr>
        <w:t>；公务用车购置及运行费支出决算为</w:t>
      </w:r>
      <w:r>
        <w:rPr>
          <w:rFonts w:ascii="仿宋_GB2312" w:eastAsia="仿宋_GB2312" w:cs="仿宋_GB2312"/>
          <w:kern w:val="0"/>
          <w:sz w:val="32"/>
          <w:szCs w:val="32"/>
        </w:rPr>
        <w:t>4.19</w:t>
      </w:r>
      <w:r>
        <w:rPr>
          <w:rFonts w:hint="eastAsia" w:ascii="仿宋_GB2312" w:eastAsia="仿宋_GB2312" w:cs="仿宋_GB2312"/>
          <w:kern w:val="0"/>
          <w:sz w:val="32"/>
          <w:szCs w:val="32"/>
        </w:rPr>
        <w:t>万元，完成预算的</w:t>
      </w:r>
      <w:r>
        <w:rPr>
          <w:rFonts w:ascii="仿宋_GB2312" w:eastAsia="仿宋_GB2312" w:cs="仿宋_GB2312"/>
          <w:kern w:val="0"/>
          <w:sz w:val="32"/>
          <w:szCs w:val="32"/>
        </w:rPr>
        <w:t>52.38%</w:t>
      </w:r>
      <w:r>
        <w:rPr>
          <w:rFonts w:hint="eastAsia" w:ascii="仿宋_GB2312" w:eastAsia="仿宋_GB2312" w:cs="仿宋_GB2312"/>
          <w:kern w:val="0"/>
          <w:sz w:val="32"/>
          <w:szCs w:val="32"/>
        </w:rPr>
        <w:t>；公务接待费支出决算为</w:t>
      </w:r>
      <w:r>
        <w:rPr>
          <w:rFonts w:ascii="仿宋_GB2312" w:eastAsia="仿宋_GB2312" w:cs="仿宋_GB2312"/>
          <w:kern w:val="0"/>
          <w:sz w:val="32"/>
          <w:szCs w:val="32"/>
        </w:rPr>
        <w:t>0.15</w:t>
      </w:r>
      <w:r>
        <w:rPr>
          <w:rFonts w:hint="eastAsia" w:ascii="仿宋_GB2312" w:eastAsia="仿宋_GB2312" w:cs="仿宋_GB2312"/>
          <w:kern w:val="0"/>
          <w:sz w:val="32"/>
          <w:szCs w:val="32"/>
        </w:rPr>
        <w:t>万元，完成预算的</w:t>
      </w:r>
      <w:r>
        <w:rPr>
          <w:rFonts w:ascii="仿宋_GB2312" w:eastAsia="仿宋_GB2312" w:cs="仿宋_GB2312"/>
          <w:kern w:val="0"/>
          <w:sz w:val="32"/>
          <w:szCs w:val="32"/>
        </w:rPr>
        <w:t>100%</w:t>
      </w:r>
      <w:r>
        <w:rPr>
          <w:rFonts w:hint="eastAsia" w:ascii="仿宋_GB2312" w:eastAsia="仿宋_GB2312" w:cs="仿宋_GB2312"/>
          <w:kern w:val="0"/>
          <w:sz w:val="32"/>
          <w:szCs w:val="32"/>
        </w:rPr>
        <w:t>。</w:t>
      </w:r>
      <w:r>
        <w:rPr>
          <w:rFonts w:ascii="仿宋_GB2312" w:eastAsia="仿宋_GB2312" w:cs="仿宋_GB2312"/>
          <w:kern w:val="0"/>
          <w:sz w:val="32"/>
          <w:szCs w:val="32"/>
        </w:rPr>
        <w:t>2020</w:t>
      </w:r>
      <w:r>
        <w:rPr>
          <w:rFonts w:hint="eastAsia" w:ascii="仿宋_GB2312" w:eastAsia="仿宋_GB2312" w:cs="仿宋_GB2312"/>
          <w:kern w:val="0"/>
          <w:sz w:val="32"/>
          <w:szCs w:val="32"/>
        </w:rPr>
        <w:t>年度“三公”经费支出决算数小于预算数的主要原因是认真贯彻落实中央八项规定精神和厉行节约要求，进一步从严控制“三公”经费开支，全年实际支出比预算有所节约。</w:t>
      </w:r>
    </w:p>
    <w:p>
      <w:pPr>
        <w:autoSpaceDE w:val="0"/>
        <w:autoSpaceDN w:val="0"/>
        <w:adjustRightInd w:val="0"/>
        <w:spacing w:line="580" w:lineRule="exact"/>
        <w:ind w:firstLine="640" w:firstLineChars="200"/>
        <w:rPr>
          <w:rFonts w:ascii="仿宋_GB2312" w:eastAsia="仿宋_GB2312"/>
          <w:kern w:val="0"/>
          <w:sz w:val="32"/>
          <w:szCs w:val="32"/>
        </w:rPr>
      </w:pPr>
      <w:r>
        <w:rPr>
          <w:rFonts w:ascii="仿宋_GB2312" w:eastAsia="仿宋_GB2312" w:cs="仿宋_GB2312"/>
          <w:kern w:val="0"/>
          <w:sz w:val="32"/>
          <w:szCs w:val="32"/>
        </w:rPr>
        <w:t>2020</w:t>
      </w:r>
      <w:r>
        <w:rPr>
          <w:rFonts w:hint="eastAsia" w:ascii="仿宋_GB2312" w:eastAsia="仿宋_GB2312" w:cs="仿宋_GB2312"/>
          <w:kern w:val="0"/>
          <w:sz w:val="32"/>
          <w:szCs w:val="32"/>
        </w:rPr>
        <w:t>年度“三公”经费财政拨款支出决算数比</w:t>
      </w:r>
      <w:r>
        <w:rPr>
          <w:rFonts w:ascii="仿宋_GB2312" w:eastAsia="仿宋_GB2312" w:cs="仿宋_GB2312"/>
          <w:kern w:val="0"/>
          <w:sz w:val="32"/>
          <w:szCs w:val="32"/>
        </w:rPr>
        <w:t>2019</w:t>
      </w:r>
      <w:r>
        <w:rPr>
          <w:rFonts w:hint="eastAsia" w:ascii="仿宋_GB2312" w:eastAsia="仿宋_GB2312" w:cs="仿宋_GB2312"/>
          <w:kern w:val="0"/>
          <w:sz w:val="32"/>
          <w:szCs w:val="32"/>
        </w:rPr>
        <w:t>年减少</w:t>
      </w:r>
      <w:r>
        <w:rPr>
          <w:rFonts w:ascii="仿宋_GB2312" w:eastAsia="仿宋_GB2312" w:cs="仿宋_GB2312"/>
          <w:kern w:val="0"/>
          <w:sz w:val="32"/>
          <w:szCs w:val="32"/>
        </w:rPr>
        <w:t>4.65</w:t>
      </w:r>
      <w:r>
        <w:rPr>
          <w:rFonts w:hint="eastAsia" w:ascii="仿宋_GB2312" w:eastAsia="仿宋_GB2312" w:cs="仿宋_GB2312"/>
          <w:kern w:val="0"/>
          <w:sz w:val="32"/>
          <w:szCs w:val="32"/>
        </w:rPr>
        <w:t>万元，下降</w:t>
      </w:r>
      <w:r>
        <w:rPr>
          <w:rFonts w:ascii="仿宋_GB2312" w:eastAsia="仿宋_GB2312" w:cs="仿宋_GB2312"/>
          <w:kern w:val="0"/>
          <w:sz w:val="32"/>
          <w:szCs w:val="32"/>
        </w:rPr>
        <w:t>51.72%</w:t>
      </w:r>
      <w:r>
        <w:rPr>
          <w:rFonts w:hint="eastAsia" w:ascii="仿宋_GB2312" w:eastAsia="仿宋_GB2312" w:cs="仿宋_GB2312"/>
          <w:kern w:val="0"/>
          <w:sz w:val="32"/>
          <w:szCs w:val="32"/>
        </w:rPr>
        <w:t>，其中：因公出国（境）费支出决</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算减少</w:t>
      </w:r>
      <w:r>
        <w:rPr>
          <w:rFonts w:ascii="仿宋_GB2312" w:eastAsia="仿宋_GB2312" w:cs="仿宋_GB2312"/>
          <w:kern w:val="0"/>
          <w:sz w:val="32"/>
          <w:szCs w:val="32"/>
        </w:rPr>
        <w:t>0</w:t>
      </w:r>
      <w:r>
        <w:rPr>
          <w:rFonts w:hint="eastAsia" w:ascii="仿宋_GB2312" w:eastAsia="仿宋_GB2312" w:cs="仿宋_GB2312"/>
          <w:kern w:val="0"/>
          <w:sz w:val="32"/>
          <w:szCs w:val="32"/>
        </w:rPr>
        <w:t>万元，下降</w:t>
      </w:r>
      <w:r>
        <w:rPr>
          <w:rFonts w:ascii="仿宋_GB2312" w:eastAsia="仿宋_GB2312" w:cs="仿宋_GB2312"/>
          <w:kern w:val="0"/>
          <w:sz w:val="32"/>
          <w:szCs w:val="32"/>
        </w:rPr>
        <w:t>0%</w:t>
      </w:r>
      <w:r>
        <w:rPr>
          <w:rFonts w:hint="eastAsia" w:ascii="仿宋_GB2312" w:eastAsia="仿宋_GB2312" w:cs="仿宋_GB2312"/>
          <w:kern w:val="0"/>
          <w:sz w:val="32"/>
          <w:szCs w:val="32"/>
        </w:rPr>
        <w:t>；公务用车购置及运行费支出决算减少</w:t>
      </w:r>
      <w:r>
        <w:rPr>
          <w:rFonts w:ascii="仿宋_GB2312" w:eastAsia="仿宋_GB2312" w:cs="仿宋_GB2312"/>
          <w:kern w:val="0"/>
          <w:sz w:val="32"/>
          <w:szCs w:val="32"/>
        </w:rPr>
        <w:t>4.18</w:t>
      </w:r>
      <w:r>
        <w:rPr>
          <w:rFonts w:hint="eastAsia" w:ascii="仿宋_GB2312" w:eastAsia="仿宋_GB2312" w:cs="仿宋_GB2312"/>
          <w:kern w:val="0"/>
          <w:sz w:val="32"/>
          <w:szCs w:val="32"/>
        </w:rPr>
        <w:t>万元，下降</w:t>
      </w:r>
      <w:r>
        <w:rPr>
          <w:rFonts w:ascii="仿宋_GB2312" w:eastAsia="仿宋_GB2312" w:cs="仿宋_GB2312"/>
          <w:kern w:val="0"/>
          <w:sz w:val="32"/>
          <w:szCs w:val="32"/>
        </w:rPr>
        <w:t>49.94%</w:t>
      </w:r>
      <w:r>
        <w:rPr>
          <w:rFonts w:hint="eastAsia" w:ascii="仿宋_GB2312" w:eastAsia="仿宋_GB2312" w:cs="仿宋_GB2312"/>
          <w:kern w:val="0"/>
          <w:sz w:val="32"/>
          <w:szCs w:val="32"/>
        </w:rPr>
        <w:t>；公务接待费支出决算减少</w:t>
      </w:r>
      <w:r>
        <w:rPr>
          <w:rFonts w:ascii="仿宋_GB2312" w:eastAsia="仿宋_GB2312" w:cs="仿宋_GB2312"/>
          <w:kern w:val="0"/>
          <w:sz w:val="32"/>
          <w:szCs w:val="32"/>
        </w:rPr>
        <w:t>0.47</w:t>
      </w:r>
      <w:r>
        <w:rPr>
          <w:rFonts w:hint="eastAsia" w:ascii="仿宋_GB2312" w:eastAsia="仿宋_GB2312" w:cs="仿宋_GB2312"/>
          <w:kern w:val="0"/>
          <w:sz w:val="32"/>
          <w:szCs w:val="32"/>
        </w:rPr>
        <w:t>万元，下降</w:t>
      </w:r>
      <w:r>
        <w:rPr>
          <w:rFonts w:ascii="仿宋_GB2312" w:eastAsia="仿宋_GB2312" w:cs="仿宋_GB2312"/>
          <w:kern w:val="0"/>
          <w:sz w:val="32"/>
          <w:szCs w:val="32"/>
        </w:rPr>
        <w:t>75.81%</w:t>
      </w:r>
      <w:r>
        <w:rPr>
          <w:rFonts w:hint="eastAsia" w:ascii="仿宋_GB2312" w:eastAsia="仿宋_GB2312" w:cs="仿宋_GB2312"/>
          <w:kern w:val="0"/>
          <w:sz w:val="32"/>
          <w:szCs w:val="32"/>
        </w:rPr>
        <w:t>。</w:t>
      </w:r>
    </w:p>
    <w:p>
      <w:pPr>
        <w:autoSpaceDE w:val="0"/>
        <w:autoSpaceDN w:val="0"/>
        <w:adjustRightInd w:val="0"/>
        <w:spacing w:line="580" w:lineRule="exact"/>
        <w:rPr>
          <w:rFonts w:ascii="仿宋_GB2312" w:eastAsia="仿宋_GB2312"/>
          <w:kern w:val="0"/>
          <w:sz w:val="32"/>
          <w:szCs w:val="32"/>
        </w:rPr>
      </w:pPr>
      <w:r>
        <w:rPr>
          <w:rFonts w:ascii="仿宋_GB2312" w:eastAsia="仿宋_GB2312" w:cs="仿宋_GB2312"/>
          <w:kern w:val="0"/>
          <w:sz w:val="32"/>
          <w:szCs w:val="32"/>
        </w:rPr>
        <w:t xml:space="preserve">    </w:t>
      </w:r>
      <w:r>
        <w:rPr>
          <w:rFonts w:hint="eastAsia" w:ascii="仿宋_GB2312" w:eastAsia="仿宋_GB2312" w:cs="仿宋_GB2312"/>
          <w:kern w:val="0"/>
          <w:sz w:val="32"/>
          <w:szCs w:val="32"/>
        </w:rPr>
        <w:t>公务用车购置及运行费支出减少的主要原因是</w:t>
      </w:r>
      <w:r>
        <w:rPr>
          <w:rFonts w:ascii="仿宋_GB2312" w:eastAsia="仿宋_GB2312" w:cs="仿宋_GB2312"/>
          <w:kern w:val="0"/>
          <w:sz w:val="32"/>
          <w:szCs w:val="32"/>
        </w:rPr>
        <w:t>2020</w:t>
      </w:r>
      <w:r>
        <w:rPr>
          <w:rFonts w:hint="eastAsia" w:ascii="仿宋_GB2312" w:eastAsia="仿宋_GB2312" w:cs="仿宋_GB2312"/>
          <w:kern w:val="0"/>
          <w:sz w:val="32"/>
          <w:szCs w:val="32"/>
        </w:rPr>
        <w:t>年受新冠肺炎疫情影响，本单位公务接待工作量减少，公务用车减少；公务接待费支出减少的主要原因是认真贯彻落实中央八项规定精神和厉行节约要求，按照市委巡察组巡察反馈意见和市纪委监委驻市政府办纪检监察组指导意见，遵循无公函不接待原则，严格执行公务接待规范。</w:t>
      </w:r>
    </w:p>
    <w:p>
      <w:pPr>
        <w:autoSpaceDE w:val="0"/>
        <w:autoSpaceDN w:val="0"/>
        <w:adjustRightInd w:val="0"/>
        <w:spacing w:line="580" w:lineRule="exact"/>
        <w:rPr>
          <w:rFonts w:ascii="仿宋_GB2312" w:eastAsia="仿宋_GB2312"/>
          <w:kern w:val="0"/>
          <w:sz w:val="32"/>
          <w:szCs w:val="32"/>
        </w:rPr>
      </w:pPr>
      <w:r>
        <w:rPr>
          <w:rFonts w:ascii="仿宋_GB2312" w:eastAsia="仿宋_GB2312" w:cs="仿宋_GB2312"/>
          <w:kern w:val="0"/>
          <w:sz w:val="32"/>
          <w:szCs w:val="32"/>
        </w:rPr>
        <w:t xml:space="preserve">    </w:t>
      </w:r>
      <w:r>
        <w:rPr>
          <w:rFonts w:hint="eastAsia" w:ascii="仿宋_GB2312" w:eastAsia="仿宋_GB2312" w:cs="仿宋_GB2312"/>
          <w:kern w:val="0"/>
          <w:sz w:val="32"/>
          <w:szCs w:val="32"/>
        </w:rPr>
        <w:t>（二）“三公”经费财政拨款支出决算具体情况</w:t>
      </w:r>
    </w:p>
    <w:p>
      <w:pPr>
        <w:autoSpaceDE w:val="0"/>
        <w:autoSpaceDN w:val="0"/>
        <w:adjustRightInd w:val="0"/>
        <w:spacing w:line="580" w:lineRule="exact"/>
        <w:rPr>
          <w:rFonts w:ascii="仿宋_GB2312" w:eastAsia="仿宋_GB2312" w:cs="仿宋_GB2312"/>
          <w:kern w:val="0"/>
          <w:sz w:val="32"/>
          <w:szCs w:val="32"/>
        </w:rPr>
      </w:pPr>
      <w:r>
        <w:rPr>
          <w:rFonts w:ascii="仿宋_GB2312" w:eastAsia="仿宋_GB2312" w:cs="仿宋_GB2312"/>
          <w:kern w:val="0"/>
          <w:sz w:val="32"/>
          <w:szCs w:val="32"/>
        </w:rPr>
        <w:t xml:space="preserve">     2020</w:t>
      </w:r>
      <w:r>
        <w:rPr>
          <w:rFonts w:hint="eastAsia" w:ascii="仿宋_GB2312" w:eastAsia="仿宋_GB2312" w:cs="仿宋_GB2312"/>
          <w:kern w:val="0"/>
          <w:sz w:val="32"/>
          <w:szCs w:val="32"/>
        </w:rPr>
        <w:t>年度“三公”经费财政拨款支出决算中，因公出国（境）费支出决算</w:t>
      </w:r>
      <w:r>
        <w:rPr>
          <w:rFonts w:ascii="仿宋_GB2312" w:eastAsia="仿宋_GB2312" w:cs="仿宋_GB2312"/>
          <w:kern w:val="0"/>
          <w:sz w:val="32"/>
          <w:szCs w:val="32"/>
        </w:rPr>
        <w:t>0</w:t>
      </w:r>
      <w:r>
        <w:rPr>
          <w:rFonts w:hint="eastAsia" w:ascii="仿宋_GB2312" w:eastAsia="仿宋_GB2312" w:cs="仿宋_GB2312"/>
          <w:kern w:val="0"/>
          <w:sz w:val="32"/>
          <w:szCs w:val="32"/>
        </w:rPr>
        <w:t>万元，占</w:t>
      </w:r>
      <w:r>
        <w:rPr>
          <w:rFonts w:ascii="仿宋_GB2312" w:eastAsia="仿宋_GB2312" w:cs="仿宋_GB2312"/>
          <w:kern w:val="0"/>
          <w:sz w:val="32"/>
          <w:szCs w:val="32"/>
        </w:rPr>
        <w:t>0%</w:t>
      </w:r>
      <w:r>
        <w:rPr>
          <w:rFonts w:hint="eastAsia" w:ascii="仿宋_GB2312" w:eastAsia="仿宋_GB2312" w:cs="仿宋_GB2312"/>
          <w:kern w:val="0"/>
          <w:sz w:val="32"/>
          <w:szCs w:val="32"/>
        </w:rPr>
        <w:t>；公务用车购置及运行费支出决算</w:t>
      </w:r>
      <w:r>
        <w:rPr>
          <w:rFonts w:ascii="仿宋_GB2312" w:eastAsia="仿宋_GB2312" w:cs="仿宋_GB2312"/>
          <w:kern w:val="0"/>
          <w:sz w:val="32"/>
          <w:szCs w:val="32"/>
        </w:rPr>
        <w:t>4.19</w:t>
      </w:r>
      <w:r>
        <w:rPr>
          <w:rFonts w:hint="eastAsia" w:ascii="仿宋_GB2312" w:eastAsia="仿宋_GB2312" w:cs="仿宋_GB2312"/>
          <w:kern w:val="0"/>
          <w:sz w:val="32"/>
          <w:szCs w:val="32"/>
        </w:rPr>
        <w:t>万元，占</w:t>
      </w:r>
      <w:r>
        <w:rPr>
          <w:rFonts w:ascii="仿宋_GB2312" w:eastAsia="仿宋_GB2312" w:cs="仿宋_GB2312"/>
          <w:kern w:val="0"/>
          <w:sz w:val="32"/>
          <w:szCs w:val="32"/>
        </w:rPr>
        <w:t>96.54 %</w:t>
      </w:r>
      <w:r>
        <w:rPr>
          <w:rFonts w:hint="eastAsia" w:ascii="仿宋_GB2312" w:eastAsia="仿宋_GB2312" w:cs="仿宋_GB2312"/>
          <w:kern w:val="0"/>
          <w:sz w:val="32"/>
          <w:szCs w:val="32"/>
        </w:rPr>
        <w:t>；公务接待费支出决算</w:t>
      </w:r>
      <w:r>
        <w:rPr>
          <w:rFonts w:ascii="仿宋_GB2312" w:eastAsia="仿宋_GB2312" w:cs="仿宋_GB2312"/>
          <w:kern w:val="0"/>
          <w:sz w:val="32"/>
          <w:szCs w:val="32"/>
        </w:rPr>
        <w:t>0.15</w:t>
      </w:r>
      <w:r>
        <w:rPr>
          <w:rFonts w:hint="eastAsia" w:ascii="仿宋_GB2312" w:eastAsia="仿宋_GB2312" w:cs="仿宋_GB2312"/>
          <w:kern w:val="0"/>
          <w:sz w:val="32"/>
          <w:szCs w:val="32"/>
        </w:rPr>
        <w:t>万元，占</w:t>
      </w:r>
      <w:r>
        <w:rPr>
          <w:rFonts w:ascii="仿宋_GB2312" w:eastAsia="仿宋_GB2312" w:cs="仿宋_GB2312"/>
          <w:kern w:val="0"/>
          <w:sz w:val="32"/>
          <w:szCs w:val="32"/>
        </w:rPr>
        <w:t>3.46 %</w:t>
      </w:r>
      <w:r>
        <w:rPr>
          <w:rFonts w:hint="eastAsia" w:ascii="仿宋_GB2312" w:eastAsia="仿宋_GB2312" w:cs="仿宋_GB2312"/>
          <w:kern w:val="0"/>
          <w:sz w:val="32"/>
          <w:szCs w:val="32"/>
        </w:rPr>
        <w:t>。具体情况如下：</w:t>
      </w:r>
      <w:r>
        <w:rPr>
          <w:rFonts w:ascii="仿宋_GB2312" w:eastAsia="仿宋_GB2312" w:cs="仿宋_GB2312"/>
          <w:kern w:val="0"/>
          <w:sz w:val="32"/>
          <w:szCs w:val="32"/>
        </w:rPr>
        <w:t xml:space="preserve">  </w:t>
      </w:r>
    </w:p>
    <w:p>
      <w:pPr>
        <w:autoSpaceDE w:val="0"/>
        <w:autoSpaceDN w:val="0"/>
        <w:adjustRightInd w:val="0"/>
        <w:spacing w:line="580" w:lineRule="exact"/>
        <w:rPr>
          <w:rFonts w:ascii="仿宋_GB2312" w:eastAsia="仿宋_GB2312"/>
          <w:kern w:val="0"/>
          <w:sz w:val="32"/>
          <w:szCs w:val="32"/>
        </w:rPr>
      </w:pPr>
      <w:r>
        <w:rPr>
          <w:rFonts w:ascii="仿宋_GB2312" w:eastAsia="仿宋_GB2312" w:cs="仿宋_GB2312"/>
          <w:kern w:val="0"/>
          <w:sz w:val="32"/>
          <w:szCs w:val="32"/>
        </w:rPr>
        <w:t xml:space="preserve">    1.</w:t>
      </w:r>
      <w:r>
        <w:rPr>
          <w:rFonts w:hint="eastAsia" w:ascii="仿宋_GB2312" w:eastAsia="仿宋_GB2312" w:cs="仿宋_GB2312"/>
          <w:kern w:val="0"/>
          <w:sz w:val="32"/>
          <w:szCs w:val="32"/>
        </w:rPr>
        <w:t>因公出国（境）费支出</w:t>
      </w:r>
      <w:r>
        <w:rPr>
          <w:rFonts w:ascii="仿宋_GB2312" w:eastAsia="仿宋_GB2312" w:cs="仿宋_GB2312"/>
          <w:kern w:val="0"/>
          <w:sz w:val="32"/>
          <w:szCs w:val="32"/>
        </w:rPr>
        <w:t>0</w:t>
      </w:r>
      <w:r>
        <w:rPr>
          <w:rFonts w:hint="eastAsia" w:ascii="仿宋_GB2312" w:eastAsia="仿宋_GB2312" w:cs="仿宋_GB2312"/>
          <w:kern w:val="0"/>
          <w:sz w:val="32"/>
          <w:szCs w:val="32"/>
        </w:rPr>
        <w:t>万元</w:t>
      </w:r>
    </w:p>
    <w:p>
      <w:pPr>
        <w:autoSpaceDE w:val="0"/>
        <w:autoSpaceDN w:val="0"/>
        <w:adjustRightInd w:val="0"/>
        <w:spacing w:line="580" w:lineRule="exact"/>
        <w:rPr>
          <w:rFonts w:ascii="仿宋_GB2312" w:eastAsia="仿宋_GB2312"/>
          <w:kern w:val="0"/>
          <w:sz w:val="32"/>
          <w:szCs w:val="32"/>
        </w:rPr>
      </w:pPr>
      <w:r>
        <w:rPr>
          <w:rFonts w:ascii="仿宋_GB2312" w:eastAsia="仿宋_GB2312" w:cs="仿宋_GB2312"/>
          <w:kern w:val="0"/>
          <w:sz w:val="32"/>
          <w:szCs w:val="32"/>
        </w:rPr>
        <w:t xml:space="preserve">    2.</w:t>
      </w:r>
      <w:r>
        <w:rPr>
          <w:rFonts w:hint="eastAsia" w:ascii="仿宋_GB2312" w:eastAsia="仿宋_GB2312" w:cs="仿宋_GB2312"/>
          <w:kern w:val="0"/>
          <w:sz w:val="32"/>
          <w:szCs w:val="32"/>
        </w:rPr>
        <w:t>公务用车购置及运行费支出</w:t>
      </w:r>
      <w:r>
        <w:rPr>
          <w:rFonts w:ascii="仿宋_GB2312" w:eastAsia="仿宋_GB2312" w:cs="仿宋_GB2312"/>
          <w:kern w:val="0"/>
          <w:sz w:val="32"/>
          <w:szCs w:val="32"/>
        </w:rPr>
        <w:t>4.19</w:t>
      </w:r>
      <w:r>
        <w:rPr>
          <w:rFonts w:hint="eastAsia" w:ascii="仿宋_GB2312" w:eastAsia="仿宋_GB2312" w:cs="仿宋_GB2312"/>
          <w:kern w:val="0"/>
          <w:sz w:val="32"/>
          <w:szCs w:val="32"/>
        </w:rPr>
        <w:t>万元。其中：</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公务用车购置支出为</w:t>
      </w:r>
      <w:r>
        <w:rPr>
          <w:rFonts w:ascii="仿宋_GB2312" w:eastAsia="仿宋_GB2312" w:cs="仿宋_GB2312"/>
          <w:kern w:val="0"/>
          <w:sz w:val="32"/>
          <w:szCs w:val="32"/>
        </w:rPr>
        <w:t>0</w:t>
      </w:r>
      <w:r>
        <w:rPr>
          <w:rFonts w:hint="eastAsia" w:ascii="仿宋_GB2312" w:eastAsia="仿宋_GB2312" w:cs="仿宋_GB2312"/>
          <w:kern w:val="0"/>
          <w:sz w:val="32"/>
          <w:szCs w:val="32"/>
        </w:rPr>
        <w:t>万元。公务用车运行支出</w:t>
      </w:r>
      <w:r>
        <w:rPr>
          <w:rFonts w:ascii="仿宋_GB2312" w:eastAsia="仿宋_GB2312" w:cs="仿宋_GB2312"/>
          <w:kern w:val="0"/>
          <w:sz w:val="32"/>
          <w:szCs w:val="32"/>
        </w:rPr>
        <w:t>4.19</w:t>
      </w:r>
      <w:r>
        <w:rPr>
          <w:rFonts w:hint="eastAsia" w:ascii="仿宋_GB2312" w:eastAsia="仿宋_GB2312" w:cs="仿宋_GB2312"/>
          <w:kern w:val="0"/>
          <w:sz w:val="32"/>
          <w:szCs w:val="32"/>
        </w:rPr>
        <w:t>万元。主要用于单位应急保障用车的汽油、维修保养、路桥停车费等。</w:t>
      </w:r>
      <w:r>
        <w:rPr>
          <w:rFonts w:ascii="仿宋_GB2312" w:eastAsia="仿宋_GB2312" w:cs="仿宋_GB2312"/>
          <w:kern w:val="0"/>
          <w:sz w:val="32"/>
          <w:szCs w:val="32"/>
        </w:rPr>
        <w:t>2020</w:t>
      </w:r>
      <w:r>
        <w:rPr>
          <w:rFonts w:hint="eastAsia" w:ascii="仿宋_GB2312" w:eastAsia="仿宋_GB2312" w:cs="仿宋_GB2312"/>
          <w:kern w:val="0"/>
          <w:sz w:val="32"/>
          <w:szCs w:val="32"/>
        </w:rPr>
        <w:t>年，机关所属单位开支财政拨款的公务用车保有量为</w:t>
      </w:r>
      <w:r>
        <w:rPr>
          <w:rFonts w:ascii="仿宋_GB2312" w:eastAsia="仿宋_GB2312" w:cs="仿宋_GB2312"/>
          <w:kern w:val="0"/>
          <w:sz w:val="32"/>
          <w:szCs w:val="32"/>
        </w:rPr>
        <w:t>2</w:t>
      </w:r>
      <w:r>
        <w:rPr>
          <w:rFonts w:hint="eastAsia" w:ascii="仿宋_GB2312" w:eastAsia="仿宋_GB2312" w:cs="仿宋_GB2312"/>
          <w:kern w:val="0"/>
          <w:sz w:val="32"/>
          <w:szCs w:val="32"/>
        </w:rPr>
        <w:t>辆。</w:t>
      </w:r>
    </w:p>
    <w:p>
      <w:pPr>
        <w:autoSpaceDE w:val="0"/>
        <w:autoSpaceDN w:val="0"/>
        <w:adjustRightInd w:val="0"/>
        <w:spacing w:line="580" w:lineRule="exact"/>
        <w:rPr>
          <w:rFonts w:ascii="仿宋_GB2312" w:eastAsia="仿宋_GB2312"/>
          <w:kern w:val="0"/>
          <w:sz w:val="32"/>
          <w:szCs w:val="32"/>
        </w:rPr>
      </w:pPr>
      <w:r>
        <w:rPr>
          <w:rFonts w:ascii="仿宋_GB2312" w:eastAsia="仿宋_GB2312" w:cs="仿宋_GB2312"/>
          <w:kern w:val="0"/>
          <w:sz w:val="32"/>
          <w:szCs w:val="32"/>
        </w:rPr>
        <w:t xml:space="preserve">    3.</w:t>
      </w:r>
      <w:r>
        <w:rPr>
          <w:rFonts w:hint="eastAsia" w:ascii="仿宋_GB2312" w:eastAsia="仿宋_GB2312" w:cs="仿宋_GB2312"/>
          <w:kern w:val="0"/>
          <w:sz w:val="32"/>
          <w:szCs w:val="32"/>
        </w:rPr>
        <w:t>公务接待费支出</w:t>
      </w:r>
      <w:r>
        <w:rPr>
          <w:rFonts w:ascii="仿宋_GB2312" w:eastAsia="仿宋_GB2312" w:cs="仿宋_GB2312"/>
          <w:kern w:val="0"/>
          <w:sz w:val="32"/>
          <w:szCs w:val="32"/>
        </w:rPr>
        <w:t>0.15</w:t>
      </w:r>
      <w:r>
        <w:rPr>
          <w:rFonts w:hint="eastAsia" w:ascii="仿宋_GB2312" w:eastAsia="仿宋_GB2312" w:cs="仿宋_GB2312"/>
          <w:kern w:val="0"/>
          <w:sz w:val="32"/>
          <w:szCs w:val="32"/>
        </w:rPr>
        <w:t>万元。其中：</w:t>
      </w:r>
    </w:p>
    <w:p>
      <w:pPr>
        <w:autoSpaceDE w:val="0"/>
        <w:autoSpaceDN w:val="0"/>
        <w:adjustRightInd w:val="0"/>
        <w:spacing w:line="580" w:lineRule="exact"/>
        <w:ind w:firstLine="640" w:firstLineChars="200"/>
        <w:rPr>
          <w:rFonts w:ascii="仿宋_GB2312" w:eastAsia="仿宋_GB2312"/>
          <w:kern w:val="0"/>
          <w:sz w:val="32"/>
          <w:szCs w:val="32"/>
        </w:rPr>
      </w:pPr>
      <w:r>
        <w:rPr>
          <w:rFonts w:hint="eastAsia" w:ascii="仿宋_GB2312" w:eastAsia="仿宋_GB2312" w:cs="仿宋_GB2312"/>
          <w:kern w:val="0"/>
          <w:sz w:val="32"/>
          <w:szCs w:val="32"/>
        </w:rPr>
        <w:t>国内公务接待支出</w:t>
      </w:r>
      <w:r>
        <w:rPr>
          <w:rFonts w:ascii="仿宋_GB2312" w:eastAsia="仿宋_GB2312" w:cs="仿宋_GB2312"/>
          <w:kern w:val="0"/>
          <w:sz w:val="32"/>
          <w:szCs w:val="32"/>
        </w:rPr>
        <w:t>0.15</w:t>
      </w:r>
      <w:r>
        <w:rPr>
          <w:rFonts w:hint="eastAsia" w:ascii="仿宋_GB2312" w:eastAsia="仿宋_GB2312" w:cs="仿宋_GB2312"/>
          <w:kern w:val="0"/>
          <w:sz w:val="32"/>
          <w:szCs w:val="32"/>
        </w:rPr>
        <w:t>万元。主要用于接待柳州市各部局来粤公务活动等。</w:t>
      </w:r>
      <w:r>
        <w:rPr>
          <w:rFonts w:ascii="仿宋_GB2312" w:eastAsia="仿宋_GB2312" w:cs="仿宋_GB2312"/>
          <w:kern w:val="0"/>
          <w:sz w:val="32"/>
          <w:szCs w:val="32"/>
        </w:rPr>
        <w:t xml:space="preserve">2020 </w:t>
      </w:r>
      <w:r>
        <w:rPr>
          <w:rFonts w:hint="eastAsia" w:ascii="仿宋_GB2312" w:eastAsia="仿宋_GB2312" w:cs="仿宋_GB2312"/>
          <w:kern w:val="0"/>
          <w:sz w:val="32"/>
          <w:szCs w:val="32"/>
        </w:rPr>
        <w:t>年共接待国内来访团组</w:t>
      </w:r>
      <w:r>
        <w:rPr>
          <w:rFonts w:ascii="仿宋_GB2312" w:eastAsia="仿宋_GB2312" w:cs="仿宋_GB2312"/>
          <w:kern w:val="0"/>
          <w:sz w:val="32"/>
          <w:szCs w:val="32"/>
        </w:rPr>
        <w:t>27</w:t>
      </w:r>
      <w:r>
        <w:rPr>
          <w:rFonts w:hint="eastAsia" w:ascii="仿宋_GB2312" w:eastAsia="仿宋_GB2312" w:cs="仿宋_GB2312"/>
          <w:kern w:val="0"/>
          <w:sz w:val="32"/>
          <w:szCs w:val="32"/>
        </w:rPr>
        <w:t>个、来宾</w:t>
      </w:r>
      <w:r>
        <w:rPr>
          <w:rFonts w:ascii="仿宋_GB2312" w:eastAsia="仿宋_GB2312" w:cs="仿宋_GB2312"/>
          <w:kern w:val="0"/>
          <w:sz w:val="32"/>
          <w:szCs w:val="32"/>
        </w:rPr>
        <w:t>209</w:t>
      </w:r>
      <w:r>
        <w:rPr>
          <w:rFonts w:hint="eastAsia" w:ascii="仿宋_GB2312" w:eastAsia="仿宋_GB2312" w:cs="仿宋_GB2312"/>
          <w:kern w:val="0"/>
          <w:sz w:val="32"/>
          <w:szCs w:val="32"/>
        </w:rPr>
        <w:t>人次。</w:t>
      </w:r>
    </w:p>
    <w:p>
      <w:pPr>
        <w:autoSpaceDE w:val="0"/>
        <w:autoSpaceDN w:val="0"/>
        <w:adjustRightInd w:val="0"/>
        <w:spacing w:line="580" w:lineRule="exact"/>
        <w:rPr>
          <w:rFonts w:ascii="仿宋_GB2312" w:eastAsia="仿宋_GB2312"/>
          <w:kern w:val="0"/>
          <w:sz w:val="32"/>
          <w:szCs w:val="32"/>
        </w:rPr>
      </w:pPr>
      <w:r>
        <w:rPr>
          <w:rFonts w:ascii="仿宋_GB2312" w:eastAsia="仿宋_GB2312" w:cs="仿宋_GB2312"/>
          <w:kern w:val="0"/>
          <w:sz w:val="32"/>
          <w:szCs w:val="32"/>
        </w:rPr>
        <w:t xml:space="preserve">   </w:t>
      </w:r>
      <w:r>
        <w:rPr>
          <w:rFonts w:hint="eastAsia" w:ascii="仿宋_GB2312" w:eastAsia="仿宋_GB2312" w:cs="仿宋_GB2312"/>
          <w:kern w:val="0"/>
          <w:sz w:val="32"/>
          <w:szCs w:val="32"/>
        </w:rPr>
        <w:t>八、</w:t>
      </w:r>
      <w:r>
        <w:rPr>
          <w:rFonts w:ascii="仿宋_GB2312" w:eastAsia="仿宋_GB2312" w:cs="仿宋_GB2312"/>
          <w:kern w:val="0"/>
          <w:sz w:val="32"/>
          <w:szCs w:val="32"/>
        </w:rPr>
        <w:t xml:space="preserve">2020 </w:t>
      </w:r>
      <w:r>
        <w:rPr>
          <w:rFonts w:hint="eastAsia" w:ascii="仿宋_GB2312" w:eastAsia="仿宋_GB2312" w:cs="仿宋_GB2312"/>
          <w:kern w:val="0"/>
          <w:sz w:val="32"/>
          <w:szCs w:val="32"/>
        </w:rPr>
        <w:t>年度政府性基金预算财政拨款收入支出决算情况说明</w:t>
      </w:r>
      <w:r>
        <w:rPr>
          <w:rFonts w:ascii="仿宋_GB2312" w:eastAsia="仿宋_GB2312" w:cs="仿宋_GB2312"/>
          <w:kern w:val="0"/>
          <w:sz w:val="32"/>
          <w:szCs w:val="32"/>
        </w:rPr>
        <w:t xml:space="preserve"> </w:t>
      </w:r>
    </w:p>
    <w:p>
      <w:pPr>
        <w:autoSpaceDE w:val="0"/>
        <w:autoSpaceDN w:val="0"/>
        <w:adjustRightInd w:val="0"/>
        <w:spacing w:line="580" w:lineRule="exact"/>
        <w:rPr>
          <w:rFonts w:ascii="仿宋_GB2312" w:eastAsia="仿宋_GB2312"/>
          <w:kern w:val="0"/>
          <w:sz w:val="32"/>
          <w:szCs w:val="32"/>
        </w:rPr>
      </w:pPr>
      <w:r>
        <w:rPr>
          <w:rFonts w:ascii="仿宋_GB2312" w:eastAsia="仿宋_GB2312" w:cs="仿宋_GB2312"/>
          <w:kern w:val="0"/>
          <w:sz w:val="32"/>
          <w:szCs w:val="32"/>
        </w:rPr>
        <w:t xml:space="preserve">    2020</w:t>
      </w:r>
      <w:r>
        <w:rPr>
          <w:rFonts w:hint="eastAsia" w:ascii="仿宋_GB2312" w:eastAsia="仿宋_GB2312" w:cs="仿宋_GB2312"/>
          <w:kern w:val="0"/>
          <w:sz w:val="32"/>
          <w:szCs w:val="32"/>
        </w:rPr>
        <w:t>年度政府性基金预算财政拨款本年支出</w:t>
      </w:r>
      <w:r>
        <w:rPr>
          <w:rFonts w:ascii="仿宋_GB2312" w:eastAsia="仿宋_GB2312" w:cs="仿宋_GB2312"/>
          <w:kern w:val="0"/>
          <w:sz w:val="32"/>
          <w:szCs w:val="32"/>
        </w:rPr>
        <w:t xml:space="preserve">0 </w:t>
      </w:r>
      <w:r>
        <w:rPr>
          <w:rFonts w:hint="eastAsia" w:ascii="仿宋_GB2312" w:eastAsia="仿宋_GB2312" w:cs="仿宋_GB2312"/>
          <w:kern w:val="0"/>
          <w:sz w:val="32"/>
          <w:szCs w:val="32"/>
        </w:rPr>
        <w:t>万元。</w:t>
      </w:r>
      <w:r>
        <w:rPr>
          <w:rFonts w:ascii="仿宋_GB2312" w:eastAsia="仿宋_GB2312" w:cs="仿宋_GB2312"/>
          <w:kern w:val="0"/>
          <w:sz w:val="32"/>
          <w:szCs w:val="32"/>
        </w:rPr>
        <w:t xml:space="preserve"> </w:t>
      </w:r>
    </w:p>
    <w:p>
      <w:pPr>
        <w:numPr>
          <w:ilvl w:val="0"/>
          <w:numId w:val="1"/>
        </w:numPr>
        <w:autoSpaceDE w:val="0"/>
        <w:autoSpaceDN w:val="0"/>
        <w:adjustRightInd w:val="0"/>
        <w:spacing w:line="580" w:lineRule="exact"/>
        <w:ind w:firstLine="640" w:firstLineChars="200"/>
        <w:rPr>
          <w:rFonts w:ascii="仿宋_GB2312" w:eastAsia="仿宋_GB2312"/>
          <w:kern w:val="0"/>
          <w:sz w:val="32"/>
          <w:szCs w:val="32"/>
        </w:rPr>
      </w:pPr>
      <w:r>
        <w:rPr>
          <w:rFonts w:hint="eastAsia" w:ascii="仿宋_GB2312" w:eastAsia="仿宋_GB2312" w:cs="仿宋_GB2312"/>
          <w:kern w:val="0"/>
          <w:sz w:val="32"/>
          <w:szCs w:val="32"/>
        </w:rPr>
        <w:t>国有资本经营预算财政拨款支出情况说明</w:t>
      </w:r>
    </w:p>
    <w:p>
      <w:pPr>
        <w:autoSpaceDE w:val="0"/>
        <w:autoSpaceDN w:val="0"/>
        <w:adjustRightInd w:val="0"/>
        <w:spacing w:line="580" w:lineRule="exact"/>
        <w:ind w:firstLine="640" w:firstLineChars="200"/>
        <w:rPr>
          <w:rFonts w:ascii="仿宋_GB2312" w:eastAsia="仿宋_GB2312"/>
          <w:kern w:val="0"/>
          <w:sz w:val="32"/>
          <w:szCs w:val="32"/>
        </w:rPr>
      </w:pPr>
      <w:r>
        <w:rPr>
          <w:rFonts w:ascii="仿宋_GB2312" w:eastAsia="仿宋_GB2312" w:cs="仿宋_GB2312"/>
          <w:kern w:val="0"/>
          <w:sz w:val="32"/>
          <w:szCs w:val="32"/>
        </w:rPr>
        <w:t>2020</w:t>
      </w:r>
      <w:r>
        <w:rPr>
          <w:rFonts w:hint="eastAsia" w:ascii="仿宋_GB2312" w:eastAsia="仿宋_GB2312" w:cs="仿宋_GB2312"/>
          <w:kern w:val="0"/>
          <w:sz w:val="32"/>
          <w:szCs w:val="32"/>
        </w:rPr>
        <w:t>年度国有资本经营预算财政拨款本年支出</w:t>
      </w:r>
      <w:r>
        <w:rPr>
          <w:rFonts w:ascii="仿宋_GB2312" w:eastAsia="仿宋_GB2312" w:cs="仿宋_GB2312"/>
          <w:kern w:val="0"/>
          <w:sz w:val="32"/>
          <w:szCs w:val="32"/>
        </w:rPr>
        <w:t xml:space="preserve">0 </w:t>
      </w:r>
      <w:r>
        <w:rPr>
          <w:rFonts w:hint="eastAsia" w:ascii="仿宋_GB2312" w:eastAsia="仿宋_GB2312" w:cs="仿宋_GB2312"/>
          <w:kern w:val="0"/>
          <w:sz w:val="32"/>
          <w:szCs w:val="32"/>
        </w:rPr>
        <w:t>万元。</w:t>
      </w:r>
    </w:p>
    <w:p>
      <w:pPr>
        <w:autoSpaceDE w:val="0"/>
        <w:autoSpaceDN w:val="0"/>
        <w:adjustRightInd w:val="0"/>
        <w:spacing w:line="580" w:lineRule="exact"/>
        <w:ind w:firstLine="643" w:firstLineChars="200"/>
        <w:rPr>
          <w:rFonts w:ascii="仿宋_GB2312" w:eastAsia="仿宋_GB2312"/>
          <w:b/>
          <w:bCs/>
          <w:kern w:val="0"/>
          <w:sz w:val="32"/>
          <w:szCs w:val="32"/>
        </w:rPr>
      </w:pPr>
      <w:r>
        <w:rPr>
          <w:rFonts w:hint="eastAsia" w:eastAsia="仿宋_GB2312" w:cs="仿宋_GB2312"/>
          <w:b/>
          <w:bCs/>
          <w:kern w:val="0"/>
          <w:sz w:val="32"/>
          <w:szCs w:val="32"/>
        </w:rPr>
        <w:t>十、</w:t>
      </w:r>
      <w:r>
        <w:rPr>
          <w:rFonts w:eastAsia="仿宋_GB2312"/>
          <w:b/>
          <w:bCs/>
          <w:kern w:val="0"/>
          <w:sz w:val="32"/>
          <w:szCs w:val="32"/>
        </w:rPr>
        <w:t>2020</w:t>
      </w:r>
      <w:r>
        <w:rPr>
          <w:rFonts w:ascii="仿宋_GB2312" w:eastAsia="仿宋_GB2312" w:cs="仿宋_GB2312"/>
          <w:b/>
          <w:bCs/>
          <w:kern w:val="0"/>
          <w:sz w:val="32"/>
          <w:szCs w:val="32"/>
        </w:rPr>
        <w:t xml:space="preserve"> </w:t>
      </w:r>
      <w:r>
        <w:rPr>
          <w:rFonts w:hint="eastAsia" w:ascii="仿宋_GB2312" w:eastAsia="仿宋_GB2312" w:cs="仿宋_GB2312"/>
          <w:b/>
          <w:bCs/>
          <w:kern w:val="0"/>
          <w:sz w:val="32"/>
          <w:szCs w:val="32"/>
        </w:rPr>
        <w:t>年度预算绩效情况说明</w:t>
      </w:r>
    </w:p>
    <w:p>
      <w:pPr>
        <w:numPr>
          <w:ilvl w:val="0"/>
          <w:numId w:val="2"/>
        </w:numPr>
        <w:autoSpaceDE w:val="0"/>
        <w:autoSpaceDN w:val="0"/>
        <w:adjustRightInd w:val="0"/>
        <w:spacing w:line="580" w:lineRule="exact"/>
        <w:ind w:firstLine="640" w:firstLineChars="200"/>
        <w:rPr>
          <w:rFonts w:ascii="仿宋_GB2312" w:eastAsia="仿宋_GB2312"/>
          <w:kern w:val="0"/>
          <w:sz w:val="32"/>
          <w:szCs w:val="32"/>
        </w:rPr>
      </w:pPr>
      <w:r>
        <w:rPr>
          <w:rFonts w:hint="eastAsia" w:ascii="仿宋_GB2312" w:eastAsia="仿宋_GB2312" w:cs="仿宋_GB2312"/>
          <w:kern w:val="0"/>
          <w:sz w:val="32"/>
          <w:szCs w:val="32"/>
        </w:rPr>
        <w:t>绩效管理工作开展情况</w:t>
      </w:r>
    </w:p>
    <w:p>
      <w:pPr>
        <w:autoSpaceDE w:val="0"/>
        <w:autoSpaceDN w:val="0"/>
        <w:adjustRightInd w:val="0"/>
        <w:spacing w:line="580" w:lineRule="exact"/>
        <w:rPr>
          <w:rFonts w:ascii="仿宋_GB2312" w:eastAsia="仿宋_GB2312" w:cs="仿宋_GB2312"/>
          <w:kern w:val="0"/>
          <w:sz w:val="32"/>
          <w:szCs w:val="32"/>
        </w:rPr>
      </w:pPr>
      <w:r>
        <w:rPr>
          <w:rFonts w:ascii="仿宋_GB2312" w:eastAsia="仿宋_GB2312" w:cs="仿宋_GB2312"/>
          <w:kern w:val="0"/>
          <w:sz w:val="32"/>
          <w:szCs w:val="32"/>
        </w:rPr>
        <w:t xml:space="preserve">    </w:t>
      </w:r>
      <w:r>
        <w:rPr>
          <w:rFonts w:hint="eastAsia" w:ascii="仿宋_GB2312" w:eastAsia="仿宋_GB2312" w:cs="仿宋_GB2312"/>
          <w:kern w:val="0"/>
          <w:sz w:val="32"/>
          <w:szCs w:val="32"/>
        </w:rPr>
        <w:t>根据财政预算管理要求，我单位组织对</w:t>
      </w:r>
      <w:r>
        <w:rPr>
          <w:rFonts w:ascii="仿宋_GB2312" w:eastAsia="仿宋_GB2312" w:cs="仿宋_GB2312"/>
          <w:kern w:val="0"/>
          <w:sz w:val="32"/>
          <w:szCs w:val="32"/>
        </w:rPr>
        <w:t>2020</w:t>
      </w:r>
      <w:r>
        <w:rPr>
          <w:rFonts w:hint="eastAsia" w:ascii="仿宋_GB2312" w:eastAsia="仿宋_GB2312" w:cs="仿宋_GB2312"/>
          <w:kern w:val="0"/>
          <w:sz w:val="32"/>
          <w:szCs w:val="32"/>
        </w:rPr>
        <w:t>年度一般公共预算项目支出全面开展绩效自评。其中，一级项目</w:t>
      </w:r>
      <w:r>
        <w:rPr>
          <w:rFonts w:ascii="仿宋_GB2312" w:eastAsia="仿宋_GB2312" w:cs="仿宋_GB2312"/>
          <w:kern w:val="0"/>
          <w:sz w:val="32"/>
          <w:szCs w:val="32"/>
        </w:rPr>
        <w:t>2</w:t>
      </w:r>
      <w:r>
        <w:rPr>
          <w:rFonts w:hint="eastAsia" w:ascii="仿宋_GB2312" w:eastAsia="仿宋_GB2312" w:cs="仿宋_GB2312"/>
          <w:kern w:val="0"/>
          <w:sz w:val="32"/>
          <w:szCs w:val="32"/>
        </w:rPr>
        <w:t>个，二</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级项目</w:t>
      </w:r>
      <w:r>
        <w:rPr>
          <w:rFonts w:ascii="仿宋_GB2312" w:eastAsia="仿宋_GB2312" w:cs="仿宋_GB2312"/>
          <w:kern w:val="0"/>
          <w:sz w:val="32"/>
          <w:szCs w:val="32"/>
        </w:rPr>
        <w:t>9</w:t>
      </w:r>
      <w:r>
        <w:rPr>
          <w:rFonts w:hint="eastAsia" w:ascii="仿宋_GB2312" w:eastAsia="仿宋_GB2312" w:cs="仿宋_GB2312"/>
          <w:kern w:val="0"/>
          <w:sz w:val="32"/>
          <w:szCs w:val="32"/>
        </w:rPr>
        <w:t>个，共涉及预算资金</w:t>
      </w:r>
      <w:r>
        <w:rPr>
          <w:rFonts w:ascii="仿宋_GB2312" w:eastAsia="仿宋_GB2312" w:cs="仿宋_GB2312"/>
          <w:kern w:val="0"/>
          <w:sz w:val="32"/>
          <w:szCs w:val="32"/>
        </w:rPr>
        <w:t>126.49</w:t>
      </w:r>
      <w:r>
        <w:rPr>
          <w:rFonts w:hint="eastAsia" w:ascii="仿宋_GB2312" w:eastAsia="仿宋_GB2312" w:cs="仿宋_GB2312"/>
          <w:kern w:val="0"/>
          <w:sz w:val="32"/>
          <w:szCs w:val="32"/>
        </w:rPr>
        <w:t>万元，自评覆盖率达到</w:t>
      </w:r>
      <w:r>
        <w:rPr>
          <w:rFonts w:ascii="仿宋_GB2312" w:eastAsia="仿宋_GB2312" w:cs="仿宋_GB2312"/>
          <w:kern w:val="0"/>
          <w:sz w:val="32"/>
          <w:szCs w:val="32"/>
        </w:rPr>
        <w:t xml:space="preserve"> 100% </w:t>
      </w:r>
    </w:p>
    <w:p>
      <w:pPr>
        <w:autoSpaceDE w:val="0"/>
        <w:autoSpaceDN w:val="0"/>
        <w:adjustRightInd w:val="0"/>
        <w:spacing w:line="580" w:lineRule="exact"/>
        <w:ind w:firstLine="640" w:firstLineChars="200"/>
        <w:rPr>
          <w:rFonts w:ascii="仿宋_GB2312" w:eastAsia="仿宋_GB2312"/>
          <w:kern w:val="0"/>
          <w:sz w:val="32"/>
          <w:szCs w:val="32"/>
        </w:rPr>
      </w:pPr>
      <w:r>
        <w:rPr>
          <w:rFonts w:hint="eastAsia" w:ascii="仿宋_GB2312" w:eastAsia="仿宋_GB2312" w:cs="仿宋_GB2312"/>
          <w:kern w:val="0"/>
          <w:sz w:val="32"/>
          <w:szCs w:val="32"/>
        </w:rPr>
        <w:t>（二）单位决算中项目绩效自评结果。我单位根据年初设定的绩效目标，产出指标项目自评得分为</w:t>
      </w:r>
      <w:r>
        <w:rPr>
          <w:rFonts w:ascii="仿宋_GB2312" w:eastAsia="仿宋_GB2312" w:cs="仿宋_GB2312"/>
          <w:kern w:val="0"/>
          <w:sz w:val="32"/>
          <w:szCs w:val="32"/>
        </w:rPr>
        <w:t>47</w:t>
      </w:r>
      <w:r>
        <w:rPr>
          <w:rFonts w:hint="eastAsia" w:ascii="仿宋_GB2312" w:eastAsia="仿宋_GB2312" w:cs="仿宋_GB2312"/>
          <w:kern w:val="0"/>
          <w:sz w:val="32"/>
          <w:szCs w:val="32"/>
        </w:rPr>
        <w:t>分。发现的主要问题及原因：一是收新冠肺炎疫情原因影响，致使</w:t>
      </w:r>
      <w:r>
        <w:rPr>
          <w:rFonts w:hint="eastAsia" w:ascii="仿宋_GB2312" w:hAnsi="宋体" w:eastAsia="仿宋_GB2312" w:cs="仿宋_GB2312"/>
          <w:kern w:val="0"/>
          <w:sz w:val="32"/>
          <w:szCs w:val="32"/>
        </w:rPr>
        <w:t>来</w:t>
      </w:r>
      <w:r>
        <w:rPr>
          <w:rFonts w:hint="eastAsia" w:ascii="仿宋_GB2312" w:hAnsi="仿宋_GB2312" w:eastAsia="仿宋_GB2312" w:cs="仿宋_GB2312"/>
          <w:kern w:val="0"/>
          <w:sz w:val="32"/>
          <w:szCs w:val="32"/>
        </w:rPr>
        <w:t>穗人员减少，未能完成预算指标。</w:t>
      </w:r>
      <w:r>
        <w:rPr>
          <w:rFonts w:hint="eastAsia" w:ascii="仿宋_GB2312" w:eastAsia="仿宋_GB2312" w:cs="仿宋_GB2312"/>
          <w:kern w:val="0"/>
          <w:sz w:val="32"/>
          <w:szCs w:val="32"/>
        </w:rPr>
        <w:t>下一步改进措施：继续做好柳州来穗部门、企业开展业务的服务工作。效益指标项目自评得分为</w:t>
      </w:r>
      <w:r>
        <w:rPr>
          <w:rFonts w:ascii="仿宋_GB2312" w:eastAsia="仿宋_GB2312" w:cs="仿宋_GB2312"/>
          <w:kern w:val="0"/>
          <w:sz w:val="32"/>
          <w:szCs w:val="32"/>
        </w:rPr>
        <w:t>39</w:t>
      </w:r>
      <w:r>
        <w:rPr>
          <w:rFonts w:hint="eastAsia" w:ascii="仿宋_GB2312" w:eastAsia="仿宋_GB2312" w:cs="仿宋_GB2312"/>
          <w:kern w:val="0"/>
          <w:sz w:val="32"/>
          <w:szCs w:val="32"/>
        </w:rPr>
        <w:t>分。发现的主要问题及原因：工作服务性和效率性还有提升的空间。下一步改进措施：提高工作服务性和效率性。在公开项目绩效自评结果的同时，需公开《项目支出绩效自评表》。</w:t>
      </w:r>
    </w:p>
    <w:p>
      <w:pPr>
        <w:autoSpaceDE w:val="0"/>
        <w:autoSpaceDN w:val="0"/>
        <w:adjustRightInd w:val="0"/>
        <w:spacing w:line="580" w:lineRule="exact"/>
        <w:ind w:firstLine="643" w:firstLineChars="200"/>
        <w:rPr>
          <w:rFonts w:ascii="仿宋_GB2312" w:eastAsia="仿宋_GB2312"/>
          <w:b/>
          <w:bCs/>
          <w:kern w:val="0"/>
          <w:sz w:val="32"/>
          <w:szCs w:val="32"/>
        </w:rPr>
      </w:pPr>
      <w:r>
        <w:rPr>
          <w:rFonts w:hint="eastAsia" w:ascii="仿宋_GB2312" w:eastAsia="仿宋_GB2312" w:cs="仿宋_GB2312"/>
          <w:b/>
          <w:bCs/>
          <w:kern w:val="0"/>
          <w:sz w:val="32"/>
          <w:szCs w:val="32"/>
        </w:rPr>
        <w:t>十一、其他重要事项的情况</w:t>
      </w:r>
    </w:p>
    <w:p>
      <w:pPr>
        <w:autoSpaceDE w:val="0"/>
        <w:autoSpaceDN w:val="0"/>
        <w:adjustRightInd w:val="0"/>
        <w:spacing w:line="580" w:lineRule="exact"/>
        <w:ind w:firstLine="640" w:firstLineChars="200"/>
        <w:rPr>
          <w:rFonts w:ascii="仿宋_GB2312" w:eastAsia="仿宋_GB2312"/>
          <w:kern w:val="0"/>
          <w:sz w:val="32"/>
          <w:szCs w:val="32"/>
        </w:rPr>
      </w:pPr>
      <w:r>
        <w:rPr>
          <w:rFonts w:hint="eastAsia" w:ascii="仿宋_GB2312" w:eastAsia="仿宋_GB2312" w:cs="仿宋_GB2312"/>
          <w:kern w:val="0"/>
          <w:sz w:val="32"/>
          <w:szCs w:val="32"/>
        </w:rPr>
        <w:t>（一）机关运行经费支出情况。</w:t>
      </w:r>
      <w:r>
        <w:rPr>
          <w:rFonts w:ascii="仿宋_GB2312" w:eastAsia="仿宋_GB2312" w:cs="仿宋_GB2312"/>
          <w:kern w:val="0"/>
          <w:sz w:val="32"/>
          <w:szCs w:val="32"/>
        </w:rPr>
        <w:t>2020</w:t>
      </w:r>
      <w:r>
        <w:rPr>
          <w:rFonts w:hint="eastAsia" w:ascii="仿宋_GB2312" w:eastAsia="仿宋_GB2312" w:cs="仿宋_GB2312"/>
          <w:kern w:val="0"/>
          <w:sz w:val="32"/>
          <w:szCs w:val="32"/>
        </w:rPr>
        <w:t>年度机关运行经费支出</w:t>
      </w:r>
      <w:r>
        <w:rPr>
          <w:rFonts w:ascii="仿宋_GB2312" w:eastAsia="仿宋_GB2312" w:cs="仿宋_GB2312"/>
          <w:kern w:val="0"/>
          <w:sz w:val="32"/>
          <w:szCs w:val="32"/>
        </w:rPr>
        <w:t>48.26</w:t>
      </w:r>
      <w:r>
        <w:rPr>
          <w:rFonts w:hint="eastAsia" w:ascii="仿宋_GB2312" w:eastAsia="仿宋_GB2312" w:cs="仿宋_GB2312"/>
          <w:kern w:val="0"/>
          <w:sz w:val="32"/>
          <w:szCs w:val="32"/>
        </w:rPr>
        <w:t>万元，比</w:t>
      </w:r>
      <w:r>
        <w:rPr>
          <w:rFonts w:ascii="仿宋_GB2312" w:eastAsia="仿宋_GB2312" w:cs="仿宋_GB2312"/>
          <w:kern w:val="0"/>
          <w:sz w:val="32"/>
          <w:szCs w:val="32"/>
        </w:rPr>
        <w:t xml:space="preserve"> 2019</w:t>
      </w:r>
      <w:r>
        <w:rPr>
          <w:rFonts w:hint="eastAsia" w:ascii="仿宋_GB2312" w:eastAsia="仿宋_GB2312" w:cs="仿宋_GB2312"/>
          <w:kern w:val="0"/>
          <w:sz w:val="32"/>
          <w:szCs w:val="32"/>
        </w:rPr>
        <w:t>年增加</w:t>
      </w:r>
      <w:r>
        <w:rPr>
          <w:rFonts w:ascii="仿宋_GB2312" w:eastAsia="仿宋_GB2312" w:cs="仿宋_GB2312"/>
          <w:kern w:val="0"/>
          <w:sz w:val="32"/>
          <w:szCs w:val="32"/>
        </w:rPr>
        <w:t xml:space="preserve"> 8.69</w:t>
      </w:r>
      <w:r>
        <w:rPr>
          <w:rFonts w:hint="eastAsia" w:ascii="仿宋_GB2312" w:eastAsia="仿宋_GB2312" w:cs="仿宋_GB2312"/>
          <w:kern w:val="0"/>
          <w:sz w:val="32"/>
          <w:szCs w:val="32"/>
        </w:rPr>
        <w:t>万元，增长</w:t>
      </w:r>
      <w:r>
        <w:rPr>
          <w:rFonts w:ascii="仿宋_GB2312" w:eastAsia="仿宋_GB2312" w:cs="仿宋_GB2312"/>
          <w:kern w:val="0"/>
          <w:sz w:val="32"/>
          <w:szCs w:val="32"/>
        </w:rPr>
        <w:t>21.96%</w:t>
      </w:r>
      <w:r>
        <w:rPr>
          <w:rFonts w:hint="eastAsia" w:ascii="仿宋_GB2312" w:eastAsia="仿宋_GB2312" w:cs="仿宋_GB2312"/>
          <w:kern w:val="0"/>
          <w:sz w:val="32"/>
          <w:szCs w:val="32"/>
        </w:rPr>
        <w:t>，增加原因</w:t>
      </w:r>
      <w:r>
        <w:rPr>
          <w:rFonts w:ascii="仿宋_GB2312" w:eastAsia="仿宋_GB2312" w:cs="仿宋_GB2312"/>
          <w:kern w:val="0"/>
          <w:sz w:val="32"/>
          <w:szCs w:val="32"/>
        </w:rPr>
        <w:t>2020</w:t>
      </w:r>
      <w:r>
        <w:rPr>
          <w:rFonts w:hint="eastAsia" w:ascii="仿宋_GB2312" w:eastAsia="仿宋_GB2312" w:cs="仿宋_GB2312"/>
          <w:kern w:val="0"/>
          <w:sz w:val="32"/>
          <w:szCs w:val="32"/>
        </w:rPr>
        <w:t>年我单位新调入人员</w:t>
      </w:r>
      <w:r>
        <w:rPr>
          <w:rFonts w:ascii="仿宋_GB2312" w:eastAsia="仿宋_GB2312" w:cs="仿宋_GB2312"/>
          <w:kern w:val="0"/>
          <w:sz w:val="32"/>
          <w:szCs w:val="32"/>
        </w:rPr>
        <w:t>2</w:t>
      </w:r>
      <w:r>
        <w:rPr>
          <w:rFonts w:hint="eastAsia" w:ascii="仿宋_GB2312" w:eastAsia="仿宋_GB2312" w:cs="仿宋_GB2312"/>
          <w:kern w:val="0"/>
          <w:sz w:val="32"/>
          <w:szCs w:val="32"/>
        </w:rPr>
        <w:t>名，增加相应的运行经费。</w:t>
      </w:r>
    </w:p>
    <w:p>
      <w:pPr>
        <w:autoSpaceDE w:val="0"/>
        <w:autoSpaceDN w:val="0"/>
        <w:adjustRightInd w:val="0"/>
        <w:spacing w:line="580" w:lineRule="exact"/>
        <w:ind w:firstLine="640" w:firstLineChars="200"/>
        <w:rPr>
          <w:rFonts w:ascii="仿宋_GB2312" w:eastAsia="仿宋_GB2312"/>
          <w:kern w:val="0"/>
          <w:sz w:val="32"/>
          <w:szCs w:val="32"/>
        </w:rPr>
      </w:pPr>
      <w:r>
        <w:rPr>
          <w:rFonts w:hint="eastAsia" w:ascii="仿宋_GB2312" w:eastAsia="仿宋_GB2312" w:cs="仿宋_GB2312"/>
          <w:kern w:val="0"/>
          <w:sz w:val="32"/>
          <w:szCs w:val="32"/>
        </w:rPr>
        <w:t>（二）政府采购支出情况。</w:t>
      </w:r>
      <w:r>
        <w:rPr>
          <w:rFonts w:ascii="仿宋_GB2312" w:eastAsia="仿宋_GB2312" w:cs="仿宋_GB2312"/>
          <w:kern w:val="0"/>
          <w:sz w:val="32"/>
          <w:szCs w:val="32"/>
        </w:rPr>
        <w:t>2020</w:t>
      </w:r>
      <w:r>
        <w:rPr>
          <w:rFonts w:hint="eastAsia" w:ascii="仿宋_GB2312" w:eastAsia="仿宋_GB2312" w:cs="仿宋_GB2312"/>
          <w:kern w:val="0"/>
          <w:sz w:val="32"/>
          <w:szCs w:val="32"/>
        </w:rPr>
        <w:t>年度政府采购支出总额</w:t>
      </w:r>
      <w:r>
        <w:rPr>
          <w:rFonts w:ascii="仿宋_GB2312" w:eastAsia="仿宋_GB2312" w:cs="仿宋_GB2312"/>
          <w:kern w:val="0"/>
          <w:sz w:val="32"/>
          <w:szCs w:val="32"/>
        </w:rPr>
        <w:t>0</w:t>
      </w:r>
      <w:r>
        <w:rPr>
          <w:rFonts w:hint="eastAsia" w:ascii="仿宋_GB2312" w:eastAsia="仿宋_GB2312" w:cs="仿宋_GB2312"/>
          <w:kern w:val="0"/>
          <w:sz w:val="32"/>
          <w:szCs w:val="32"/>
        </w:rPr>
        <w:t>万元，其中：货物支出</w:t>
      </w:r>
      <w:r>
        <w:rPr>
          <w:rFonts w:ascii="仿宋_GB2312" w:eastAsia="仿宋_GB2312" w:cs="仿宋_GB2312"/>
          <w:kern w:val="0"/>
          <w:sz w:val="32"/>
          <w:szCs w:val="32"/>
        </w:rPr>
        <w:t>0</w:t>
      </w:r>
      <w:r>
        <w:rPr>
          <w:rFonts w:hint="eastAsia" w:ascii="仿宋_GB2312" w:eastAsia="仿宋_GB2312" w:cs="仿宋_GB2312"/>
          <w:kern w:val="0"/>
          <w:sz w:val="32"/>
          <w:szCs w:val="32"/>
        </w:rPr>
        <w:t>万元、工程支出</w:t>
      </w:r>
      <w:r>
        <w:rPr>
          <w:rFonts w:ascii="仿宋_GB2312" w:eastAsia="仿宋_GB2312" w:cs="仿宋_GB2312"/>
          <w:kern w:val="0"/>
          <w:sz w:val="32"/>
          <w:szCs w:val="32"/>
        </w:rPr>
        <w:t>0</w:t>
      </w:r>
      <w:r>
        <w:rPr>
          <w:rFonts w:hint="eastAsia" w:ascii="仿宋_GB2312" w:eastAsia="仿宋_GB2312" w:cs="仿宋_GB2312"/>
          <w:kern w:val="0"/>
          <w:sz w:val="32"/>
          <w:szCs w:val="32"/>
        </w:rPr>
        <w:t>万元、服务支出</w:t>
      </w:r>
      <w:r>
        <w:rPr>
          <w:rFonts w:ascii="仿宋_GB2312" w:eastAsia="仿宋_GB2312" w:cs="仿宋_GB2312"/>
          <w:kern w:val="0"/>
          <w:sz w:val="32"/>
          <w:szCs w:val="32"/>
        </w:rPr>
        <w:t>0</w:t>
      </w:r>
      <w:r>
        <w:rPr>
          <w:rFonts w:hint="eastAsia" w:ascii="仿宋_GB2312" w:eastAsia="仿宋_GB2312" w:cs="仿宋_GB2312"/>
          <w:kern w:val="0"/>
          <w:sz w:val="32"/>
          <w:szCs w:val="32"/>
        </w:rPr>
        <w:t>万元。</w:t>
      </w:r>
    </w:p>
    <w:p>
      <w:pPr>
        <w:autoSpaceDE w:val="0"/>
        <w:autoSpaceDN w:val="0"/>
        <w:adjustRightInd w:val="0"/>
        <w:spacing w:line="580" w:lineRule="exact"/>
        <w:ind w:firstLine="627" w:firstLineChars="196"/>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（三）国有资产占用情况。截至年末共有车辆</w:t>
      </w:r>
      <w:r>
        <w:rPr>
          <w:rFonts w:ascii="仿宋_GB2312" w:eastAsia="仿宋_GB2312" w:cs="仿宋_GB2312"/>
          <w:kern w:val="0"/>
          <w:sz w:val="32"/>
          <w:szCs w:val="32"/>
        </w:rPr>
        <w:t>2</w:t>
      </w:r>
      <w:r>
        <w:rPr>
          <w:rFonts w:hint="eastAsia" w:ascii="仿宋_GB2312" w:eastAsia="仿宋_GB2312" w:cs="仿宋_GB2312"/>
          <w:kern w:val="0"/>
          <w:sz w:val="32"/>
          <w:szCs w:val="32"/>
        </w:rPr>
        <w:t>辆，其中：应急保障用车</w:t>
      </w:r>
      <w:r>
        <w:rPr>
          <w:rFonts w:ascii="仿宋_GB2312" w:eastAsia="仿宋_GB2312" w:cs="仿宋_GB2312"/>
          <w:kern w:val="0"/>
          <w:sz w:val="32"/>
          <w:szCs w:val="32"/>
        </w:rPr>
        <w:t xml:space="preserve">2 </w:t>
      </w:r>
      <w:r>
        <w:rPr>
          <w:rFonts w:hint="eastAsia" w:ascii="仿宋_GB2312" w:eastAsia="仿宋_GB2312" w:cs="仿宋_GB2312"/>
          <w:kern w:val="0"/>
          <w:sz w:val="32"/>
          <w:szCs w:val="32"/>
        </w:rPr>
        <w:t>辆。</w:t>
      </w:r>
      <w:r>
        <w:rPr>
          <w:rFonts w:ascii="仿宋_GB2312" w:eastAsia="仿宋_GB2312" w:cs="仿宋_GB2312"/>
          <w:kern w:val="0"/>
          <w:sz w:val="32"/>
          <w:szCs w:val="32"/>
        </w:rPr>
        <w:t xml:space="preserve"> </w:t>
      </w:r>
    </w:p>
    <w:p>
      <w:pPr>
        <w:spacing w:line="580" w:lineRule="exact"/>
        <w:ind w:firstLine="645"/>
        <w:rPr>
          <w:rFonts w:ascii="仿宋_GB2312" w:eastAsia="仿宋_GB2312"/>
          <w:b/>
          <w:bCs/>
          <w:sz w:val="32"/>
          <w:szCs w:val="32"/>
        </w:rPr>
      </w:pPr>
      <w:r>
        <w:rPr>
          <w:rFonts w:hint="eastAsia" w:ascii="仿宋_GB2312" w:eastAsia="仿宋_GB2312" w:cs="仿宋_GB2312"/>
          <w:b/>
          <w:bCs/>
          <w:sz w:val="32"/>
          <w:szCs w:val="32"/>
        </w:rPr>
        <w:t>第四部分：名词解释</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财政拨款收入：指市本级财政当年拨付的资金。</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事业收入：指事业单位开展专业活动用辅助活动所取得的收入。</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经营收入：指事业单位在专业业务活动及辅助活动之外开展非独立核算经营活动取得的收入。</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其他收入：指除上述“财政拨款收入”、“事业收入”、“经营收入”等以外的收入。主要是：房租收入。</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使用非财政拨款结余：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年初结转和结余：指以前年度尚未完成、结转到本年按规定继续使用的资金。</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结余分配：指事业单位按规定提取的职工福利基金、事业基金和缴纳的所得税，以及建设单位按规定应交回的基本建设竣工项目结余资金。</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年末结转和结余：指本年度或以前年度预算安排、因客观条件发生变化无法按原计划实施，需延迟到以后年度按有关规定继续使用的资金。</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基本支出：指为保障机构正常运转、完成日常工作任务而发生的人员支出和公用支出。</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项目支出：指在基本支出之外为完成特定行政任务和事业发展目标所发生的支出。</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经营支出：指事业单位在专业业务活动及其辅助活动之外开展非独立核算经营活动发生的支出。</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rPr>
          <w:rFonts w:ascii="仿宋_GB2312" w:eastAsia="仿宋_GB2312"/>
          <w:kern w:val="0"/>
          <w:sz w:val="32"/>
          <w:szCs w:val="32"/>
        </w:rPr>
      </w:pPr>
    </w:p>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MingLiU">
    <w:altName w:val="GenYoMin TW TTF Light"/>
    <w:panose1 w:val="02020309000000000000"/>
    <w:charset w:val="88"/>
    <w:family w:val="modern"/>
    <w:pitch w:val="default"/>
    <w:sig w:usb0="00000000" w:usb1="00000000" w:usb2="00000016" w:usb3="00000000" w:csb0="00100001" w:csb1="00000000"/>
  </w:font>
  <w:font w:name="GenYoMin TW TTF Light">
    <w:panose1 w:val="02020300000000000000"/>
    <w:charset w:val="88"/>
    <w:family w:val="auto"/>
    <w:pitch w:val="default"/>
    <w:sig w:usb0="20000083" w:usb1="2ACF3C10" w:usb2="00000016" w:usb3="00000000" w:csb0="00100001"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sz w:val="24"/>
        <w:szCs w:val="24"/>
      </w:rPr>
    </w:pPr>
    <w:r>
      <w:rPr>
        <w:rFonts w:ascii="宋体" w:hAnsi="宋体" w:cs="宋体"/>
        <w:sz w:val="24"/>
        <w:szCs w:val="24"/>
      </w:rPr>
      <w:t xml:space="preserve">- </w:t>
    </w:r>
    <w:r>
      <w:rPr>
        <w:rFonts w:ascii="宋体" w:hAnsi="宋体" w:cs="宋体"/>
        <w:sz w:val="24"/>
        <w:szCs w:val="24"/>
      </w:rPr>
      <w:fldChar w:fldCharType="begin"/>
    </w:r>
    <w:r>
      <w:rPr>
        <w:rFonts w:ascii="宋体" w:hAnsi="宋体" w:cs="宋体"/>
        <w:sz w:val="24"/>
        <w:szCs w:val="24"/>
      </w:rPr>
      <w:instrText xml:space="preserve">PAGE   \* MERGEFORMAT</w:instrText>
    </w:r>
    <w:r>
      <w:rPr>
        <w:rFonts w:ascii="宋体" w:hAnsi="宋体" w:cs="宋体"/>
        <w:sz w:val="24"/>
        <w:szCs w:val="24"/>
      </w:rPr>
      <w:fldChar w:fldCharType="separate"/>
    </w:r>
    <w:r>
      <w:rPr>
        <w:rFonts w:ascii="宋体" w:hAnsi="宋体" w:cs="宋体"/>
        <w:sz w:val="24"/>
        <w:szCs w:val="24"/>
        <w:lang w:val="zh-CN"/>
      </w:rPr>
      <w:t>1</w:t>
    </w:r>
    <w:r>
      <w:rPr>
        <w:rFonts w:ascii="宋体" w:hAnsi="宋体" w:cs="宋体"/>
        <w:sz w:val="24"/>
        <w:szCs w:val="24"/>
      </w:rPr>
      <w:fldChar w:fldCharType="end"/>
    </w:r>
    <w:r>
      <w:rPr>
        <w:rFonts w:ascii="宋体" w:hAnsi="宋体" w:cs="宋体"/>
        <w:sz w:val="24"/>
        <w:szCs w:val="24"/>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text" w:hAnchor="margin" w:xAlign="center" w:y="1"/>
      <w:rPr>
        <w:rStyle w:val="7"/>
        <w:sz w:val="30"/>
        <w:szCs w:val="30"/>
      </w:rPr>
    </w:pPr>
    <w:r>
      <w:rPr>
        <w:rStyle w:val="7"/>
        <w:sz w:val="30"/>
        <w:szCs w:val="30"/>
      </w:rPr>
      <w:fldChar w:fldCharType="begin"/>
    </w:r>
    <w:r>
      <w:rPr>
        <w:rStyle w:val="7"/>
        <w:sz w:val="30"/>
        <w:szCs w:val="30"/>
      </w:rPr>
      <w:instrText xml:space="preserve">PAGE  </w:instrText>
    </w:r>
    <w:r>
      <w:rPr>
        <w:rStyle w:val="7"/>
        <w:sz w:val="30"/>
        <w:szCs w:val="30"/>
      </w:rPr>
      <w:fldChar w:fldCharType="separate"/>
    </w:r>
    <w:r>
      <w:rPr>
        <w:rStyle w:val="7"/>
        <w:sz w:val="30"/>
        <w:szCs w:val="30"/>
      </w:rPr>
      <w:t>- 6 -</w:t>
    </w:r>
    <w:r>
      <w:rPr>
        <w:rStyle w:val="7"/>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hjNDNkODRjZTUyODY5NDBlZDQxOWMwN2RjODhiODIifQ=="/>
  </w:docVars>
  <w:rsids>
    <w:rsidRoot w:val="4C256E3D"/>
    <w:rsid w:val="0001478B"/>
    <w:rsid w:val="000651E3"/>
    <w:rsid w:val="00066CA3"/>
    <w:rsid w:val="00090E8A"/>
    <w:rsid w:val="000918EA"/>
    <w:rsid w:val="000A4306"/>
    <w:rsid w:val="000A5E4C"/>
    <w:rsid w:val="000B4814"/>
    <w:rsid w:val="000D5C93"/>
    <w:rsid w:val="000E7D9A"/>
    <w:rsid w:val="0012154F"/>
    <w:rsid w:val="00125D65"/>
    <w:rsid w:val="00132914"/>
    <w:rsid w:val="001713F9"/>
    <w:rsid w:val="001936DC"/>
    <w:rsid w:val="00194C33"/>
    <w:rsid w:val="0019725B"/>
    <w:rsid w:val="001A20AC"/>
    <w:rsid w:val="001A44F6"/>
    <w:rsid w:val="001E1898"/>
    <w:rsid w:val="001E5BFF"/>
    <w:rsid w:val="00204FFA"/>
    <w:rsid w:val="00224100"/>
    <w:rsid w:val="00235D93"/>
    <w:rsid w:val="00263988"/>
    <w:rsid w:val="00285F69"/>
    <w:rsid w:val="00293BE2"/>
    <w:rsid w:val="002B5729"/>
    <w:rsid w:val="002C111D"/>
    <w:rsid w:val="002C313C"/>
    <w:rsid w:val="002D3E7E"/>
    <w:rsid w:val="002D4601"/>
    <w:rsid w:val="0030696F"/>
    <w:rsid w:val="003136E6"/>
    <w:rsid w:val="0032319A"/>
    <w:rsid w:val="00331F46"/>
    <w:rsid w:val="003440E4"/>
    <w:rsid w:val="00345E52"/>
    <w:rsid w:val="003470E6"/>
    <w:rsid w:val="00350FEB"/>
    <w:rsid w:val="00360E86"/>
    <w:rsid w:val="00376E5D"/>
    <w:rsid w:val="00380806"/>
    <w:rsid w:val="003810D6"/>
    <w:rsid w:val="003842F7"/>
    <w:rsid w:val="00386A20"/>
    <w:rsid w:val="003926F4"/>
    <w:rsid w:val="003A13E9"/>
    <w:rsid w:val="003A58DD"/>
    <w:rsid w:val="003B5526"/>
    <w:rsid w:val="003F0591"/>
    <w:rsid w:val="00424D08"/>
    <w:rsid w:val="00427B36"/>
    <w:rsid w:val="00444A4A"/>
    <w:rsid w:val="00476E5D"/>
    <w:rsid w:val="00477A68"/>
    <w:rsid w:val="004867AA"/>
    <w:rsid w:val="004A5C7D"/>
    <w:rsid w:val="004A7C13"/>
    <w:rsid w:val="004C2F92"/>
    <w:rsid w:val="004D03E0"/>
    <w:rsid w:val="004D2C55"/>
    <w:rsid w:val="004E679F"/>
    <w:rsid w:val="00502642"/>
    <w:rsid w:val="00517456"/>
    <w:rsid w:val="00524BF6"/>
    <w:rsid w:val="005276B1"/>
    <w:rsid w:val="00527E7D"/>
    <w:rsid w:val="00535A6B"/>
    <w:rsid w:val="00553240"/>
    <w:rsid w:val="0058013B"/>
    <w:rsid w:val="0058190E"/>
    <w:rsid w:val="005950A3"/>
    <w:rsid w:val="005E12F4"/>
    <w:rsid w:val="005E7277"/>
    <w:rsid w:val="00607E8F"/>
    <w:rsid w:val="00610DA8"/>
    <w:rsid w:val="00613C43"/>
    <w:rsid w:val="006353F0"/>
    <w:rsid w:val="0063665D"/>
    <w:rsid w:val="00637917"/>
    <w:rsid w:val="00646EA9"/>
    <w:rsid w:val="006906DB"/>
    <w:rsid w:val="00694091"/>
    <w:rsid w:val="006A136C"/>
    <w:rsid w:val="006C1367"/>
    <w:rsid w:val="006C52C0"/>
    <w:rsid w:val="006F51D4"/>
    <w:rsid w:val="006F7EBD"/>
    <w:rsid w:val="00714A4C"/>
    <w:rsid w:val="00715385"/>
    <w:rsid w:val="00716F53"/>
    <w:rsid w:val="00730B8E"/>
    <w:rsid w:val="0074697A"/>
    <w:rsid w:val="00757DA2"/>
    <w:rsid w:val="0076270E"/>
    <w:rsid w:val="00786AF1"/>
    <w:rsid w:val="00790FFF"/>
    <w:rsid w:val="00791452"/>
    <w:rsid w:val="007973ED"/>
    <w:rsid w:val="007C434A"/>
    <w:rsid w:val="007C7781"/>
    <w:rsid w:val="007E2756"/>
    <w:rsid w:val="0080644E"/>
    <w:rsid w:val="0081007C"/>
    <w:rsid w:val="00854601"/>
    <w:rsid w:val="0088012A"/>
    <w:rsid w:val="00880DF0"/>
    <w:rsid w:val="0088244A"/>
    <w:rsid w:val="00883DE4"/>
    <w:rsid w:val="00884275"/>
    <w:rsid w:val="00895B50"/>
    <w:rsid w:val="008B58B1"/>
    <w:rsid w:val="008C31F5"/>
    <w:rsid w:val="00903449"/>
    <w:rsid w:val="009223E0"/>
    <w:rsid w:val="00922662"/>
    <w:rsid w:val="00934C7D"/>
    <w:rsid w:val="00937B73"/>
    <w:rsid w:val="00944222"/>
    <w:rsid w:val="00951114"/>
    <w:rsid w:val="0097506B"/>
    <w:rsid w:val="009916BB"/>
    <w:rsid w:val="009C36A6"/>
    <w:rsid w:val="009C3B91"/>
    <w:rsid w:val="009C5037"/>
    <w:rsid w:val="009C52DE"/>
    <w:rsid w:val="009F4492"/>
    <w:rsid w:val="00A2448B"/>
    <w:rsid w:val="00A24C77"/>
    <w:rsid w:val="00A46874"/>
    <w:rsid w:val="00A55979"/>
    <w:rsid w:val="00A9226F"/>
    <w:rsid w:val="00AA6BAB"/>
    <w:rsid w:val="00AC1FE7"/>
    <w:rsid w:val="00AC5AA2"/>
    <w:rsid w:val="00AE7908"/>
    <w:rsid w:val="00AF68F8"/>
    <w:rsid w:val="00B04CBD"/>
    <w:rsid w:val="00B063C0"/>
    <w:rsid w:val="00B07909"/>
    <w:rsid w:val="00B20A01"/>
    <w:rsid w:val="00B31F7C"/>
    <w:rsid w:val="00B3614E"/>
    <w:rsid w:val="00B4282B"/>
    <w:rsid w:val="00B55A23"/>
    <w:rsid w:val="00B62141"/>
    <w:rsid w:val="00B6626C"/>
    <w:rsid w:val="00B959EE"/>
    <w:rsid w:val="00BA2D3E"/>
    <w:rsid w:val="00BE690B"/>
    <w:rsid w:val="00C028CB"/>
    <w:rsid w:val="00C113FB"/>
    <w:rsid w:val="00C24F25"/>
    <w:rsid w:val="00C256D0"/>
    <w:rsid w:val="00C37EA3"/>
    <w:rsid w:val="00C4338E"/>
    <w:rsid w:val="00C678C8"/>
    <w:rsid w:val="00C77DF6"/>
    <w:rsid w:val="00CA02F6"/>
    <w:rsid w:val="00CA41D9"/>
    <w:rsid w:val="00CC66E2"/>
    <w:rsid w:val="00CF4834"/>
    <w:rsid w:val="00D06B7D"/>
    <w:rsid w:val="00D07E9B"/>
    <w:rsid w:val="00D25BA1"/>
    <w:rsid w:val="00D25E9B"/>
    <w:rsid w:val="00D35B7F"/>
    <w:rsid w:val="00D4570E"/>
    <w:rsid w:val="00D51F20"/>
    <w:rsid w:val="00D52B65"/>
    <w:rsid w:val="00D57097"/>
    <w:rsid w:val="00D57D14"/>
    <w:rsid w:val="00D624A0"/>
    <w:rsid w:val="00D70D21"/>
    <w:rsid w:val="00D83DAC"/>
    <w:rsid w:val="00DC3BF0"/>
    <w:rsid w:val="00DC6740"/>
    <w:rsid w:val="00DF6EED"/>
    <w:rsid w:val="00E07812"/>
    <w:rsid w:val="00E20596"/>
    <w:rsid w:val="00E24E14"/>
    <w:rsid w:val="00E323B3"/>
    <w:rsid w:val="00EA1F02"/>
    <w:rsid w:val="00EB5300"/>
    <w:rsid w:val="00EC63EB"/>
    <w:rsid w:val="00EE2508"/>
    <w:rsid w:val="00EE3F6E"/>
    <w:rsid w:val="00EF6BB4"/>
    <w:rsid w:val="00EF73AD"/>
    <w:rsid w:val="00F01453"/>
    <w:rsid w:val="00F0229C"/>
    <w:rsid w:val="00F02306"/>
    <w:rsid w:val="00F07986"/>
    <w:rsid w:val="00F2239A"/>
    <w:rsid w:val="00F371EF"/>
    <w:rsid w:val="00F4429C"/>
    <w:rsid w:val="00F463CC"/>
    <w:rsid w:val="00F64D37"/>
    <w:rsid w:val="00F66C5B"/>
    <w:rsid w:val="00F76409"/>
    <w:rsid w:val="00FB4D00"/>
    <w:rsid w:val="00FC6C29"/>
    <w:rsid w:val="00FE0C75"/>
    <w:rsid w:val="00FE23C2"/>
    <w:rsid w:val="00FE6F0E"/>
    <w:rsid w:val="00FF4AD9"/>
    <w:rsid w:val="0D7C07BE"/>
    <w:rsid w:val="0E074DDF"/>
    <w:rsid w:val="124204B5"/>
    <w:rsid w:val="15D60C87"/>
    <w:rsid w:val="182962AB"/>
    <w:rsid w:val="19D073EB"/>
    <w:rsid w:val="1CC31F67"/>
    <w:rsid w:val="24D337DC"/>
    <w:rsid w:val="26460DBA"/>
    <w:rsid w:val="2A3049B2"/>
    <w:rsid w:val="2B6F74EB"/>
    <w:rsid w:val="2C4219FE"/>
    <w:rsid w:val="2DC45B3D"/>
    <w:rsid w:val="34020F86"/>
    <w:rsid w:val="39A63F06"/>
    <w:rsid w:val="3CDB69FF"/>
    <w:rsid w:val="3ED1439F"/>
    <w:rsid w:val="48374EDC"/>
    <w:rsid w:val="4C256E3D"/>
    <w:rsid w:val="4CB52F0F"/>
    <w:rsid w:val="532F1F9A"/>
    <w:rsid w:val="56F42740"/>
    <w:rsid w:val="57FF25DF"/>
    <w:rsid w:val="59284923"/>
    <w:rsid w:val="5C25339C"/>
    <w:rsid w:val="5E995A3E"/>
    <w:rsid w:val="62163194"/>
    <w:rsid w:val="624D024D"/>
    <w:rsid w:val="650E086A"/>
    <w:rsid w:val="687E630D"/>
    <w:rsid w:val="6BAA0708"/>
    <w:rsid w:val="71031AA6"/>
    <w:rsid w:val="74850A24"/>
    <w:rsid w:val="78B47CB9"/>
    <w:rsid w:val="7CA331DB"/>
    <w:rsid w:val="7E8F2BCB"/>
    <w:rsid w:val="D778475A"/>
    <w:rsid w:val="FC73AFA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style>
  <w:style w:type="character" w:customStyle="1" w:styleId="8">
    <w:name w:val="Balloon Text Char"/>
    <w:basedOn w:val="6"/>
    <w:link w:val="2"/>
    <w:qFormat/>
    <w:locked/>
    <w:uiPriority w:val="99"/>
    <w:rPr>
      <w:kern w:val="2"/>
      <w:sz w:val="18"/>
      <w:szCs w:val="18"/>
    </w:rPr>
  </w:style>
  <w:style w:type="character" w:customStyle="1" w:styleId="9">
    <w:name w:val="Footer Char"/>
    <w:basedOn w:val="6"/>
    <w:link w:val="3"/>
    <w:semiHidden/>
    <w:qFormat/>
    <w:locked/>
    <w:uiPriority w:val="99"/>
    <w:rPr>
      <w:sz w:val="18"/>
      <w:szCs w:val="18"/>
    </w:rPr>
  </w:style>
  <w:style w:type="character" w:customStyle="1" w:styleId="10">
    <w:name w:val="Header Char"/>
    <w:basedOn w:val="6"/>
    <w:link w:val="4"/>
    <w:semiHidden/>
    <w:qFormat/>
    <w:locked/>
    <w:uiPriority w:val="99"/>
    <w:rPr>
      <w:sz w:val="18"/>
      <w:szCs w:val="18"/>
    </w:rPr>
  </w:style>
  <w:style w:type="character" w:customStyle="1" w:styleId="11">
    <w:name w:val="font11"/>
    <w:basedOn w:val="6"/>
    <w:qFormat/>
    <w:uiPriority w:val="99"/>
    <w:rPr>
      <w:rFonts w:ascii="宋体" w:hAnsi="宋体" w:eastAsia="宋体" w:cs="宋体"/>
      <w:color w:val="000000"/>
      <w:sz w:val="22"/>
      <w:szCs w:val="22"/>
      <w:u w:val="none"/>
    </w:rPr>
  </w:style>
  <w:style w:type="character" w:customStyle="1" w:styleId="12">
    <w:name w:val="font01"/>
    <w:basedOn w:val="6"/>
    <w:qFormat/>
    <w:uiPriority w:val="99"/>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微软中国</Company>
  <Pages>24</Pages>
  <Words>6725</Words>
  <Characters>8270</Characters>
  <Lines>0</Lines>
  <Paragraphs>0</Paragraphs>
  <TotalTime>0</TotalTime>
  <ScaleCrop>false</ScaleCrop>
  <LinksUpToDate>false</LinksUpToDate>
  <CharactersWithSpaces>8736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2021-08-12T02:18:00Z</dcterms:created>
  <dc:creator>陈冬雪</dc:creator>
  <cp:lastModifiedBy>哒哒陳</cp:lastModifiedBy>
  <cp:lastPrinted>2021-08-11T03:50:00Z</cp:lastPrinted>
  <dcterms:modified xsi:type="dcterms:W3CDTF">2022-10-26T07:10:56Z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AC999166A5E04EE09C488D4B8E13FD63</vt:lpwstr>
  </property>
</Properties>
</file>