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柳州市青少年宫</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柳州市青少年宫</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柳州市青少年宫</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柳州市青少年宫</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柳州市青少年宫</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left="643" w:firstLine="640" w:firstLineChars="200"/>
        <w:rPr>
          <w:rFonts w:ascii="仿宋" w:hAnsi="仿宋" w:eastAsia="仿宋" w:cs="仿宋"/>
          <w:sz w:val="32"/>
          <w:szCs w:val="32"/>
        </w:rPr>
      </w:pPr>
      <w:r>
        <w:rPr>
          <w:rFonts w:hint="eastAsia" w:ascii="仿宋" w:hAnsi="仿宋" w:eastAsia="仿宋" w:cs="仿宋"/>
          <w:sz w:val="32"/>
          <w:szCs w:val="32"/>
        </w:rPr>
        <w:t>柳州市青少年宫主要职责：</w:t>
      </w:r>
    </w:p>
    <w:p>
      <w:pPr>
        <w:spacing w:line="560" w:lineRule="exact"/>
        <w:ind w:left="643" w:firstLine="640" w:firstLineChars="200"/>
        <w:rPr>
          <w:rFonts w:ascii="仿宋_GB2312" w:hAnsi="华文仿宋" w:eastAsia="仿宋_GB2312" w:cs="宋体"/>
          <w:bCs/>
          <w:color w:val="000000"/>
          <w:kern w:val="0"/>
          <w:sz w:val="32"/>
          <w:szCs w:val="32"/>
        </w:rPr>
      </w:pPr>
      <w:r>
        <w:rPr>
          <w:rFonts w:hint="eastAsia" w:ascii="楷体_GB2312" w:hAnsi="华文仿宋" w:eastAsia="楷体_GB2312" w:cs="宋体"/>
          <w:bCs/>
          <w:color w:val="000000"/>
          <w:kern w:val="0"/>
          <w:sz w:val="32"/>
          <w:szCs w:val="32"/>
        </w:rPr>
        <w:t>（一）</w:t>
      </w:r>
      <w:r>
        <w:rPr>
          <w:rFonts w:ascii="仿宋_GB2312" w:hAnsi="华文仿宋" w:eastAsia="仿宋_GB2312" w:cs="宋体"/>
          <w:bCs/>
          <w:color w:val="000000"/>
          <w:kern w:val="0"/>
          <w:sz w:val="32"/>
          <w:szCs w:val="32"/>
        </w:rPr>
        <w:t>推广普及校外教育，提高青少年综合素质。</w:t>
      </w:r>
      <w:r>
        <w:rPr>
          <w:rFonts w:hint="eastAsia" w:ascii="仿宋_GB2312" w:hAnsi="华文仿宋" w:eastAsia="仿宋_GB2312" w:cs="宋体"/>
          <w:bCs/>
          <w:color w:val="000000"/>
          <w:kern w:val="0"/>
          <w:sz w:val="32"/>
          <w:szCs w:val="32"/>
        </w:rPr>
        <w:t>提供</w:t>
      </w:r>
      <w:r>
        <w:rPr>
          <w:rFonts w:ascii="仿宋_GB2312" w:hAnsi="华文仿宋" w:eastAsia="仿宋_GB2312" w:cs="宋体"/>
          <w:bCs/>
          <w:color w:val="000000"/>
          <w:kern w:val="0"/>
          <w:sz w:val="32"/>
          <w:szCs w:val="32"/>
        </w:rPr>
        <w:t>文化艺术技能培训</w:t>
      </w:r>
      <w:r>
        <w:rPr>
          <w:rFonts w:hint="eastAsia" w:ascii="仿宋_GB2312" w:hAnsi="华文仿宋" w:eastAsia="仿宋_GB2312" w:cs="宋体"/>
          <w:bCs/>
          <w:color w:val="000000"/>
          <w:kern w:val="0"/>
          <w:sz w:val="32"/>
          <w:szCs w:val="32"/>
        </w:rPr>
        <w:t>、</w:t>
      </w:r>
      <w:r>
        <w:rPr>
          <w:rFonts w:ascii="仿宋_GB2312" w:hAnsi="华文仿宋" w:eastAsia="仿宋_GB2312" w:cs="宋体"/>
          <w:bCs/>
          <w:color w:val="000000"/>
          <w:kern w:val="0"/>
          <w:sz w:val="32"/>
          <w:szCs w:val="32"/>
        </w:rPr>
        <w:t>文体娱乐活动组织</w:t>
      </w:r>
      <w:r>
        <w:rPr>
          <w:rFonts w:hint="eastAsia" w:ascii="仿宋_GB2312" w:hAnsi="华文仿宋" w:eastAsia="仿宋_GB2312" w:cs="宋体"/>
          <w:bCs/>
          <w:color w:val="000000"/>
          <w:kern w:val="0"/>
          <w:sz w:val="32"/>
          <w:szCs w:val="32"/>
        </w:rPr>
        <w:t>、</w:t>
      </w:r>
      <w:r>
        <w:rPr>
          <w:rFonts w:ascii="仿宋_GB2312" w:hAnsi="华文仿宋" w:eastAsia="仿宋_GB2312" w:cs="宋体"/>
          <w:bCs/>
          <w:color w:val="000000"/>
          <w:kern w:val="0"/>
          <w:sz w:val="32"/>
          <w:szCs w:val="32"/>
        </w:rPr>
        <w:t>科普常识推介服务</w:t>
      </w:r>
      <w:r>
        <w:rPr>
          <w:rFonts w:hint="eastAsia" w:ascii="仿宋_GB2312" w:hAnsi="华文仿宋" w:eastAsia="仿宋_GB2312" w:cs="宋体"/>
          <w:bCs/>
          <w:color w:val="000000"/>
          <w:kern w:val="0"/>
          <w:sz w:val="32"/>
          <w:szCs w:val="32"/>
        </w:rPr>
        <w:t>。</w:t>
      </w:r>
    </w:p>
    <w:p>
      <w:pPr>
        <w:spacing w:line="560" w:lineRule="exact"/>
        <w:ind w:left="643" w:firstLine="640" w:firstLineChars="200"/>
        <w:rPr>
          <w:rFonts w:ascii="楷体_GB2312" w:hAnsi="华文仿宋" w:eastAsia="楷体_GB2312" w:cs="宋体"/>
          <w:b/>
          <w:color w:val="000000"/>
          <w:kern w:val="0"/>
          <w:sz w:val="32"/>
          <w:szCs w:val="32"/>
        </w:rPr>
      </w:pPr>
      <w:r>
        <w:rPr>
          <w:rFonts w:hint="eastAsia" w:ascii="楷体_GB2312" w:hAnsi="华文仿宋" w:eastAsia="楷体_GB2312" w:cs="宋体"/>
          <w:bCs/>
          <w:color w:val="000000"/>
          <w:kern w:val="0"/>
          <w:sz w:val="32"/>
          <w:szCs w:val="32"/>
        </w:rPr>
        <w:t>（二）</w:t>
      </w:r>
      <w:r>
        <w:rPr>
          <w:rFonts w:hint="eastAsia" w:ascii="仿宋_GB2312" w:hAnsi="华文仿宋" w:eastAsia="仿宋_GB2312" w:cs="宋体"/>
          <w:bCs/>
          <w:color w:val="000000"/>
          <w:kern w:val="0"/>
          <w:sz w:val="32"/>
          <w:szCs w:val="32"/>
        </w:rPr>
        <w:t>加强青少年宫的教师及辅导员队伍建设工作，强化思想政治和业务能力培训指导。注意培养骨干力量，做到“知人善用”，依靠全体教职工办好青少年宫。</w:t>
      </w:r>
    </w:p>
    <w:p>
      <w:pPr>
        <w:spacing w:line="560" w:lineRule="exact"/>
        <w:ind w:left="643" w:firstLine="640" w:firstLineChars="200"/>
        <w:rPr>
          <w:rFonts w:ascii="仿宋" w:hAnsi="仿宋" w:eastAsia="仿宋" w:cs="仿宋"/>
          <w:sz w:val="32"/>
          <w:szCs w:val="32"/>
        </w:rPr>
      </w:pPr>
      <w:r>
        <w:rPr>
          <w:rFonts w:hint="eastAsia" w:ascii="楷体_GB2312" w:hAnsi="华文仿宋" w:eastAsia="楷体_GB2312" w:cs="宋体"/>
          <w:bCs/>
          <w:color w:val="000000"/>
          <w:kern w:val="0"/>
          <w:sz w:val="32"/>
          <w:szCs w:val="32"/>
        </w:rPr>
        <w:t>（三）</w:t>
      </w:r>
      <w:r>
        <w:rPr>
          <w:rFonts w:hint="eastAsia" w:ascii="仿宋_GB2312" w:hAnsi="华文仿宋" w:eastAsia="仿宋_GB2312" w:cs="宋体"/>
          <w:bCs/>
          <w:color w:val="000000"/>
          <w:kern w:val="0"/>
          <w:sz w:val="32"/>
          <w:szCs w:val="32"/>
        </w:rPr>
        <w:t>重视交流和学习，加强教育研究。加强与各城区学校的联系，积极把青少年宫打造成为学生互动交流的平台，作为学生开展实践教育和体验教育的第二课堂。</w:t>
      </w:r>
    </w:p>
    <w:p>
      <w:pPr>
        <w:ind w:firstLine="646"/>
        <w:rPr>
          <w:rFonts w:ascii="仿宋_GB2312" w:eastAsia="仿宋_GB2312"/>
          <w:sz w:val="32"/>
          <w:szCs w:val="32"/>
        </w:rPr>
      </w:pPr>
      <w:r>
        <w:rPr>
          <w:rFonts w:hint="eastAsia" w:ascii="仿宋_GB2312" w:eastAsia="仿宋_GB2312"/>
          <w:sz w:val="32"/>
          <w:szCs w:val="32"/>
        </w:rPr>
        <w:t>二、决算单位构成</w:t>
      </w:r>
    </w:p>
    <w:p>
      <w:pPr>
        <w:ind w:firstLine="2880" w:firstLineChars="900"/>
        <w:rPr>
          <w:rFonts w:ascii="仿宋" w:hAnsi="仿宋" w:eastAsia="仿宋" w:cs="仿宋"/>
          <w:sz w:val="32"/>
          <w:szCs w:val="32"/>
        </w:rPr>
      </w:pPr>
      <w:r>
        <w:rPr>
          <w:rFonts w:hint="eastAsia" w:ascii="仿宋" w:hAnsi="仿宋" w:eastAsia="仿宋" w:cs="仿宋"/>
          <w:sz w:val="32"/>
          <w:szCs w:val="32"/>
        </w:rPr>
        <w:t>机构和人员情况</w:t>
      </w:r>
    </w:p>
    <w:p>
      <w:pPr>
        <w:ind w:firstLine="2880" w:firstLineChars="900"/>
        <w:rPr>
          <w:rFonts w:ascii="仿宋" w:hAnsi="仿宋" w:eastAsia="仿宋" w:cs="仿宋"/>
          <w:sz w:val="32"/>
          <w:szCs w:val="32"/>
        </w:rPr>
      </w:pPr>
      <w:r>
        <w:rPr>
          <w:rFonts w:hint="eastAsia" w:ascii="仿宋" w:hAnsi="仿宋" w:eastAsia="仿宋" w:cs="仿宋"/>
          <w:sz w:val="32"/>
          <w:szCs w:val="32"/>
        </w:rPr>
        <w:t xml:space="preserve">                         单位：人</w:t>
      </w:r>
    </w:p>
    <w:tbl>
      <w:tblPr>
        <w:tblStyle w:val="5"/>
        <w:tblW w:w="8196" w:type="dxa"/>
        <w:tblInd w:w="57" w:type="dxa"/>
        <w:tblLayout w:type="fixed"/>
        <w:tblCellMar>
          <w:top w:w="15" w:type="dxa"/>
          <w:left w:w="15" w:type="dxa"/>
          <w:bottom w:w="15" w:type="dxa"/>
          <w:right w:w="15" w:type="dxa"/>
        </w:tblCellMar>
      </w:tblPr>
      <w:tblGrid>
        <w:gridCol w:w="2089"/>
        <w:gridCol w:w="2068"/>
        <w:gridCol w:w="803"/>
        <w:gridCol w:w="772"/>
        <w:gridCol w:w="836"/>
        <w:gridCol w:w="846"/>
        <w:gridCol w:w="782"/>
      </w:tblGrid>
      <w:tr>
        <w:tblPrEx>
          <w:tblCellMar>
            <w:top w:w="15" w:type="dxa"/>
            <w:left w:w="15" w:type="dxa"/>
            <w:bottom w:w="15" w:type="dxa"/>
            <w:right w:w="15" w:type="dxa"/>
          </w:tblCellMar>
        </w:tblPrEx>
        <w:trPr>
          <w:trHeight w:val="1090" w:hRule="atLeast"/>
        </w:trPr>
        <w:tc>
          <w:tcPr>
            <w:tcW w:w="2089"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szCs w:val="21"/>
              </w:rPr>
            </w:pPr>
            <w:r>
              <w:rPr>
                <w:rFonts w:hint="eastAsia" w:ascii="仿宋_GB2312" w:hAnsi="仿宋" w:eastAsia="仿宋_GB2312"/>
                <w:szCs w:val="21"/>
              </w:rPr>
              <w:t>单位名称</w:t>
            </w:r>
          </w:p>
        </w:tc>
        <w:tc>
          <w:tcPr>
            <w:tcW w:w="2068"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szCs w:val="21"/>
              </w:rPr>
            </w:pPr>
            <w:r>
              <w:rPr>
                <w:rFonts w:hint="eastAsia" w:ascii="仿宋_GB2312" w:hAnsi="仿宋" w:eastAsia="仿宋_GB2312"/>
                <w:szCs w:val="21"/>
              </w:rPr>
              <w:t>单位性质</w:t>
            </w:r>
          </w:p>
        </w:tc>
        <w:tc>
          <w:tcPr>
            <w:tcW w:w="803"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left"/>
              <w:textAlignment w:val="center"/>
              <w:rPr>
                <w:rFonts w:ascii="仿宋_GB2312" w:hAnsi="仿宋" w:eastAsia="仿宋_GB2312"/>
                <w:szCs w:val="21"/>
              </w:rPr>
            </w:pPr>
            <w:r>
              <w:rPr>
                <w:rFonts w:hint="eastAsia" w:ascii="仿宋_GB2312" w:hAnsi="仿宋" w:eastAsia="仿宋_GB2312"/>
                <w:szCs w:val="21"/>
              </w:rPr>
              <w:t>编制人数</w:t>
            </w:r>
          </w:p>
        </w:tc>
        <w:tc>
          <w:tcPr>
            <w:tcW w:w="772"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szCs w:val="21"/>
              </w:rPr>
            </w:pPr>
            <w:r>
              <w:rPr>
                <w:rFonts w:hint="eastAsia" w:ascii="仿宋_GB2312" w:hAnsi="仿宋" w:eastAsia="仿宋_GB2312"/>
                <w:szCs w:val="21"/>
              </w:rPr>
              <w:t>实有人数</w:t>
            </w:r>
          </w:p>
        </w:tc>
        <w:tc>
          <w:tcPr>
            <w:tcW w:w="836"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szCs w:val="21"/>
              </w:rPr>
            </w:pPr>
            <w:r>
              <w:rPr>
                <w:rFonts w:hint="eastAsia" w:ascii="仿宋_GB2312" w:hAnsi="仿宋" w:eastAsia="仿宋_GB2312"/>
                <w:szCs w:val="21"/>
              </w:rPr>
              <w:t>离休人员</w:t>
            </w:r>
          </w:p>
        </w:tc>
        <w:tc>
          <w:tcPr>
            <w:tcW w:w="846"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szCs w:val="21"/>
              </w:rPr>
            </w:pPr>
            <w:r>
              <w:rPr>
                <w:rFonts w:hint="eastAsia" w:ascii="仿宋_GB2312" w:hAnsi="仿宋" w:eastAsia="仿宋_GB2312"/>
                <w:szCs w:val="21"/>
              </w:rPr>
              <w:t>退休人员</w:t>
            </w:r>
          </w:p>
        </w:tc>
        <w:tc>
          <w:tcPr>
            <w:tcW w:w="782"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left"/>
              <w:textAlignment w:val="center"/>
              <w:rPr>
                <w:rFonts w:ascii="仿宋_GB2312" w:hAnsi="仿宋" w:eastAsia="仿宋_GB2312"/>
                <w:szCs w:val="21"/>
              </w:rPr>
            </w:pPr>
            <w:r>
              <w:rPr>
                <w:rFonts w:hint="eastAsia" w:ascii="仿宋_GB2312" w:hAnsi="仿宋" w:eastAsia="仿宋_GB2312"/>
                <w:szCs w:val="21"/>
              </w:rPr>
              <w:t>聘用人员</w:t>
            </w:r>
          </w:p>
        </w:tc>
      </w:tr>
      <w:tr>
        <w:tblPrEx>
          <w:tblCellMar>
            <w:top w:w="15" w:type="dxa"/>
            <w:left w:w="15" w:type="dxa"/>
            <w:bottom w:w="15" w:type="dxa"/>
            <w:right w:w="15" w:type="dxa"/>
          </w:tblCellMar>
        </w:tblPrEx>
        <w:trPr>
          <w:trHeight w:val="728" w:hRule="atLeast"/>
        </w:trPr>
        <w:tc>
          <w:tcPr>
            <w:tcW w:w="2089" w:type="dxa"/>
            <w:tcBorders>
              <w:top w:val="single" w:color="auto" w:sz="4" w:space="0"/>
              <w:left w:val="single" w:color="auto" w:sz="4" w:space="0"/>
              <w:bottom w:val="single" w:color="auto" w:sz="4" w:space="0"/>
              <w:right w:val="single" w:color="auto" w:sz="4" w:space="0"/>
            </w:tcBorders>
            <w:vAlign w:val="center"/>
          </w:tcPr>
          <w:p>
            <w:pPr>
              <w:widowControl/>
              <w:ind w:right="296" w:rightChars="141"/>
              <w:jc w:val="center"/>
              <w:textAlignment w:val="center"/>
              <w:rPr>
                <w:rFonts w:ascii="仿宋_GB2312" w:hAnsi="仿宋" w:eastAsia="仿宋_GB2312"/>
                <w:szCs w:val="21"/>
              </w:rPr>
            </w:pPr>
            <w:r>
              <w:rPr>
                <w:rFonts w:hint="eastAsia" w:ascii="仿宋_GB2312" w:hAnsi="仿宋" w:eastAsia="仿宋_GB2312"/>
                <w:szCs w:val="21"/>
              </w:rPr>
              <w:t>柳州市青少年宫</w:t>
            </w:r>
          </w:p>
        </w:tc>
        <w:tc>
          <w:tcPr>
            <w:tcW w:w="2068" w:type="dxa"/>
            <w:tcBorders>
              <w:top w:val="single" w:color="auto" w:sz="4" w:space="0"/>
              <w:left w:val="single" w:color="auto" w:sz="4" w:space="0"/>
              <w:bottom w:val="single" w:color="auto" w:sz="4" w:space="0"/>
              <w:right w:val="single" w:color="auto" w:sz="4" w:space="0"/>
            </w:tcBorders>
            <w:vAlign w:val="center"/>
          </w:tcPr>
          <w:p>
            <w:pPr>
              <w:widowControl/>
              <w:ind w:right="296" w:rightChars="141"/>
              <w:jc w:val="left"/>
              <w:textAlignment w:val="center"/>
              <w:rPr>
                <w:rFonts w:ascii="仿宋_GB2312" w:hAnsi="仿宋" w:eastAsia="仿宋_GB2312"/>
                <w:szCs w:val="21"/>
              </w:rPr>
            </w:pPr>
            <w:r>
              <w:rPr>
                <w:rFonts w:hint="eastAsia" w:ascii="仿宋_GB2312" w:hAnsi="仿宋" w:eastAsia="仿宋_GB2312"/>
                <w:szCs w:val="21"/>
              </w:rPr>
              <w:t>全额拨款事业单位</w:t>
            </w:r>
          </w:p>
        </w:tc>
        <w:tc>
          <w:tcPr>
            <w:tcW w:w="803"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210" w:firstLineChars="100"/>
              <w:textAlignment w:val="center"/>
              <w:rPr>
                <w:rFonts w:ascii="仿宋_GB2312" w:hAnsi="仿宋" w:eastAsia="仿宋_GB2312"/>
                <w:szCs w:val="21"/>
              </w:rPr>
            </w:pPr>
            <w:r>
              <w:rPr>
                <w:rFonts w:hint="eastAsia" w:ascii="仿宋_GB2312" w:hAnsi="仿宋" w:eastAsia="仿宋_GB2312"/>
                <w:szCs w:val="21"/>
              </w:rPr>
              <w:t>20</w:t>
            </w:r>
          </w:p>
        </w:tc>
        <w:tc>
          <w:tcPr>
            <w:tcW w:w="772"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210" w:firstLineChars="100"/>
              <w:jc w:val="left"/>
              <w:textAlignment w:val="center"/>
              <w:rPr>
                <w:rFonts w:ascii="仿宋_GB2312" w:hAnsi="仿宋" w:eastAsia="仿宋_GB2312"/>
                <w:szCs w:val="21"/>
              </w:rPr>
            </w:pPr>
            <w:r>
              <w:rPr>
                <w:rFonts w:hint="eastAsia" w:ascii="仿宋_GB2312" w:hAnsi="仿宋" w:eastAsia="仿宋_GB2312"/>
                <w:szCs w:val="21"/>
              </w:rPr>
              <w:t>18</w:t>
            </w:r>
          </w:p>
        </w:tc>
        <w:tc>
          <w:tcPr>
            <w:tcW w:w="836"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20" w:firstLineChars="200"/>
              <w:jc w:val="left"/>
              <w:textAlignment w:val="center"/>
              <w:rPr>
                <w:rFonts w:ascii="仿宋_GB2312" w:hAnsi="仿宋" w:eastAsia="仿宋_GB2312"/>
                <w:szCs w:val="21"/>
              </w:rPr>
            </w:pPr>
          </w:p>
        </w:tc>
        <w:tc>
          <w:tcPr>
            <w:tcW w:w="846"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210" w:firstLineChars="100"/>
              <w:jc w:val="left"/>
              <w:textAlignment w:val="center"/>
              <w:rPr>
                <w:rFonts w:ascii="仿宋_GB2312" w:hAnsi="仿宋" w:eastAsia="仿宋_GB2312"/>
                <w:szCs w:val="21"/>
              </w:rPr>
            </w:pPr>
            <w:r>
              <w:rPr>
                <w:rFonts w:hint="eastAsia" w:ascii="仿宋_GB2312" w:hAnsi="仿宋" w:eastAsia="仿宋_GB2312"/>
                <w:szCs w:val="21"/>
              </w:rPr>
              <w:t>13</w:t>
            </w:r>
          </w:p>
        </w:tc>
        <w:tc>
          <w:tcPr>
            <w:tcW w:w="782"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20" w:firstLineChars="200"/>
              <w:jc w:val="left"/>
              <w:textAlignment w:val="center"/>
              <w:rPr>
                <w:rFonts w:ascii="仿宋_GB2312" w:hAnsi="仿宋" w:eastAsia="仿宋_GB2312"/>
                <w:szCs w:val="21"/>
              </w:rPr>
            </w:pPr>
            <w:r>
              <w:rPr>
                <w:rFonts w:hint="eastAsia" w:ascii="仿宋_GB2312" w:hAnsi="仿宋" w:eastAsia="仿宋_GB2312"/>
                <w:szCs w:val="21"/>
              </w:rPr>
              <w:t>8</w:t>
            </w:r>
          </w:p>
        </w:tc>
      </w:tr>
    </w:tbl>
    <w:p>
      <w:pPr>
        <w:jc w:val="center"/>
      </w:pPr>
    </w:p>
    <w:p/>
    <w:p>
      <w:pPr>
        <w:jc w:val="center"/>
        <w:rPr>
          <w:rFonts w:ascii="仿宋_GB2312" w:hAnsi="黑体" w:eastAsia="仿宋_GB2312"/>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柳州市青少年宫</w:t>
      </w:r>
      <w:r>
        <w:rPr>
          <w:rFonts w:hint="eastAsia" w:ascii="仿宋_GB2312" w:eastAsia="仿宋_GB2312"/>
          <w:b/>
          <w:sz w:val="32"/>
          <w:szCs w:val="32"/>
        </w:rPr>
        <w:t>2020年决算报表</w:t>
      </w:r>
    </w:p>
    <w:p>
      <w:pPr>
        <w:ind w:firstLine="3520" w:firstLineChars="1100"/>
        <w:jc w:val="both"/>
        <w:rPr>
          <w:rFonts w:ascii="仿宋_GB2312" w:hAnsi="黑体" w:eastAsia="仿宋_GB2312"/>
          <w:sz w:val="32"/>
          <w:szCs w:val="32"/>
        </w:rPr>
      </w:pPr>
      <w:r>
        <w:rPr>
          <w:rFonts w:hint="eastAsia" w:ascii="仿宋_GB2312" w:hAnsi="黑体" w:eastAsia="仿宋_GB2312"/>
          <w:sz w:val="32"/>
          <w:szCs w:val="32"/>
        </w:rPr>
        <w:t>详见附件</w:t>
      </w:r>
    </w:p>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柳州市青少年宫</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hAnsi="仿宋" w:eastAsia="仿宋_GB2312"/>
          <w:sz w:val="32"/>
          <w:szCs w:val="32"/>
        </w:rPr>
        <w:t>2020年度收入总计676.20万元，支出总计676.20万元，与2019年相比，收、支减少2.75万元，</w:t>
      </w:r>
      <w:r>
        <w:rPr>
          <w:rFonts w:hint="eastAsia" w:ascii="仿宋_GB2312" w:hAnsi="仿宋" w:eastAsia="仿宋_GB2312"/>
          <w:sz w:val="32"/>
          <w:szCs w:val="32"/>
          <w:lang w:val="en-US" w:eastAsia="zh-CN"/>
        </w:rPr>
        <w:t>下降</w:t>
      </w:r>
      <w:r>
        <w:rPr>
          <w:rFonts w:hint="eastAsia" w:ascii="仿宋_GB2312" w:hAnsi="仿宋" w:eastAsia="仿宋_GB2312"/>
          <w:sz w:val="32"/>
          <w:szCs w:val="32"/>
        </w:rPr>
        <w:t>0.41%。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本年收入总计676.20万元 ，其中：一般公共预算财政拨款收入</w:t>
      </w:r>
      <w:r>
        <w:rPr>
          <w:rFonts w:hint="eastAsia" w:ascii="仿宋_GB2312" w:eastAsia="仿宋_GB2312"/>
          <w:sz w:val="32"/>
          <w:szCs w:val="32"/>
        </w:rPr>
        <w:t>563.04万元</w:t>
      </w:r>
      <w:r>
        <w:rPr>
          <w:rFonts w:hint="eastAsia" w:ascii="仿宋_GB2312" w:eastAsia="仿宋_GB2312" w:cs="仿宋_GB2312"/>
          <w:bCs/>
          <w:kern w:val="0"/>
          <w:sz w:val="32"/>
          <w:szCs w:val="32"/>
        </w:rPr>
        <w:t>；占比83.26%；年初结转结余113.17万元；占比16.74%。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本年支出合计635.45万元，其中：基本支出</w:t>
      </w:r>
      <w:r>
        <w:rPr>
          <w:rFonts w:hint="eastAsia" w:ascii="仿宋_GB2312" w:eastAsia="仿宋_GB2312"/>
          <w:sz w:val="32"/>
          <w:szCs w:val="32"/>
        </w:rPr>
        <w:t>326.55</w:t>
      </w:r>
      <w:r>
        <w:rPr>
          <w:rFonts w:hint="eastAsia" w:ascii="仿宋_GB2312" w:eastAsia="仿宋_GB2312" w:cs="仿宋_GB2312"/>
          <w:bCs/>
          <w:kern w:val="0"/>
          <w:sz w:val="32"/>
          <w:szCs w:val="32"/>
        </w:rPr>
        <w:t>万元，占51.39%；项目支出</w:t>
      </w:r>
      <w:r>
        <w:rPr>
          <w:rFonts w:hint="eastAsia" w:ascii="仿宋_GB2312" w:eastAsia="仿宋_GB2312"/>
          <w:sz w:val="32"/>
          <w:szCs w:val="32"/>
        </w:rPr>
        <w:t>308.90</w:t>
      </w:r>
      <w:r>
        <w:rPr>
          <w:rFonts w:hint="eastAsia" w:ascii="仿宋_GB2312" w:eastAsia="仿宋_GB2312" w:cs="仿宋_GB2312"/>
          <w:bCs/>
          <w:kern w:val="0"/>
          <w:sz w:val="32"/>
          <w:szCs w:val="32"/>
        </w:rPr>
        <w:t>万元，占48.61%</w:t>
      </w:r>
      <w:r>
        <w:rPr>
          <w:rFonts w:hint="eastAsia" w:ascii="仿宋_GB2312" w:eastAsia="仿宋_GB2312"/>
          <w:sz w:val="32"/>
          <w:szCs w:val="32"/>
        </w:rPr>
        <w:t>。</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2020年度财政拨款收、支总决算642.06万元、642.06万元。与 2019 年相比，财政拨款收、支总计减少4.65万元，减少7.24%。</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2020年度财政拨款支出620.51万元，占本年支出合计的96.64%。与2019年相比，财政拨款支出增加68.02万元，增长10.96%。</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2020年度财政拨款支出620.51万元，主要用于以下方面：一般公共服务（类）支出538.09万元，占86.73%；社会保障和就业（类）支出46.71万元，占7.52%；卫生健康（类）支出10.33万元，占1.66%； 住房保障（类）支出25.39万元，占4.09%。</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2020年度财政拨款支出年初预算为557.26万元，支出决算为620.51万元，完成年初预算的111.35%。决算数大于预算数的主要原因：一是年中追加安排财政拨款支出预算，二是部分支出按规定，通过使用以前年度财政拨款结转资金解决。其中： </w:t>
      </w:r>
      <w:r>
        <w:rPr>
          <w:rFonts w:hint="eastAsia" w:ascii="仿宋_GB2312" w:eastAsia="仿宋_GB2312" w:cs="仿宋_GB2312"/>
          <w:bCs/>
          <w:kern w:val="0"/>
          <w:sz w:val="32"/>
          <w:szCs w:val="32"/>
          <w:lang w:val="en-US" w:eastAsia="zh-CN"/>
        </w:rPr>
        <w:t xml:space="preserve"> </w:t>
      </w:r>
    </w:p>
    <w:p>
      <w:pPr>
        <w:numPr>
          <w:ilvl w:val="0"/>
          <w:numId w:val="1"/>
        </w:numPr>
        <w:spacing w:line="54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一般公共服务（类）群众团体事务（款）事业运行（项）。 年初预算为199.48万元，支出决算为220.48万元，完成年初预算的110.53%。决算数大于预算数的主要原因是绩效工资总量和人员经费的增加、伙食补贴发放和上年度结转资金使用等。</w:t>
      </w:r>
    </w:p>
    <w:p>
      <w:pPr>
        <w:numPr>
          <w:ilvl w:val="0"/>
          <w:numId w:val="0"/>
        </w:numPr>
        <w:spacing w:line="540" w:lineRule="exact"/>
        <w:ind w:firstLine="640" w:firstLineChars="200"/>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2. </w:t>
      </w:r>
      <w:r>
        <w:rPr>
          <w:rFonts w:hint="eastAsia" w:ascii="仿宋_GB2312" w:eastAsia="仿宋_GB2312" w:cs="仿宋_GB2312"/>
          <w:bCs/>
          <w:kern w:val="0"/>
          <w:sz w:val="32"/>
          <w:szCs w:val="32"/>
        </w:rPr>
        <w:t>一般公共服务（类）群众团体事务（款）其他群众团体事务支出（项）。年初预算为275.71万元，支出决算为303.37万元，完成年初预算的110.03%。决算数大于预算数的主要原因是研学、教学宣传制作和推广费用增加，上年度结转资金使用等</w:t>
      </w:r>
      <w:r>
        <w:rPr>
          <w:rFonts w:hint="eastAsia" w:ascii="仿宋_GB2312" w:eastAsia="仿宋_GB2312" w:cs="仿宋_GB2312"/>
          <w:bCs/>
          <w:kern w:val="0"/>
          <w:sz w:val="32"/>
          <w:szCs w:val="32"/>
          <w:lang w:val="en-US" w:eastAsia="zh-CN"/>
        </w:rPr>
        <w:t>.</w:t>
      </w:r>
    </w:p>
    <w:p>
      <w:pPr>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 社会保障和就业支出（类）行政事业单位养老支出（款）行政单位离退休（项）。年初预算为0万元，支出决算为3万元。决算数大于预算数的主要原因是2020年度新增退休人员。</w:t>
      </w:r>
    </w:p>
    <w:p>
      <w:pPr>
        <w:spacing w:line="56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4. 社会保障和就业支出（类）行政事业单位养老支出（款)事业单位离退休（项）。年初预算为9.27万元，支出决算为9.27万元，完成年初预算的100%。决算数与预算数持平。</w:t>
      </w:r>
    </w:p>
    <w:p>
      <w:pPr>
        <w:ind w:firstLine="640" w:firstLineChars="200"/>
        <w:rPr>
          <w:rFonts w:ascii="仿宋" w:hAnsi="仿宋" w:eastAsia="仿宋" w:cs="仿宋"/>
          <w:sz w:val="30"/>
          <w:szCs w:val="30"/>
        </w:rPr>
      </w:pPr>
      <w:r>
        <w:rPr>
          <w:rFonts w:hint="eastAsia" w:ascii="仿宋_GB2312" w:eastAsia="仿宋_GB2312" w:cs="仿宋_GB2312"/>
          <w:bCs/>
          <w:kern w:val="0"/>
          <w:sz w:val="32"/>
          <w:szCs w:val="32"/>
        </w:rPr>
        <w:t>5. 社会保障和就业支出（类）行政事业单位养老支出（款）机关事业单位基本养老保险缴费支出（项）。年初预算为</w:t>
      </w:r>
      <w:r>
        <w:rPr>
          <w:rFonts w:hint="eastAsia" w:ascii="仿宋_GB2312" w:hAnsi="华文仿宋" w:eastAsia="仿宋_GB2312"/>
          <w:bCs/>
          <w:sz w:val="32"/>
          <w:szCs w:val="32"/>
        </w:rPr>
        <w:t>26.74</w:t>
      </w:r>
      <w:r>
        <w:rPr>
          <w:rFonts w:hint="eastAsia" w:ascii="仿宋_GB2312" w:eastAsia="仿宋_GB2312" w:cs="仿宋_GB2312"/>
          <w:bCs/>
          <w:kern w:val="0"/>
          <w:sz w:val="32"/>
          <w:szCs w:val="32"/>
        </w:rPr>
        <w:t>万元，支出决算为23.09万元，完成年初预算的86.35%。决算数小于预算数的主要原因是退休人员增加造成基本养老保险费用减少。</w:t>
      </w:r>
    </w:p>
    <w:p>
      <w:pPr>
        <w:ind w:firstLine="640" w:firstLineChars="200"/>
        <w:rPr>
          <w:rFonts w:ascii="仿宋" w:hAnsi="仿宋" w:eastAsia="仿宋" w:cs="仿宋"/>
          <w:sz w:val="30"/>
          <w:szCs w:val="30"/>
        </w:rPr>
      </w:pPr>
      <w:r>
        <w:rPr>
          <w:rFonts w:hint="eastAsia" w:ascii="仿宋_GB2312" w:eastAsia="仿宋_GB2312" w:cs="仿宋_GB2312"/>
          <w:bCs/>
          <w:kern w:val="0"/>
          <w:sz w:val="32"/>
          <w:szCs w:val="32"/>
        </w:rPr>
        <w:t>6. 社会保障和就业支出（类）行政事业单位养老支出（款）机关事业单位职业年金缴费支出（项）。年初预算为13.37万元，支出决算为11.34万元，完成年初预算的84.82%。决算数小于预算数的主要原因是退休人员增加造成职业年金费用减少。</w:t>
      </w:r>
    </w:p>
    <w:p>
      <w:pPr>
        <w:ind w:firstLine="640" w:firstLineChars="200"/>
        <w:rPr>
          <w:rFonts w:ascii="仿宋" w:hAnsi="仿宋" w:eastAsia="仿宋" w:cs="仿宋"/>
          <w:sz w:val="30"/>
          <w:szCs w:val="30"/>
        </w:rPr>
      </w:pPr>
      <w:r>
        <w:rPr>
          <w:rFonts w:hint="eastAsia" w:ascii="仿宋_GB2312" w:eastAsia="仿宋_GB2312" w:cs="仿宋_GB2312"/>
          <w:bCs/>
          <w:kern w:val="0"/>
          <w:sz w:val="32"/>
          <w:szCs w:val="32"/>
        </w:rPr>
        <w:t>7.</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卫生健康支出（类）行政事业单位医疗（款）事业单位医疗（项）。年初预算为12.64万元，支出决算为10.19万元，完成年初预算的80.62%。决算数小于预算数的主要原因是退休人员增加造成医疗费用减少。</w:t>
      </w:r>
    </w:p>
    <w:p>
      <w:pPr>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 卫生健康支出（类）行政事业单位医疗（款）其他行政事业单位医疗支出（项）。年初预算为0万元，支出决算为0.14万元。决算数大于预算数的主要原因是年终市财政局安排其他行政事业单位医疗支出经费。</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 住房保障支出（类）住房改革支出（款）住房公积金（项）。年初预算为</w:t>
      </w:r>
      <w:r>
        <w:rPr>
          <w:rFonts w:hint="eastAsia" w:ascii="仿宋_GB2312" w:hAnsi="华文仿宋" w:eastAsia="仿宋_GB2312"/>
          <w:bCs/>
          <w:sz w:val="32"/>
          <w:szCs w:val="32"/>
        </w:rPr>
        <w:t>20.05</w:t>
      </w:r>
      <w:r>
        <w:rPr>
          <w:rFonts w:hint="eastAsia" w:ascii="仿宋_GB2312" w:eastAsia="仿宋_GB2312" w:cs="仿宋_GB2312"/>
          <w:bCs/>
          <w:kern w:val="0"/>
          <w:sz w:val="32"/>
          <w:szCs w:val="32"/>
        </w:rPr>
        <w:t>万元，支出决算为25.29万元，完成年初预算的126.13%。决算数大于预算数的主要原因是市财政局年终安排增人增资住房公积金。</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 住房保障支出（类）住房改革支出（款）购房补贴（项）。年初预算为0万元，支出决算为0.01万元。决算数大于预算数的主要原因是年终市财政局安排购房补贴。</w:t>
      </w:r>
    </w:p>
    <w:p>
      <w:pPr>
        <w:autoSpaceDE w:val="0"/>
        <w:autoSpaceDN w:val="0"/>
        <w:adjustRightInd w:val="0"/>
        <w:spacing w:line="580" w:lineRule="exact"/>
        <w:ind w:firstLine="643" w:firstLineChars="200"/>
        <w:jc w:val="center"/>
        <w:rPr>
          <w:rFonts w:ascii="仿宋_GB2312" w:eastAsia="仿宋_GB2312" w:cs="仿宋_GB2312"/>
          <w:b/>
          <w:bCs w:val="0"/>
          <w:kern w:val="0"/>
          <w:sz w:val="32"/>
          <w:szCs w:val="32"/>
        </w:rPr>
      </w:pPr>
      <w:r>
        <w:rPr>
          <w:rFonts w:hint="eastAsia" w:ascii="仿宋_GB2312" w:eastAsia="仿宋_GB2312" w:cs="仿宋_GB2312"/>
          <w:b/>
          <w:bCs w:val="0"/>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2020年度财政拨款基本支出326.55万元，其中：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人员经费301.62万元，主要包括：基本工资、津贴补贴、 奖金、伙食补助费、绩效工资、机关事业单位基本养老保险缴费、职业年金缴费、职工基本医疗保险缴费、其他社会保障缴费、住房公积金、退休费等；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24.93万元，主要包括：办公费、印刷费、水费、电费、邮电费、物业管理费、差旅费、维修（护）费、租赁费、会议费、培训费、公务接待费、工会经费、福利费、公务用车运行维护费、其他交通费用、税金及附加费用、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3.53万元，支出决算为1.84万元，完成预算的52.12%，其中：因公出国（境）费支出决算为0万元，完成预算的0%；公务用车购置及运行费支出决算为1.62万元，完成预算的64.8%；公务接待费支出决算为0.22万元，完成预算的21.36%。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0.13万元，下降7.06%。其中：因公出国（境）费支出决算减少0万元，下降0%；公务用车购置及运行费支出决算减少0.02万元，下降1.23%；公务接待费支出决算减少0.09万元，下降10.71%。</w:t>
      </w:r>
    </w:p>
    <w:p>
      <w:pPr>
        <w:spacing w:line="520" w:lineRule="exact"/>
        <w:ind w:firstLine="709"/>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因公出国（境）费支出减少的主要原因是</w:t>
      </w:r>
      <w:r>
        <w:rPr>
          <w:rFonts w:hint="eastAsia" w:ascii="仿宋_GB2312" w:hAnsi="仿宋" w:eastAsia="仿宋_GB2312" w:cs="仿宋"/>
          <w:sz w:val="32"/>
          <w:szCs w:val="32"/>
        </w:rPr>
        <w:t>2020年上级单位没有安排因公出国（境）活动</w:t>
      </w:r>
      <w:r>
        <w:rPr>
          <w:rFonts w:hint="eastAsia" w:ascii="仿宋_GB2312" w:eastAsia="仿宋_GB2312" w:cs="仿宋_GB2312"/>
          <w:bCs/>
          <w:kern w:val="0"/>
          <w:sz w:val="32"/>
          <w:szCs w:val="32"/>
        </w:rPr>
        <w:t>；公务用车购置及运行费支出减少的主要原因是青少年宫进一步从严控制“三公”经费开支；公务接待费支出减少的主要原因是青少年宫进一步从严控制“三公”经费开支。</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2020年度“三公”经费财政拨款支出决算中，因公出国（境）费支出决算0万元，占0%；公务用车购置及运行费支出决算1.62万元，占88.04%；公务接待费支出决算0.22万元，占11.96%。具体情况如下：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 </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2.公务用车购置及运行费支出1.62万元。其中：公务用车购置支出为0万元。公务用车运行支出1.62万元。市内因公出行以及开展业务所需车辆燃料费、维修费、过桥过路费、保险费等。2020年，</w:t>
      </w:r>
      <w:r>
        <w:rPr>
          <w:rFonts w:hint="eastAsia" w:ascii="仿宋_GB2312" w:eastAsia="仿宋_GB2312" w:cs="仿宋_GB2312"/>
          <w:bCs/>
          <w:kern w:val="0"/>
          <w:sz w:val="32"/>
          <w:szCs w:val="32"/>
          <w:lang w:eastAsia="zh-CN"/>
        </w:rPr>
        <w:t>我</w:t>
      </w:r>
      <w:r>
        <w:rPr>
          <w:rFonts w:hint="eastAsia" w:ascii="仿宋_GB2312" w:eastAsia="仿宋_GB2312" w:cs="仿宋_GB2312"/>
          <w:bCs/>
          <w:kern w:val="0"/>
          <w:sz w:val="32"/>
          <w:szCs w:val="32"/>
        </w:rPr>
        <w:t>单位开支财政拨款的公务用车保有量为1辆。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3.公务接待费支出0.22万元。其中：</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外宾接待支出0万元。2020年共接待国（境）外来访团组0个、来访外宾0人次。</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国内公务接待支出0.22万元。主要用于接待外单位到我市考察调研、学习交流工作等公务活动。2020年共接待国内来访团组3个、来宾15人次。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 xml:space="preserve"> </w:t>
      </w:r>
      <w:r>
        <w:rPr>
          <w:rFonts w:hint="eastAsia" w:ascii="仿宋_GB2312" w:eastAsia="仿宋_GB2312" w:cs="仿宋_GB2312"/>
          <w:b/>
          <w:bCs w:val="0"/>
          <w:kern w:val="0"/>
          <w:sz w:val="32"/>
          <w:szCs w:val="32"/>
          <w:lang w:val="en-US" w:eastAsia="zh-CN"/>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 xml:space="preserve">2020年度政府性基金预算财政拨款收入支出决算情况说明 </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基金预算财政拨款收、支总决算0万元、0万元。与2019年相比，收、支总计持平。</w:t>
      </w:r>
    </w:p>
    <w:p>
      <w:pPr>
        <w:numPr>
          <w:ilvl w:val="0"/>
          <w:numId w:val="2"/>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十、2020年度预算绩效情况说明</w:t>
      </w:r>
    </w:p>
    <w:p>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根据财政预算管理要求，青少年宫组织对2020年度一般公共预算整体支出全面开展绩效自评。共涉及预算资金200万元，自评覆盖率达到年初预算的96%。</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p>
    <w:p>
      <w:pPr>
        <w:spacing w:line="60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青少年宫根据年初设定的整体绩效目标，项目自评得分为90.63分。发现的主要问题及原因：受新冠肺炎疫情影响，2020年不宜举行大型</w:t>
      </w:r>
      <w:r>
        <w:rPr>
          <w:rFonts w:hint="eastAsia" w:ascii="仿宋_GB2312" w:eastAsia="仿宋_GB2312" w:cs="仿宋_GB2312"/>
          <w:kern w:val="0"/>
          <w:sz w:val="32"/>
          <w:szCs w:val="32"/>
          <w:lang w:val="en-US" w:eastAsia="zh-CN"/>
        </w:rPr>
        <w:t>聚集</w:t>
      </w:r>
      <w:bookmarkStart w:id="0" w:name="_GoBack"/>
      <w:bookmarkEnd w:id="0"/>
      <w:r>
        <w:rPr>
          <w:rFonts w:hint="eastAsia" w:ascii="仿宋_GB2312" w:eastAsia="仿宋_GB2312" w:cs="仿宋_GB2312"/>
          <w:kern w:val="0"/>
          <w:sz w:val="32"/>
          <w:szCs w:val="32"/>
        </w:rPr>
        <w:t>性活动，柳州市青少年宫按照疫情防控要求，严格控制汇报演出规模及场数，在社会上的影响未能达到预期指标。下一步改进措施：积极开展汇报演出、研学活动，为青少年发展提供艺术平台，增强社会影响力。</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（一）机关运行经费支出情况。2020年度机关运行经费支出0万元，比2019年减少0万元，</w:t>
      </w:r>
      <w:r>
        <w:rPr>
          <w:rFonts w:hint="eastAsia" w:ascii="仿宋_GB2312" w:eastAsia="仿宋_GB2312" w:cs="仿宋_GB2312"/>
          <w:kern w:val="0"/>
          <w:sz w:val="32"/>
          <w:szCs w:val="32"/>
          <w:lang w:val="en-US" w:eastAsia="zh-CN"/>
        </w:rPr>
        <w:t>下降</w:t>
      </w:r>
      <w:r>
        <w:rPr>
          <w:rFonts w:hint="eastAsia" w:ascii="仿宋_GB2312" w:eastAsia="仿宋_GB2312" w:cs="仿宋_GB2312"/>
          <w:kern w:val="0"/>
          <w:sz w:val="32"/>
          <w:szCs w:val="32"/>
        </w:rPr>
        <w:t>0%</w:t>
      </w:r>
      <w:r>
        <w:rPr>
          <w:rFonts w:hint="eastAsia" w:ascii="仿宋_GB2312" w:eastAsia="仿宋_GB2312" w:cs="仿宋_GB2312"/>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hAnsi="仿宋" w:eastAsia="仿宋_GB2312" w:cs="仿宋"/>
          <w:bCs/>
          <w:sz w:val="32"/>
          <w:szCs w:val="32"/>
        </w:rPr>
        <w:t>1.66</w:t>
      </w:r>
      <w:r>
        <w:rPr>
          <w:rFonts w:hint="eastAsia" w:ascii="仿宋_GB2312" w:eastAsia="仿宋_GB2312" w:cs="仿宋_GB2312"/>
          <w:kern w:val="0"/>
          <w:sz w:val="32"/>
          <w:szCs w:val="32"/>
        </w:rPr>
        <w:t>万元，其中：</w:t>
      </w:r>
      <w:r>
        <w:rPr>
          <w:rFonts w:hint="eastAsia" w:ascii="仿宋_GB2312" w:hAnsi="仿宋" w:eastAsia="仿宋_GB2312" w:cs="仿宋"/>
          <w:bCs/>
          <w:sz w:val="32"/>
          <w:szCs w:val="32"/>
        </w:rPr>
        <w:t>货物支出1.66万元。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共有车辆1辆，其中：公务用车1辆。单价50万元以上通用设备0台（套），单价100 万元以上专用设备0台（套）。 </w:t>
      </w:r>
    </w:p>
    <w:p>
      <w:pPr>
        <w:ind w:firstLine="645"/>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0"/>
        </w:numPr>
        <w:ind w:firstLine="640" w:firstLineChars="200"/>
        <w:rPr>
          <w:rFonts w:ascii="仿宋_GB2312" w:eastAsia="仿宋_GB2312"/>
          <w:bCs/>
          <w:sz w:val="32"/>
          <w:szCs w:val="32"/>
        </w:rPr>
      </w:pPr>
      <w:r>
        <w:rPr>
          <w:rFonts w:hint="eastAsia" w:ascii="仿宋_GB2312" w:eastAsia="仿宋_GB2312"/>
          <w:bCs/>
          <w:sz w:val="32"/>
          <w:szCs w:val="32"/>
          <w:lang w:val="en-US" w:eastAsia="zh-CN"/>
        </w:rPr>
        <w:t>一、</w:t>
      </w:r>
      <w:r>
        <w:rPr>
          <w:rFonts w:hint="eastAsia" w:ascii="仿宋_GB2312" w:eastAsia="仿宋_GB2312"/>
          <w:bCs/>
          <w:sz w:val="32"/>
          <w:szCs w:val="32"/>
        </w:rPr>
        <w:t>财政拨款收入：指市本级财政当年拨付的资金。</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ascii="仿宋_GB2312" w:eastAsia="仿宋_GB2312"/>
          <w:bCs/>
          <w:sz w:val="32"/>
          <w:szCs w:val="32"/>
        </w:rPr>
      </w:pPr>
      <w:r>
        <w:rPr>
          <w:rFonts w:hint="eastAsia" w:ascii="仿宋_GB2312" w:eastAsia="仿宋_GB2312"/>
          <w:bCs/>
          <w:sz w:val="32"/>
          <w:szCs w:val="32"/>
          <w:lang w:val="en-US" w:eastAsia="zh-CN"/>
        </w:rPr>
        <w:t>二、</w:t>
      </w:r>
      <w:r>
        <w:rPr>
          <w:rFonts w:hint="eastAsia" w:ascii="仿宋_GB2312" w:eastAsia="仿宋_GB2312"/>
          <w:bCs/>
          <w:sz w:val="32"/>
          <w:szCs w:val="32"/>
        </w:rPr>
        <w:t>事业收入：指事业单位开展专业活动用辅助活动所取得的收入。</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left"/>
        <w:textAlignment w:val="auto"/>
        <w:rPr>
          <w:rFonts w:ascii="仿宋_GB2312" w:eastAsia="仿宋_GB2312"/>
          <w:bCs/>
          <w:sz w:val="32"/>
          <w:szCs w:val="32"/>
        </w:rPr>
      </w:pPr>
      <w:r>
        <w:rPr>
          <w:rFonts w:hint="eastAsia" w:ascii="仿宋_GB2312" w:eastAsia="仿宋_GB2312"/>
          <w:bCs/>
          <w:sz w:val="32"/>
          <w:szCs w:val="32"/>
          <w:lang w:val="en-US" w:eastAsia="zh-CN"/>
        </w:rPr>
        <w:t>三、</w:t>
      </w:r>
      <w:r>
        <w:rPr>
          <w:rFonts w:hint="eastAsia" w:ascii="仿宋_GB2312" w:eastAsia="仿宋_GB2312"/>
          <w:bCs/>
          <w:sz w:val="32"/>
          <w:szCs w:val="32"/>
        </w:rPr>
        <w:t>经营收入：指事业单位在专业业务活动及辅助活动之外开展非独立核算经营活动取得的收入。</w:t>
      </w:r>
    </w:p>
    <w:p>
      <w:pPr>
        <w:numPr>
          <w:ilvl w:val="0"/>
          <w:numId w:val="0"/>
        </w:num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四、</w:t>
      </w:r>
      <w:r>
        <w:rPr>
          <w:rFonts w:hint="eastAsia" w:ascii="仿宋_GB2312" w:eastAsia="仿宋_GB2312"/>
          <w:bCs/>
          <w:sz w:val="32"/>
          <w:szCs w:val="32"/>
        </w:rPr>
        <w:t>其他收入：指除上述“财政拨款收入”、“事业收入”、“经营收入”等以外的收入。主要是利息收入。</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en-US" w:eastAsia="zh-CN"/>
        </w:rPr>
        <w:t>五、</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ascii="仿宋_GB2312" w:eastAsia="仿宋_GB2312"/>
          <w:bCs/>
          <w:sz w:val="32"/>
          <w:szCs w:val="32"/>
        </w:rPr>
      </w:pPr>
    </w:p>
    <w:p>
      <w:pPr>
        <w:numPr>
          <w:ilvl w:val="0"/>
          <w:numId w:val="0"/>
        </w:numPr>
        <w:ind w:firstLine="640" w:firstLineChars="200"/>
        <w:rPr>
          <w:rFonts w:ascii="仿宋_GB2312" w:eastAsia="仿宋_GB2312"/>
          <w:bCs/>
          <w:sz w:val="32"/>
          <w:szCs w:val="32"/>
        </w:rPr>
      </w:pPr>
      <w:r>
        <w:rPr>
          <w:rFonts w:hint="eastAsia" w:ascii="仿宋_GB2312" w:eastAsia="仿宋_GB2312"/>
          <w:bCs/>
          <w:sz w:val="32"/>
          <w:szCs w:val="32"/>
          <w:lang w:val="en-US" w:eastAsia="zh-CN"/>
        </w:rPr>
        <w:t>六、</w:t>
      </w:r>
      <w:r>
        <w:rPr>
          <w:rFonts w:hint="eastAsia" w:ascii="仿宋_GB2312" w:eastAsia="仿宋_GB2312"/>
          <w:bCs/>
          <w:sz w:val="32"/>
          <w:szCs w:val="32"/>
        </w:rPr>
        <w:t>年初结转和结余：指以前年度尚未完成、结转到本年按规定继续使用的资金。</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en-US" w:eastAsia="zh-CN"/>
        </w:rPr>
        <w:t>七、</w:t>
      </w: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0"/>
        </w:numPr>
        <w:ind w:firstLine="640" w:firstLineChars="200"/>
        <w:rPr>
          <w:rFonts w:ascii="仿宋_GB2312" w:eastAsia="仿宋_GB2312"/>
          <w:bCs/>
          <w:sz w:val="32"/>
          <w:szCs w:val="32"/>
        </w:rPr>
      </w:pPr>
      <w:r>
        <w:rPr>
          <w:rFonts w:hint="eastAsia" w:ascii="仿宋_GB2312" w:eastAsia="仿宋_GB2312"/>
          <w:bCs/>
          <w:sz w:val="32"/>
          <w:szCs w:val="32"/>
          <w:lang w:val="en-US" w:eastAsia="zh-CN"/>
        </w:rPr>
        <w:t>八、</w:t>
      </w: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0"/>
        </w:numPr>
        <w:ind w:firstLine="640" w:firstLineChars="200"/>
        <w:rPr>
          <w:rFonts w:ascii="仿宋_GB2312" w:eastAsia="仿宋_GB2312"/>
          <w:bCs/>
          <w:sz w:val="32"/>
          <w:szCs w:val="32"/>
        </w:rPr>
      </w:pPr>
      <w:r>
        <w:rPr>
          <w:rFonts w:hint="eastAsia" w:ascii="仿宋_GB2312" w:eastAsia="仿宋_GB2312"/>
          <w:bCs/>
          <w:sz w:val="32"/>
          <w:szCs w:val="32"/>
          <w:lang w:val="en-US" w:eastAsia="zh-CN"/>
        </w:rPr>
        <w:t>九、</w:t>
      </w:r>
      <w:r>
        <w:rPr>
          <w:rFonts w:hint="eastAsia" w:ascii="仿宋_GB2312" w:eastAsia="仿宋_GB2312"/>
          <w:bCs/>
          <w:sz w:val="32"/>
          <w:szCs w:val="32"/>
        </w:rPr>
        <w:t>基本支出：指为保障机构正常运转、完成日常工作任务而发生的人员支出和公用支出。</w:t>
      </w:r>
    </w:p>
    <w:p>
      <w:pPr>
        <w:numPr>
          <w:ilvl w:val="0"/>
          <w:numId w:val="0"/>
        </w:num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十、</w:t>
      </w:r>
      <w:r>
        <w:rPr>
          <w:rFonts w:hint="eastAsia" w:ascii="仿宋_GB2312" w:eastAsia="仿宋_GB2312"/>
          <w:bCs/>
          <w:sz w:val="32"/>
          <w:szCs w:val="32"/>
        </w:rPr>
        <w:t>项目支出：指在基本支出之外为完成特定行政任务和事业发展目标所发生的支出。</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en-US" w:eastAsia="zh-CN"/>
        </w:rPr>
        <w:t>十一、</w:t>
      </w:r>
      <w:r>
        <w:rPr>
          <w:rFonts w:hint="eastAsia" w:ascii="仿宋_GB2312" w:eastAsia="仿宋_GB2312"/>
          <w:bCs/>
          <w:sz w:val="32"/>
          <w:szCs w:val="32"/>
        </w:rPr>
        <w:t>经营支出：指事业单位在专业业务活动及其辅助活动之外开展非独立核算经营活动发生的支出。</w:t>
      </w:r>
    </w:p>
    <w:p>
      <w:pPr>
        <w:numPr>
          <w:ilvl w:val="0"/>
          <w:numId w:val="0"/>
        </w:num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十二、</w:t>
      </w: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sz w:val="32"/>
          <w:szCs w:val="32"/>
        </w:rPr>
      </w:pPr>
      <w:r>
        <w:rPr>
          <w:rFonts w:hint="eastAsia" w:ascii="仿宋_GB2312" w:eastAsia="仿宋_GB2312"/>
          <w:bCs/>
          <w:sz w:val="32"/>
          <w:szCs w:val="32"/>
          <w:lang w:val="en-US" w:eastAsia="zh-CN"/>
        </w:rPr>
        <w:t>十三、</w:t>
      </w: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0"/>
        </w:numPr>
        <w:ind w:firstLine="640" w:firstLineChars="200"/>
        <w:rPr>
          <w:rFonts w:hint="eastAsia" w:ascii="仿宋_GB2312" w:eastAsia="仿宋_GB2312"/>
          <w:bCs/>
          <w:sz w:val="32"/>
          <w:szCs w:val="32"/>
        </w:rPr>
      </w:pPr>
    </w:p>
    <w:p>
      <w:pPr>
        <w:rPr>
          <w:rFonts w:ascii="仿宋_GB2312" w:eastAsia="仿宋_GB2312"/>
          <w:bCs/>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C0C3C26"/>
    <w:multiLevelType w:val="singleLevel"/>
    <w:tmpl w:val="5C0C3C26"/>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66CA3"/>
    <w:rsid w:val="006C1367"/>
    <w:rsid w:val="00715385"/>
    <w:rsid w:val="008C672A"/>
    <w:rsid w:val="00C775DA"/>
    <w:rsid w:val="00D94B6C"/>
    <w:rsid w:val="00F66C5B"/>
    <w:rsid w:val="05732DDF"/>
    <w:rsid w:val="0732011F"/>
    <w:rsid w:val="09617C18"/>
    <w:rsid w:val="09DD39B5"/>
    <w:rsid w:val="0A370509"/>
    <w:rsid w:val="0C435240"/>
    <w:rsid w:val="0C585F1A"/>
    <w:rsid w:val="0C713661"/>
    <w:rsid w:val="0C8D333A"/>
    <w:rsid w:val="0CB65929"/>
    <w:rsid w:val="0E074DDF"/>
    <w:rsid w:val="0E4937C0"/>
    <w:rsid w:val="0E804850"/>
    <w:rsid w:val="0EF86CA1"/>
    <w:rsid w:val="124204B5"/>
    <w:rsid w:val="157E4D03"/>
    <w:rsid w:val="17E46BA4"/>
    <w:rsid w:val="182962AB"/>
    <w:rsid w:val="185D28B5"/>
    <w:rsid w:val="192F21C9"/>
    <w:rsid w:val="19395C4C"/>
    <w:rsid w:val="19D073EB"/>
    <w:rsid w:val="1BDC35F1"/>
    <w:rsid w:val="1C1C66F6"/>
    <w:rsid w:val="1CC31F67"/>
    <w:rsid w:val="1CDC55A5"/>
    <w:rsid w:val="1DA056FC"/>
    <w:rsid w:val="207B073C"/>
    <w:rsid w:val="21B46302"/>
    <w:rsid w:val="2494767B"/>
    <w:rsid w:val="24D337DC"/>
    <w:rsid w:val="26460DBA"/>
    <w:rsid w:val="26F13632"/>
    <w:rsid w:val="27A95686"/>
    <w:rsid w:val="2B1F42CC"/>
    <w:rsid w:val="2B6F74EB"/>
    <w:rsid w:val="2C4219FE"/>
    <w:rsid w:val="2CC42743"/>
    <w:rsid w:val="2DE30186"/>
    <w:rsid w:val="2E385623"/>
    <w:rsid w:val="2F5E3AB5"/>
    <w:rsid w:val="313B05E1"/>
    <w:rsid w:val="31492785"/>
    <w:rsid w:val="33277736"/>
    <w:rsid w:val="33AC3853"/>
    <w:rsid w:val="34020F86"/>
    <w:rsid w:val="350C547C"/>
    <w:rsid w:val="351544C3"/>
    <w:rsid w:val="36837B72"/>
    <w:rsid w:val="37A858BA"/>
    <w:rsid w:val="38B609B4"/>
    <w:rsid w:val="38E122A9"/>
    <w:rsid w:val="39A63F06"/>
    <w:rsid w:val="3A624040"/>
    <w:rsid w:val="3A754C5E"/>
    <w:rsid w:val="3BF52471"/>
    <w:rsid w:val="3D121C40"/>
    <w:rsid w:val="3ED1439F"/>
    <w:rsid w:val="3EFF538C"/>
    <w:rsid w:val="403977E9"/>
    <w:rsid w:val="481802F7"/>
    <w:rsid w:val="48374EDC"/>
    <w:rsid w:val="491405DB"/>
    <w:rsid w:val="49226441"/>
    <w:rsid w:val="4A087F7E"/>
    <w:rsid w:val="4ACD0A20"/>
    <w:rsid w:val="4B5E56A0"/>
    <w:rsid w:val="4BEF6D91"/>
    <w:rsid w:val="4C256E3D"/>
    <w:rsid w:val="4CB52F0F"/>
    <w:rsid w:val="4D134BA2"/>
    <w:rsid w:val="4ECD60CE"/>
    <w:rsid w:val="508000CA"/>
    <w:rsid w:val="52A5205D"/>
    <w:rsid w:val="532F1F9A"/>
    <w:rsid w:val="53B5699A"/>
    <w:rsid w:val="55376345"/>
    <w:rsid w:val="58A3486B"/>
    <w:rsid w:val="5BDF6EAF"/>
    <w:rsid w:val="5E995A3E"/>
    <w:rsid w:val="60501A93"/>
    <w:rsid w:val="62163194"/>
    <w:rsid w:val="621C6B2B"/>
    <w:rsid w:val="624D024D"/>
    <w:rsid w:val="63775CFD"/>
    <w:rsid w:val="6397497F"/>
    <w:rsid w:val="63A71EEB"/>
    <w:rsid w:val="64E65191"/>
    <w:rsid w:val="650E086A"/>
    <w:rsid w:val="65540E38"/>
    <w:rsid w:val="672252FF"/>
    <w:rsid w:val="69B44F51"/>
    <w:rsid w:val="69B474BC"/>
    <w:rsid w:val="6BAA0708"/>
    <w:rsid w:val="6C9F6C1F"/>
    <w:rsid w:val="6DCE2527"/>
    <w:rsid w:val="75AF2CD5"/>
    <w:rsid w:val="76E709FE"/>
    <w:rsid w:val="770D2422"/>
    <w:rsid w:val="777A3C38"/>
    <w:rsid w:val="779547A3"/>
    <w:rsid w:val="77AC12B7"/>
    <w:rsid w:val="7845703B"/>
    <w:rsid w:val="79306262"/>
    <w:rsid w:val="7C202E34"/>
    <w:rsid w:val="7E1A64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A"/>
    <w:basedOn w:val="1"/>
    <w:qFormat/>
    <w:uiPriority w:val="0"/>
    <w:pPr>
      <w:ind w:left="210" w:leftChars="100" w:right="100" w:rightChars="100"/>
    </w:pPr>
    <w:rPr>
      <w:rFonts w:ascii="微软雅黑" w:hAnsi="微软雅黑" w:eastAsia="微软雅黑"/>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4683</Words>
  <Characters>5219</Characters>
  <Lines>37</Lines>
  <Paragraphs>10</Paragraphs>
  <TotalTime>3</TotalTime>
  <ScaleCrop>false</ScaleCrop>
  <LinksUpToDate>false</LinksUpToDate>
  <CharactersWithSpaces>5307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2021-08-17T05:52:00Z</cp:lastPrinted>
  <dcterms:modified xsi:type="dcterms:W3CDTF">2022-10-21T03:00:49Z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328AA43763C5474B8F3D6F11741E7C24</vt:lpwstr>
  </property>
</Properties>
</file>