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000000" w:themeColor="text1"/>
          <w:kern w:val="0"/>
          <w:sz w:val="32"/>
          <w:szCs w:val="32"/>
          <w14:textFill>
            <w14:solidFill>
              <w14:schemeClr w14:val="tx1"/>
            </w14:solidFill>
          </w14:textFill>
        </w:rPr>
      </w:pPr>
    </w:p>
    <w:p>
      <w:pPr>
        <w:rPr>
          <w:rFonts w:ascii="黑体" w:eastAsia="黑体" w:cs="ArialUnicodeMS"/>
          <w:color w:val="000000" w:themeColor="text1"/>
          <w:kern w:val="0"/>
          <w:sz w:val="72"/>
          <w:szCs w:val="72"/>
          <w14:textFill>
            <w14:solidFill>
              <w14:schemeClr w14:val="tx1"/>
            </w14:solidFill>
          </w14:textFill>
        </w:rPr>
      </w:pPr>
    </w:p>
    <w:p>
      <w:pPr>
        <w:rPr>
          <w:rFonts w:ascii="黑体" w:eastAsia="黑体" w:cs="ArialUnicodeMS"/>
          <w:color w:val="000000" w:themeColor="text1"/>
          <w:kern w:val="0"/>
          <w:sz w:val="72"/>
          <w:szCs w:val="72"/>
          <w14:textFill>
            <w14:solidFill>
              <w14:schemeClr w14:val="tx1"/>
            </w14:solidFill>
          </w14:textFill>
        </w:rPr>
      </w:pPr>
    </w:p>
    <w:p>
      <w:pPr>
        <w:jc w:val="center"/>
        <w:rPr>
          <w:rFonts w:ascii="黑体" w:hAnsi="黑体" w:eastAsia="黑体"/>
          <w:bCs/>
          <w:color w:val="000000" w:themeColor="text1"/>
          <w:sz w:val="52"/>
          <w:szCs w:val="52"/>
          <w14:textFill>
            <w14:solidFill>
              <w14:schemeClr w14:val="tx1"/>
            </w14:solidFill>
          </w14:textFill>
        </w:rPr>
      </w:pPr>
      <w:r>
        <w:rPr>
          <w:rFonts w:hint="eastAsia" w:ascii="黑体" w:eastAsia="黑体" w:cs="ArialUnicodeMS"/>
          <w:color w:val="000000" w:themeColor="text1"/>
          <w:kern w:val="0"/>
          <w:sz w:val="52"/>
          <w:szCs w:val="52"/>
          <w14:textFill>
            <w14:solidFill>
              <w14:schemeClr w14:val="tx1"/>
            </w14:solidFill>
          </w14:textFill>
        </w:rPr>
        <w:t>柳州市龙怀水库管理所</w:t>
      </w:r>
    </w:p>
    <w:p>
      <w:pPr>
        <w:jc w:val="center"/>
        <w:rPr>
          <w:rFonts w:ascii="黑体" w:eastAsia="黑体" w:cs="ArialUnicodeMS"/>
          <w:color w:val="000000" w:themeColor="text1"/>
          <w:kern w:val="0"/>
          <w:sz w:val="52"/>
          <w:szCs w:val="52"/>
          <w14:textFill>
            <w14:solidFill>
              <w14:schemeClr w14:val="tx1"/>
            </w14:solidFill>
          </w14:textFill>
        </w:rPr>
      </w:pPr>
      <w:r>
        <w:rPr>
          <w:rFonts w:hint="eastAsia" w:ascii="黑体" w:eastAsia="黑体"/>
          <w:color w:val="000000" w:themeColor="text1"/>
          <w:kern w:val="0"/>
          <w:sz w:val="52"/>
          <w:szCs w:val="52"/>
          <w14:textFill>
            <w14:solidFill>
              <w14:schemeClr w14:val="tx1"/>
            </w14:solidFill>
          </w14:textFill>
        </w:rPr>
        <w:t>2020</w:t>
      </w:r>
      <w:r>
        <w:rPr>
          <w:rFonts w:hint="eastAsia" w:ascii="黑体" w:eastAsia="黑体" w:cs="ArialUnicodeMS"/>
          <w:color w:val="000000" w:themeColor="text1"/>
          <w:kern w:val="0"/>
          <w:sz w:val="52"/>
          <w:szCs w:val="52"/>
          <w14:textFill>
            <w14:solidFill>
              <w14:schemeClr w14:val="tx1"/>
            </w14:solidFill>
          </w14:textFill>
        </w:rPr>
        <w:t>年度决算</w:t>
      </w: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ArialUnicodeMS" w:eastAsia="ArialUnicodeMS" w:cs="ArialUnicodeMS"/>
          <w:color w:val="000000" w:themeColor="text1"/>
          <w:kern w:val="0"/>
          <w:sz w:val="84"/>
          <w:szCs w:val="84"/>
          <w14:textFill>
            <w14:solidFill>
              <w14:schemeClr w14:val="tx1"/>
            </w14:solidFill>
          </w14:textFill>
        </w:rPr>
      </w:pPr>
    </w:p>
    <w:p>
      <w:pPr>
        <w:rPr>
          <w:rFonts w:ascii="黑体" w:eastAsia="黑体" w:cs="黑体"/>
          <w:color w:val="000000" w:themeColor="text1"/>
          <w:kern w:val="0"/>
          <w:sz w:val="44"/>
          <w:szCs w:val="44"/>
          <w14:textFill>
            <w14:solidFill>
              <w14:schemeClr w14:val="tx1"/>
            </w14:solidFill>
          </w14:textFill>
        </w:rPr>
      </w:pPr>
    </w:p>
    <w:p>
      <w:pPr>
        <w:ind w:firstLine="646"/>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目    录</w:t>
      </w:r>
    </w:p>
    <w:p>
      <w:pPr>
        <w:ind w:firstLine="645"/>
        <w:rPr>
          <w:rFonts w:ascii="仿宋_GB2312" w:eastAsia="仿宋_GB2312"/>
          <w:b/>
          <w:color w:val="000000" w:themeColor="text1"/>
          <w:sz w:val="32"/>
          <w:szCs w:val="32"/>
          <w14:textFill>
            <w14:solidFill>
              <w14:schemeClr w14:val="tx1"/>
            </w14:solidFill>
          </w14:textFill>
        </w:rPr>
      </w:pPr>
    </w:p>
    <w:p>
      <w:pPr>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第一部分：</w:t>
      </w:r>
      <w:r>
        <w:rPr>
          <w:rFonts w:hint="eastAsia" w:ascii="仿宋_GB2312" w:hAnsi="黑体" w:eastAsia="仿宋_GB2312"/>
          <w:b/>
          <w:bCs/>
          <w:color w:val="000000" w:themeColor="text1"/>
          <w:sz w:val="32"/>
          <w:szCs w:val="32"/>
          <w:u w:val="single"/>
          <w14:textFill>
            <w14:solidFill>
              <w14:schemeClr w14:val="tx1"/>
            </w14:solidFill>
          </w14:textFill>
        </w:rPr>
        <w:t>柳州市龙怀水库管理所</w:t>
      </w:r>
      <w:r>
        <w:rPr>
          <w:rFonts w:hint="eastAsia" w:ascii="仿宋_GB2312" w:eastAsia="仿宋_GB2312"/>
          <w:b/>
          <w:color w:val="000000" w:themeColor="text1"/>
          <w:sz w:val="32"/>
          <w:szCs w:val="32"/>
          <w14:textFill>
            <w14:solidFill>
              <w14:schemeClr w14:val="tx1"/>
            </w14:solidFill>
          </w14:textFill>
        </w:rPr>
        <w:t>概况</w:t>
      </w:r>
    </w:p>
    <w:p>
      <w:pPr>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二、部门决算单位构成</w:t>
      </w:r>
    </w:p>
    <w:p>
      <w:pPr>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第二部分：</w:t>
      </w:r>
      <w:r>
        <w:rPr>
          <w:rFonts w:hint="eastAsia" w:ascii="仿宋_GB2312" w:hAnsi="黑体" w:eastAsia="仿宋_GB2312"/>
          <w:b/>
          <w:bCs/>
          <w:color w:val="000000" w:themeColor="text1"/>
          <w:sz w:val="32"/>
          <w:szCs w:val="32"/>
          <w:u w:val="single"/>
          <w14:textFill>
            <w14:solidFill>
              <w14:schemeClr w14:val="tx1"/>
            </w14:solidFill>
          </w14:textFill>
        </w:rPr>
        <w:t>柳州市龙怀水库管理所</w:t>
      </w:r>
      <w:r>
        <w:rPr>
          <w:rFonts w:hint="eastAsia" w:ascii="仿宋_GB2312" w:eastAsia="仿宋_GB2312"/>
          <w:b/>
          <w:color w:val="000000" w:themeColor="text1"/>
          <w:sz w:val="32"/>
          <w:szCs w:val="32"/>
          <w14:textFill>
            <w14:solidFill>
              <w14:schemeClr w14:val="tx1"/>
            </w14:solidFill>
          </w14:textFill>
        </w:rPr>
        <w:t>2020年单位决算报表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表一：收入支出决算总表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表二：收入决算表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表三：支出决算表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表四：财政拨款收入支出决算总表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表五：一般公共预算财政拨款支出决算表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表六：一般公共预算财政拨款基本支出决算表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表七：一般公共预算财政拨款安排的“</w:t>
      </w:r>
      <w:r>
        <w:rPr>
          <w:rFonts w:ascii="仿宋_GB2312" w:eastAsia="仿宋_GB2312"/>
          <w:color w:val="000000" w:themeColor="text1"/>
          <w:sz w:val="32"/>
          <w:szCs w:val="32"/>
          <w14:textFill>
            <w14:solidFill>
              <w14:schemeClr w14:val="tx1"/>
            </w14:solidFill>
          </w14:textFill>
        </w:rPr>
        <w:t>三公</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14:textFill>
            <w14:solidFill>
              <w14:schemeClr w14:val="tx1"/>
            </w14:solidFill>
          </w14:textFill>
        </w:rPr>
        <w:t>支出决算表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表八：政府性基金</w:t>
      </w:r>
      <w:r>
        <w:rPr>
          <w:rFonts w:hint="eastAsia" w:ascii="仿宋_GB2312" w:hAnsi="黑体" w:eastAsia="仿宋_GB2312"/>
          <w:color w:val="000000" w:themeColor="text1"/>
          <w:sz w:val="32"/>
          <w:szCs w:val="32"/>
          <w14:textFill>
            <w14:solidFill>
              <w14:schemeClr w14:val="tx1"/>
            </w14:solidFill>
          </w14:textFill>
        </w:rPr>
        <w:t>预算财政拨款</w:t>
      </w:r>
      <w:r>
        <w:rPr>
          <w:rFonts w:hint="eastAsia" w:ascii="仿宋_GB2312" w:eastAsia="仿宋_GB2312"/>
          <w:color w:val="000000" w:themeColor="text1"/>
          <w:sz w:val="32"/>
          <w:szCs w:val="32"/>
          <w14:textFill>
            <w14:solidFill>
              <w14:schemeClr w14:val="tx1"/>
            </w14:solidFill>
          </w14:textFill>
        </w:rPr>
        <w:t>收入支出决算表</w:t>
      </w:r>
    </w:p>
    <w:p>
      <w:pPr>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表九：国有资本经营预算财政拨款支出决算表</w:t>
      </w:r>
    </w:p>
    <w:p>
      <w:pPr>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第三部分：</w:t>
      </w:r>
      <w:r>
        <w:rPr>
          <w:rFonts w:hint="eastAsia" w:ascii="仿宋_GB2312" w:hAnsi="黑体" w:eastAsia="仿宋_GB2312"/>
          <w:b/>
          <w:bCs/>
          <w:color w:val="000000" w:themeColor="text1"/>
          <w:sz w:val="32"/>
          <w:szCs w:val="32"/>
          <w:u w:val="single"/>
          <w14:textFill>
            <w14:solidFill>
              <w14:schemeClr w14:val="tx1"/>
            </w14:solidFill>
          </w14:textFill>
        </w:rPr>
        <w:t>柳州市龙怀水库管理所</w:t>
      </w:r>
      <w:r>
        <w:rPr>
          <w:rFonts w:hint="eastAsia" w:ascii="仿宋_GB2312" w:eastAsia="仿宋_GB2312"/>
          <w:b/>
          <w:color w:val="000000" w:themeColor="text1"/>
          <w:sz w:val="32"/>
          <w:szCs w:val="32"/>
          <w14:textFill>
            <w14:solidFill>
              <w14:schemeClr w14:val="tx1"/>
            </w14:solidFill>
          </w14:textFill>
        </w:rPr>
        <w:t>2020年度单位决算情况说明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年度收入支出决算总体情况。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年度收入决算情况。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四、</w:t>
      </w:r>
      <w:r>
        <w:rPr>
          <w:rFonts w:hint="eastAsia" w:eastAsia="仿宋_GB2312"/>
          <w:color w:val="000000" w:themeColor="text1"/>
          <w:kern w:val="0"/>
          <w:sz w:val="32"/>
          <w:szCs w:val="32"/>
          <w14:textFill>
            <w14:solidFill>
              <w14:schemeClr w14:val="tx1"/>
            </w14:solidFill>
          </w14:textFill>
        </w:rPr>
        <w:t>2020</w:t>
      </w:r>
      <w:r>
        <w:rPr>
          <w:rFonts w:hint="eastAsia" w:ascii="仿宋_GB2312" w:eastAsia="仿宋_GB2312" w:cs="仿宋_GB2312"/>
          <w:color w:val="000000" w:themeColor="text1"/>
          <w:kern w:val="0"/>
          <w:sz w:val="32"/>
          <w:szCs w:val="32"/>
          <w14:textFill>
            <w14:solidFill>
              <w14:schemeClr w14:val="tx1"/>
            </w14:solidFill>
          </w14:textFill>
        </w:rPr>
        <w:t>年度财政拨款收入支出决算情况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五、</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年度一般公共预算财政拨款支出决算情况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六、</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七、</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八、</w:t>
      </w:r>
      <w:r>
        <w:rPr>
          <w:rFonts w:hint="eastAsia" w:eastAsia="仿宋_GB2312"/>
          <w:color w:val="000000" w:themeColor="text1"/>
          <w:kern w:val="0"/>
          <w:sz w:val="32"/>
          <w:szCs w:val="32"/>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 xml:space="preserve"> 年度政府性基金预算财政拨款收入支出决算情况</w:t>
      </w:r>
    </w:p>
    <w:p>
      <w:pPr>
        <w:ind w:left="645"/>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国有资本经营预算财政拨款支出决算情况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十、</w:t>
      </w:r>
      <w:r>
        <w:rPr>
          <w:rFonts w:hint="eastAsia" w:eastAsia="仿宋_GB2312"/>
          <w:color w:val="000000" w:themeColor="text1"/>
          <w:kern w:val="0"/>
          <w:sz w:val="32"/>
          <w:szCs w:val="32"/>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 xml:space="preserve"> 年度预算绩效情况说明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十一、其他重要事项的情况说明</w:t>
      </w:r>
    </w:p>
    <w:p>
      <w:pPr>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第四部分：名词解释</w:t>
      </w:r>
    </w:p>
    <w:p>
      <w:pPr>
        <w:ind w:firstLine="646"/>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br w:type="page"/>
      </w:r>
      <w:r>
        <w:rPr>
          <w:rFonts w:hint="eastAsia" w:ascii="仿宋_GB2312" w:eastAsia="仿宋_GB2312"/>
          <w:b/>
          <w:color w:val="000000" w:themeColor="text1"/>
          <w:sz w:val="32"/>
          <w:szCs w:val="32"/>
          <w14:textFill>
            <w14:solidFill>
              <w14:schemeClr w14:val="tx1"/>
            </w14:solidFill>
          </w14:textFill>
        </w:rPr>
        <w:t>第一部分：</w:t>
      </w:r>
      <w:r>
        <w:rPr>
          <w:rFonts w:hint="eastAsia" w:ascii="仿宋_GB2312" w:hAnsi="黑体" w:eastAsia="仿宋_GB2312"/>
          <w:b/>
          <w:bCs/>
          <w:color w:val="000000" w:themeColor="text1"/>
          <w:sz w:val="32"/>
          <w:szCs w:val="32"/>
          <w14:textFill>
            <w14:solidFill>
              <w14:schemeClr w14:val="tx1"/>
            </w14:solidFill>
          </w14:textFill>
        </w:rPr>
        <w:t>柳州市龙怀水库管理所</w:t>
      </w:r>
      <w:r>
        <w:rPr>
          <w:rFonts w:hint="eastAsia" w:ascii="仿宋_GB2312" w:eastAsia="仿宋_GB2312"/>
          <w:b/>
          <w:color w:val="000000" w:themeColor="text1"/>
          <w:sz w:val="32"/>
          <w:szCs w:val="32"/>
          <w14:textFill>
            <w14:solidFill>
              <w14:schemeClr w14:val="tx1"/>
            </w14:solidFill>
          </w14:textFill>
        </w:rPr>
        <w:t>概况</w:t>
      </w:r>
    </w:p>
    <w:p>
      <w:pPr>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单位基本职能：</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负责龙怀水库水利工程管理和维护，落实管护责任制，确保水库安全和正常运行。</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负责库区内建筑和设施的运行管理，编制水库运行计划，做好水库的调度运用，发挥水利工程的社会效益和经济效益。</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负责龙怀水库的防洪保安和水文水情预报。负责制定防汛抗旱方案，承担库区防汛抗旱工作。</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负责实施灌区干渠的建设规划、冬修计划、检查观测、技术指导和监督，用水调度和服务等工作。</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负责水库水源林的管理和库区的水土保持工作，开展水土流失防治工作。</w:t>
      </w:r>
    </w:p>
    <w:p>
      <w:pPr>
        <w:numPr>
          <w:ilvl w:val="0"/>
          <w:numId w:val="1"/>
        </w:numPr>
        <w:spacing w:line="560" w:lineRule="exact"/>
        <w:ind w:left="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完成主管部门交办的其他任务。</w:t>
      </w:r>
    </w:p>
    <w:p>
      <w:pPr>
        <w:spacing w:line="560" w:lineRule="exact"/>
        <w:ind w:left="638" w:leftChars="304"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numPr>
          <w:ilvl w:val="0"/>
          <w:numId w:val="2"/>
        </w:numPr>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部门决算单位构成</w:t>
      </w:r>
    </w:p>
    <w:p>
      <w:pPr>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柳州市龙怀水库管理所是市水利局管理的公益一类全额拨款事业单位。</w:t>
      </w:r>
    </w:p>
    <w:p>
      <w:pPr>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第二部分 柳州市龙怀水库管理所2020年单位决算报表</w:t>
      </w:r>
    </w:p>
    <w:p>
      <w:pPr>
        <w:spacing w:line="20" w:lineRule="atLeast"/>
        <w:ind w:firstLine="420"/>
        <w:rPr>
          <w:rFonts w:eastAsia="仿宋"/>
          <w:color w:val="000000" w:themeColor="text1"/>
          <w14:textFill>
            <w14:solidFill>
              <w14:schemeClr w14:val="tx1"/>
            </w14:solidFill>
          </w14:textFill>
        </w:rPr>
        <w:sectPr>
          <w:headerReference r:id="rId3" w:type="default"/>
          <w:footerReference r:id="rId4" w:type="default"/>
          <w:pgSz w:w="11906" w:h="16838"/>
          <w:pgMar w:top="1440" w:right="1797" w:bottom="1440" w:left="1597" w:header="851" w:footer="992" w:gutter="0"/>
          <w:pgNumType w:fmt="numberInDash"/>
          <w:cols w:space="720" w:num="1"/>
          <w:docGrid w:type="lines" w:linePitch="312" w:charSpace="0"/>
        </w:sectPr>
      </w:pPr>
      <w:r>
        <w:rPr>
          <w:rFonts w:ascii="仿宋_GB2312" w:hAnsi="宋体" w:eastAsia="仿宋_GB2312" w:cs="仿宋_GB2312"/>
          <w:color w:val="000000" w:themeColor="text1"/>
          <w:sz w:val="31"/>
          <w:szCs w:val="31"/>
          <w:shd w:val="clear" w:color="auto" w:fill="FFFFFF"/>
          <w14:textFill>
            <w14:solidFill>
              <w14:schemeClr w14:val="tx1"/>
            </w14:solidFill>
          </w14:textFill>
        </w:rPr>
        <w:t>详见附件</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柳州市龙怀水库管理所</w:t>
      </w:r>
      <w:r>
        <w:rPr>
          <w:rFonts w:hint="eastAsia" w:ascii="仿宋" w:hAnsi="仿宋" w:eastAsia="仿宋" w:cs="仿宋"/>
          <w:color w:val="000000" w:themeColor="text1"/>
          <w:sz w:val="32"/>
          <w:szCs w:val="32"/>
          <w:shd w:val="clear" w:color="auto" w:fill="FFFFFF"/>
          <w14:textFill>
            <w14:solidFill>
              <w14:schemeClr w14:val="tx1"/>
            </w14:solidFill>
          </w14:textFill>
        </w:rPr>
        <w:t>2020年单位决算报表。</w:t>
      </w:r>
    </w:p>
    <w:p>
      <w:pPr>
        <w:spacing w:line="20" w:lineRule="atLeas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第三部分：柳州市龙怀水库管理所2020年度单位决算情况说明</w:t>
      </w:r>
    </w:p>
    <w:p>
      <w:pPr>
        <w:autoSpaceDE w:val="0"/>
        <w:autoSpaceDN w:val="0"/>
        <w:adjustRightInd w:val="0"/>
        <w:spacing w:line="20" w:lineRule="atLeas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一、</w:t>
      </w:r>
      <w:r>
        <w:rPr>
          <w:rFonts w:hint="eastAsia" w:eastAsia="仿宋_GB2312"/>
          <w:b/>
          <w:color w:val="000000" w:themeColor="text1"/>
          <w:kern w:val="0"/>
          <w:sz w:val="32"/>
          <w:szCs w:val="32"/>
          <w14:textFill>
            <w14:solidFill>
              <w14:schemeClr w14:val="tx1"/>
            </w14:solidFill>
          </w14:textFill>
        </w:rPr>
        <w:t>2020</w:t>
      </w:r>
      <w:r>
        <w:rPr>
          <w:rFonts w:hint="eastAsia" w:ascii="仿宋_GB2312" w:eastAsia="仿宋_GB2312" w:cs="仿宋_GB2312"/>
          <w:b/>
          <w:color w:val="000000" w:themeColor="text1"/>
          <w:kern w:val="0"/>
          <w:sz w:val="32"/>
          <w:szCs w:val="32"/>
          <w14:textFill>
            <w14:solidFill>
              <w14:schemeClr w14:val="tx1"/>
            </w14:solidFill>
          </w14:textFill>
        </w:rPr>
        <w:t>年度收入支出决算总体情况</w:t>
      </w:r>
    </w:p>
    <w:p>
      <w:pPr>
        <w:autoSpaceDE w:val="0"/>
        <w:autoSpaceDN w:val="0"/>
        <w:adjustRightInd w:val="0"/>
        <w:spacing w:line="20" w:lineRule="atLeast"/>
        <w:ind w:firstLine="643"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14:textFill>
            <w14:solidFill>
              <w14:schemeClr w14:val="tx1"/>
            </w14:solidFill>
          </w14:textFill>
        </w:rPr>
        <w:t>2020年度收入总计508.6万元，支出总计508.06万元，与2019年相比，收、支分别增加339.5万元、320.51万元；分别增长66.75%、65.46%。增长的主要原因：</w:t>
      </w:r>
      <w:r>
        <w:rPr>
          <w:rFonts w:ascii="仿宋_GB2312" w:hAnsi="宋体" w:eastAsia="仿宋_GB2312" w:cs="仿宋_GB2312"/>
          <w:color w:val="000000" w:themeColor="text1"/>
          <w:sz w:val="31"/>
          <w:szCs w:val="31"/>
          <w:shd w:val="clear" w:color="auto" w:fill="FFFFFF"/>
          <w14:textFill>
            <w14:solidFill>
              <w14:schemeClr w14:val="tx1"/>
            </w14:solidFill>
          </w14:textFill>
        </w:rPr>
        <w:t>年中追加安排财政拨款支出预算</w:t>
      </w:r>
      <w:r>
        <w:rPr>
          <w:rFonts w:hint="eastAsia" w:ascii="仿宋_GB2312" w:eastAsia="仿宋_GB2312" w:cs="仿宋_GB2312"/>
          <w:bCs/>
          <w:color w:val="000000" w:themeColor="text1"/>
          <w:kern w:val="0"/>
          <w:sz w:val="32"/>
          <w:szCs w:val="32"/>
          <w14:textFill>
            <w14:solidFill>
              <w14:schemeClr w14:val="tx1"/>
            </w14:solidFill>
          </w14:textFill>
        </w:rPr>
        <w:t>。</w:t>
      </w:r>
    </w:p>
    <w:p>
      <w:pPr>
        <w:autoSpaceDE w:val="0"/>
        <w:autoSpaceDN w:val="0"/>
        <w:adjustRightInd w:val="0"/>
        <w:spacing w:line="20" w:lineRule="atLeas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二、</w:t>
      </w:r>
      <w:r>
        <w:rPr>
          <w:rFonts w:hint="eastAsia" w:eastAsia="仿宋_GB2312"/>
          <w:b/>
          <w:color w:val="000000" w:themeColor="text1"/>
          <w:kern w:val="0"/>
          <w:sz w:val="32"/>
          <w:szCs w:val="32"/>
          <w14:textFill>
            <w14:solidFill>
              <w14:schemeClr w14:val="tx1"/>
            </w14:solidFill>
          </w14:textFill>
        </w:rPr>
        <w:t>2020</w:t>
      </w:r>
      <w:r>
        <w:rPr>
          <w:rFonts w:hint="eastAsia" w:ascii="仿宋_GB2312" w:eastAsia="仿宋_GB2312" w:cs="仿宋_GB2312"/>
          <w:b/>
          <w:color w:val="000000" w:themeColor="text1"/>
          <w:kern w:val="0"/>
          <w:sz w:val="32"/>
          <w:szCs w:val="32"/>
          <w14:textFill>
            <w14:solidFill>
              <w14:schemeClr w14:val="tx1"/>
            </w14:solidFill>
          </w14:textFill>
        </w:rPr>
        <w:t>年度收入决算情况</w:t>
      </w:r>
    </w:p>
    <w:p>
      <w:pPr>
        <w:autoSpaceDE w:val="0"/>
        <w:autoSpaceDN w:val="0"/>
        <w:adjustRightInd w:val="0"/>
        <w:spacing w:line="20" w:lineRule="atLeast"/>
        <w:ind w:firstLine="640"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本年收入总计508.6万元，其中：一般公共预算财政拨款收入384.99万元；占比75.8% ；政府</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性</w:t>
      </w:r>
      <w:r>
        <w:rPr>
          <w:rFonts w:hint="eastAsia" w:ascii="仿宋_GB2312" w:eastAsia="仿宋_GB2312" w:cs="仿宋_GB2312"/>
          <w:bCs/>
          <w:color w:val="000000" w:themeColor="text1"/>
          <w:kern w:val="0"/>
          <w:sz w:val="32"/>
          <w:szCs w:val="32"/>
          <w14:textFill>
            <w14:solidFill>
              <w14:schemeClr w14:val="tx1"/>
            </w14:solidFill>
          </w14:textFill>
        </w:rPr>
        <w:t>基金预算财政拨款收入0万元；占比0；上级补助收入0万元，占比0；事业收入0万元，占比0 ；事业单位经营收入0万元，占比0；0，其他收入,123.07万元，占比24.2%。</w:t>
      </w:r>
    </w:p>
    <w:p>
      <w:pPr>
        <w:autoSpaceDE w:val="0"/>
        <w:autoSpaceDN w:val="0"/>
        <w:adjustRightInd w:val="0"/>
        <w:spacing w:line="20" w:lineRule="atLeas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三、</w:t>
      </w:r>
      <w:r>
        <w:rPr>
          <w:rFonts w:hint="eastAsia" w:eastAsia="仿宋_GB2312"/>
          <w:b/>
          <w:color w:val="000000" w:themeColor="text1"/>
          <w:kern w:val="0"/>
          <w:sz w:val="32"/>
          <w:szCs w:val="32"/>
          <w14:textFill>
            <w14:solidFill>
              <w14:schemeClr w14:val="tx1"/>
            </w14:solidFill>
          </w14:textFill>
        </w:rPr>
        <w:t>2020</w:t>
      </w:r>
      <w:r>
        <w:rPr>
          <w:rFonts w:hint="eastAsia" w:ascii="仿宋_GB2312" w:eastAsia="仿宋_GB2312" w:cs="仿宋_GB2312"/>
          <w:b/>
          <w:color w:val="000000" w:themeColor="text1"/>
          <w:kern w:val="0"/>
          <w:sz w:val="32"/>
          <w:szCs w:val="32"/>
          <w14:textFill>
            <w14:solidFill>
              <w14:schemeClr w14:val="tx1"/>
            </w14:solidFill>
          </w14:textFill>
        </w:rPr>
        <w:t>年度支出决算情况</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本年支出合计489.61万元，其中：基本支出307.17万元，占 62.74%；项目支出182.44万元， 占37.26%。</w:t>
      </w:r>
    </w:p>
    <w:p>
      <w:pPr>
        <w:autoSpaceDE w:val="0"/>
        <w:autoSpaceDN w:val="0"/>
        <w:adjustRightInd w:val="0"/>
        <w:spacing w:line="20" w:lineRule="atLeas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四、</w:t>
      </w:r>
      <w:r>
        <w:rPr>
          <w:rFonts w:hint="eastAsia" w:eastAsia="仿宋_GB2312"/>
          <w:b/>
          <w:color w:val="000000" w:themeColor="text1"/>
          <w:kern w:val="0"/>
          <w:sz w:val="32"/>
          <w:szCs w:val="32"/>
          <w14:textFill>
            <w14:solidFill>
              <w14:schemeClr w14:val="tx1"/>
            </w14:solidFill>
          </w14:textFill>
        </w:rPr>
        <w:t>2020</w:t>
      </w:r>
      <w:r>
        <w:rPr>
          <w:rFonts w:hint="eastAsia" w:ascii="仿宋_GB2312" w:eastAsia="仿宋_GB2312" w:cs="仿宋_GB2312"/>
          <w:b/>
          <w:color w:val="000000" w:themeColor="text1"/>
          <w:kern w:val="0"/>
          <w:sz w:val="32"/>
          <w:szCs w:val="32"/>
          <w14:textFill>
            <w14:solidFill>
              <w14:schemeClr w14:val="tx1"/>
            </w14:solidFill>
          </w14:textFill>
        </w:rPr>
        <w:t>年度财政拨款收入支出决算情况</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本部门 2020年度财政拨款收、支总决算384.99万元、384.99万元。与 2019 年相比，财政拨款收、支总计各增加215.89万元，增长56.08%。增长的主要原因：</w:t>
      </w:r>
      <w:r>
        <w:rPr>
          <w:rFonts w:ascii="仿宋_GB2312" w:hAnsi="宋体" w:eastAsia="仿宋_GB2312" w:cs="仿宋_GB2312"/>
          <w:color w:val="000000" w:themeColor="text1"/>
          <w:sz w:val="31"/>
          <w:szCs w:val="31"/>
          <w:shd w:val="clear" w:color="auto" w:fill="FFFFFF"/>
          <w14:textFill>
            <w14:solidFill>
              <w14:schemeClr w14:val="tx1"/>
            </w14:solidFill>
          </w14:textFill>
        </w:rPr>
        <w:t>年中追加安排财政拨款支出预算</w:t>
      </w:r>
      <w:r>
        <w:rPr>
          <w:rFonts w:hint="eastAsia" w:ascii="仿宋_GB2312" w:eastAsia="仿宋_GB2312" w:cs="仿宋_GB2312"/>
          <w:bCs/>
          <w:color w:val="000000" w:themeColor="text1"/>
          <w:kern w:val="0"/>
          <w:sz w:val="32"/>
          <w:szCs w:val="32"/>
          <w14:textFill>
            <w14:solidFill>
              <w14:schemeClr w14:val="tx1"/>
            </w14:solidFill>
          </w14:textFill>
        </w:rPr>
        <w:t>。</w:t>
      </w:r>
    </w:p>
    <w:p>
      <w:pPr>
        <w:autoSpaceDE w:val="0"/>
        <w:autoSpaceDN w:val="0"/>
        <w:adjustRightInd w:val="0"/>
        <w:spacing w:line="20" w:lineRule="atLeast"/>
        <w:ind w:firstLine="643" w:firstLineChars="200"/>
        <w:jc w:val="left"/>
        <w:rPr>
          <w:rFonts w:eastAsia="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五、</w:t>
      </w:r>
      <w:r>
        <w:rPr>
          <w:rFonts w:hint="eastAsia" w:eastAsia="仿宋_GB2312"/>
          <w:b/>
          <w:color w:val="000000" w:themeColor="text1"/>
          <w:kern w:val="0"/>
          <w:sz w:val="32"/>
          <w:szCs w:val="32"/>
          <w14:textFill>
            <w14:solidFill>
              <w14:schemeClr w14:val="tx1"/>
            </w14:solidFill>
          </w14:textFill>
        </w:rPr>
        <w:t>2020年度一般公共预算财政拨款支出决算情况</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（一）财政拨款支出决算情况。 </w:t>
      </w:r>
    </w:p>
    <w:p>
      <w:pPr>
        <w:autoSpaceDE w:val="0"/>
        <w:autoSpaceDN w:val="0"/>
        <w:adjustRightInd w:val="0"/>
        <w:spacing w:line="20" w:lineRule="atLeast"/>
        <w:ind w:firstLine="640" w:firstLineChars="200"/>
        <w:jc w:val="left"/>
        <w:rPr>
          <w:rFonts w:ascii="仿宋_GB2312" w:hAnsi="宋体" w:eastAsia="仿宋_GB2312" w:cs="仿宋_GB2312"/>
          <w:color w:val="000000" w:themeColor="text1"/>
          <w:sz w:val="31"/>
          <w:szCs w:val="31"/>
          <w:shd w:val="clear" w:color="auto" w:fill="FFFFFF"/>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部门 2020年度财政拨款支出384.92万元，占本年支出合计的78.62%。与 2019 年相比，财政拨款支出增215.82万元，增加56.07%。增长的主要原因：</w:t>
      </w:r>
      <w:r>
        <w:rPr>
          <w:rFonts w:ascii="仿宋_GB2312" w:hAnsi="宋体" w:eastAsia="仿宋_GB2312" w:cs="仿宋_GB2312"/>
          <w:color w:val="000000" w:themeColor="text1"/>
          <w:sz w:val="31"/>
          <w:szCs w:val="31"/>
          <w:shd w:val="clear" w:color="auto" w:fill="FFFFFF"/>
          <w14:textFill>
            <w14:solidFill>
              <w14:schemeClr w14:val="tx1"/>
            </w14:solidFill>
          </w14:textFill>
        </w:rPr>
        <w:t>年中追加安排财政拨款支出预算</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（二）财政拨款支出决算结构情况</w:t>
      </w:r>
    </w:p>
    <w:p>
      <w:pPr>
        <w:autoSpaceDE w:val="0"/>
        <w:autoSpaceDN w:val="0"/>
        <w:adjustRightInd w:val="0"/>
        <w:spacing w:line="20" w:lineRule="atLeas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2020 年度财政拨款支出384.92万元，主要用于以下方面：社会保障和就业（类）支出69.81万元，占 18.14%；农林水（类）支出267.71万元，占 69.55%； 住房保障（类）支出29.1万元，占 7.56%；卫生健康支出18.31万元，占4.75%。</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（三）财政拨款支出决算具体情况</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2020 年度财政拨款支出年初预算为 312.96万元，支出决算为384.99万元，完成年初预算的 123.01%。决算数大于预算数的主要原因：</w:t>
      </w:r>
      <w:r>
        <w:rPr>
          <w:rFonts w:ascii="仿宋_GB2312" w:hAnsi="宋体" w:eastAsia="仿宋_GB2312" w:cs="仿宋_GB2312"/>
          <w:color w:val="000000" w:themeColor="text1"/>
          <w:sz w:val="31"/>
          <w:szCs w:val="31"/>
          <w:shd w:val="clear" w:color="auto" w:fill="FFFFFF"/>
          <w14:textFill>
            <w14:solidFill>
              <w14:schemeClr w14:val="tx1"/>
            </w14:solidFill>
          </w14:textFill>
        </w:rPr>
        <w:t>年中追加安排财政拨款支出预算</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，涉及项目有</w:t>
      </w:r>
      <w:r>
        <w:rPr>
          <w:rFonts w:hint="eastAsia" w:ascii="仿宋_GB2312" w:eastAsia="仿宋_GB2312" w:cs="仿宋_GB2312"/>
          <w:bCs/>
          <w:color w:val="000000" w:themeColor="text1"/>
          <w:kern w:val="0"/>
          <w:sz w:val="32"/>
          <w:szCs w:val="32"/>
          <w14:textFill>
            <w14:solidFill>
              <w14:schemeClr w14:val="tx1"/>
            </w14:solidFill>
          </w14:textFill>
        </w:rPr>
        <w:t>社会保障和就业支出类、卫生健康支出类、农林水支出类、住房保障支出。</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1.社会保障和就业（类）行政事业单位养老（款）事业单位离退休（项）。年初预算为16.6万元，支出决算为17.07万元，完成年初预算的102.84%。决算数大于预算数的主要原因是：年中追加安排财政拨款支出预算。</w:t>
      </w:r>
    </w:p>
    <w:p>
      <w:pPr>
        <w:autoSpaceDE w:val="0"/>
        <w:autoSpaceDN w:val="0"/>
        <w:adjustRightInd w:val="0"/>
        <w:spacing w:line="20" w:lineRule="atLeas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社会保障和就业（类）行政事业单位养老（款）机关事业单位基本养老保险缴费（项）。年初预算为28.36万元，支出决算为38.79万元，完成年初预算的136.79%。决算数大于预算数的主要原因是年中追加安排财政拨款支出预算。</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3.</w:t>
      </w:r>
      <w:r>
        <w:rPr>
          <w:rFonts w:ascii="仿宋_GB2312" w:hAnsi="宋体" w:eastAsia="仿宋_GB2312" w:cs="仿宋_GB2312"/>
          <w:color w:val="000000" w:themeColor="text1"/>
          <w:sz w:val="31"/>
          <w:szCs w:val="31"/>
          <w:shd w:val="clear" w:color="auto" w:fill="FFFFFF"/>
          <w14:textFill>
            <w14:solidFill>
              <w14:schemeClr w14:val="tx1"/>
            </w14:solidFill>
          </w14:textFill>
        </w:rPr>
        <w:t>社会保障和就业（类）行政事业单位养老（款）机关事业单位职业年金缴费（项）</w:t>
      </w:r>
      <w:r>
        <w:rPr>
          <w:rFonts w:hint="eastAsia" w:ascii="仿宋_GB2312" w:eastAsia="仿宋_GB2312" w:cs="仿宋_GB2312"/>
          <w:bCs/>
          <w:color w:val="000000" w:themeColor="text1"/>
          <w:kern w:val="0"/>
          <w:sz w:val="32"/>
          <w:szCs w:val="32"/>
          <w14:textFill>
            <w14:solidFill>
              <w14:schemeClr w14:val="tx1"/>
            </w14:solidFill>
          </w14:textFill>
        </w:rPr>
        <w:t>。年初预算为14.18万元，支出决算为13.94万元，完成年初预算的98.31%。决算数小于预算数的主要原因是：根据实际按需支出，</w:t>
      </w:r>
      <w:r>
        <w:rPr>
          <w:rFonts w:ascii="仿宋_GB2312" w:hAnsi="宋体" w:eastAsia="仿宋_GB2312" w:cs="仿宋_GB2312"/>
          <w:color w:val="000000" w:themeColor="text1"/>
          <w:sz w:val="31"/>
          <w:szCs w:val="31"/>
          <w:shd w:val="clear" w:color="auto" w:fill="FFFFFF"/>
          <w14:textFill>
            <w14:solidFill>
              <w14:schemeClr w14:val="tx1"/>
            </w14:solidFill>
          </w14:textFill>
        </w:rPr>
        <w:t>年末剩余资金财政收回</w:t>
      </w:r>
      <w:r>
        <w:rPr>
          <w:rFonts w:hint="eastAsia" w:ascii="仿宋_GB2312" w:eastAsia="仿宋_GB2312" w:cs="仿宋_GB2312"/>
          <w:bCs/>
          <w:color w:val="000000" w:themeColor="text1"/>
          <w:kern w:val="0"/>
          <w:sz w:val="32"/>
          <w:szCs w:val="32"/>
          <w14:textFill>
            <w14:solidFill>
              <w14:schemeClr w14:val="tx1"/>
            </w14:solidFill>
          </w14:textFill>
        </w:rPr>
        <w:t>。</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4.卫生</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健康（类）行政事业单位医疗（款）事业单位医疗（项）。年初</w:t>
      </w:r>
      <w:r>
        <w:rPr>
          <w:rFonts w:hint="eastAsia" w:ascii="仿宋_GB2312" w:eastAsia="仿宋_GB2312" w:cs="仿宋_GB2312"/>
          <w:bCs/>
          <w:color w:val="000000" w:themeColor="text1"/>
          <w:kern w:val="0"/>
          <w:sz w:val="32"/>
          <w:szCs w:val="32"/>
          <w14:textFill>
            <w14:solidFill>
              <w14:schemeClr w14:val="tx1"/>
            </w14:solidFill>
          </w14:textFill>
        </w:rPr>
        <w:t>预算为13.41万元，支出决算为18.31万元，完成年初预算的136.51%。决算数大于预算数的主要原因是年中追加安排财政拨款支出预算。</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5.农林水（类）水利（款）水利工程运行与维护（项）。</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年初</w:t>
      </w:r>
      <w:r>
        <w:rPr>
          <w:rFonts w:hint="eastAsia" w:ascii="仿宋_GB2312" w:eastAsia="仿宋_GB2312" w:cs="仿宋_GB2312"/>
          <w:bCs/>
          <w:color w:val="000000" w:themeColor="text1"/>
          <w:kern w:val="0"/>
          <w:sz w:val="32"/>
          <w:szCs w:val="32"/>
          <w14:textFill>
            <w14:solidFill>
              <w14:schemeClr w14:val="tx1"/>
            </w14:solidFill>
          </w14:textFill>
        </w:rPr>
        <w:t>预算为211.14万元，支出决算为251.71万元，完成年初预算的119.22%。决算数大于预算数的主要原因是年中追加安排财政拨款支出预算。</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6.农林水（类）水利（款）其他水利支出（项）。</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年初</w:t>
      </w:r>
      <w:r>
        <w:rPr>
          <w:rFonts w:hint="eastAsia" w:ascii="仿宋_GB2312" w:eastAsia="仿宋_GB2312" w:cs="仿宋_GB2312"/>
          <w:bCs/>
          <w:color w:val="000000" w:themeColor="text1"/>
          <w:kern w:val="0"/>
          <w:sz w:val="32"/>
          <w:szCs w:val="32"/>
          <w14:textFill>
            <w14:solidFill>
              <w14:schemeClr w14:val="tx1"/>
            </w14:solidFill>
          </w14:textFill>
        </w:rPr>
        <w:t>预算为8万元，支出决算为16万元，完成年初预算的200%。决算数大于预算数的主要原因是年中追加安排财政拨款支出预算。</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7.</w:t>
      </w:r>
      <w:r>
        <w:rPr>
          <w:rFonts w:ascii="仿宋_GB2312" w:hAnsi="宋体" w:eastAsia="仿宋_GB2312" w:cs="仿宋_GB2312"/>
          <w:color w:val="000000" w:themeColor="text1"/>
          <w:sz w:val="31"/>
          <w:szCs w:val="31"/>
          <w:shd w:val="clear" w:color="auto" w:fill="FFFFFF"/>
          <w14:textFill>
            <w14:solidFill>
              <w14:schemeClr w14:val="tx1"/>
            </w14:solidFill>
          </w14:textFill>
        </w:rPr>
        <w:t>住房保障（类）住房改革（款）住房公积金（项）。年初预算为</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21.27</w:t>
      </w:r>
      <w:r>
        <w:rPr>
          <w:rFonts w:ascii="仿宋_GB2312" w:hAnsi="宋体" w:eastAsia="仿宋_GB2312" w:cs="仿宋_GB2312"/>
          <w:color w:val="000000" w:themeColor="text1"/>
          <w:sz w:val="31"/>
          <w:szCs w:val="31"/>
          <w:shd w:val="clear" w:color="auto" w:fill="FFFFFF"/>
          <w14:textFill>
            <w14:solidFill>
              <w14:schemeClr w14:val="tx1"/>
            </w14:solidFill>
          </w14:textFill>
        </w:rPr>
        <w:t>万元，支出决算为</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29.1</w:t>
      </w:r>
      <w:r>
        <w:rPr>
          <w:rFonts w:ascii="仿宋_GB2312" w:hAnsi="宋体" w:eastAsia="仿宋_GB2312" w:cs="仿宋_GB2312"/>
          <w:color w:val="000000" w:themeColor="text1"/>
          <w:sz w:val="31"/>
          <w:szCs w:val="31"/>
          <w:shd w:val="clear" w:color="auto" w:fill="FFFFFF"/>
          <w14:textFill>
            <w14:solidFill>
              <w14:schemeClr w14:val="tx1"/>
            </w14:solidFill>
          </w14:textFill>
        </w:rPr>
        <w:t>万元，完成年初预算的</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136.79</w:t>
      </w:r>
      <w:r>
        <w:rPr>
          <w:rFonts w:ascii="仿宋_GB2312" w:hAnsi="宋体" w:eastAsia="仿宋_GB2312" w:cs="仿宋_GB2312"/>
          <w:color w:val="000000" w:themeColor="text1"/>
          <w:sz w:val="31"/>
          <w:szCs w:val="31"/>
          <w:shd w:val="clear" w:color="auto" w:fill="FFFFFF"/>
          <w14:textFill>
            <w14:solidFill>
              <w14:schemeClr w14:val="tx1"/>
            </w14:solidFill>
          </w14:textFill>
        </w:rPr>
        <w:t>%。决算数大于预算数的主要原因是年中追加安排财政拨款支出预算。</w:t>
      </w:r>
    </w:p>
    <w:p>
      <w:pPr>
        <w:autoSpaceDE w:val="0"/>
        <w:autoSpaceDN w:val="0"/>
        <w:adjustRightInd w:val="0"/>
        <w:spacing w:line="580" w:lineRule="exact"/>
        <w:ind w:firstLine="640"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六、</w:t>
      </w:r>
      <w:r>
        <w:rPr>
          <w:rFonts w:hint="eastAsia" w:ascii="仿宋_GB2312" w:eastAsia="仿宋_GB2312" w:cs="仿宋_GB2312"/>
          <w:b/>
          <w:color w:val="000000" w:themeColor="text1"/>
          <w:kern w:val="0"/>
          <w:sz w:val="32"/>
          <w:szCs w:val="32"/>
          <w14:textFill>
            <w14:solidFill>
              <w14:schemeClr w14:val="tx1"/>
            </w14:solidFill>
          </w14:textFill>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2020年度财政拨款基本支出307.17万元，其中：</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人员经费289.05万元，主要包括：基本工资、津贴补贴、 奖金、伙食补助费、绩效工资、机关事业单位基本养老保险缴费、职业年金缴费、其他社会保障缴费、住房公积金 、退休费、生活补助、奖励金、；</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公用经费18.12万元，主要 包括：办公费、电费、邮电费、差旅费、维 修（护）费、培训费、劳务费、工会经费、税金及附加费用、其他商品和服务支出。</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七、</w:t>
      </w:r>
      <w:r>
        <w:rPr>
          <w:rFonts w:hint="eastAsia" w:ascii="仿宋_GB2312" w:eastAsia="仿宋_GB2312" w:cs="仿宋_GB2312"/>
          <w:b/>
          <w:color w:val="000000" w:themeColor="text1"/>
          <w:kern w:val="0"/>
          <w:sz w:val="32"/>
          <w:szCs w:val="32"/>
          <w14:textFill>
            <w14:solidFill>
              <w14:schemeClr w14:val="tx1"/>
            </w14:solidFill>
          </w14:textFill>
        </w:rPr>
        <w:t>2020 年度一般公共预算财政拨款“三公” 经费支出决算情况</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numPr>
          <w:ilvl w:val="0"/>
          <w:numId w:val="3"/>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2020 年度“三公”经费财政拨款支出预算为0.6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是认真贯彻落实中央</w:t>
      </w:r>
      <w:bookmarkStart w:id="0" w:name="_GoBack"/>
      <w:bookmarkEnd w:id="0"/>
      <w:r>
        <w:rPr>
          <w:rFonts w:hint="eastAsia" w:ascii="仿宋_GB2312" w:eastAsia="仿宋_GB2312" w:cs="仿宋_GB2312"/>
          <w:bCs/>
          <w:color w:val="000000" w:themeColor="text1"/>
          <w:kern w:val="0"/>
          <w:sz w:val="32"/>
          <w:szCs w:val="32"/>
          <w14:textFill>
            <w14:solidFill>
              <w14:schemeClr w14:val="tx1"/>
            </w14:solidFill>
          </w14:textFill>
        </w:rPr>
        <w:t>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2020年度“三公”经费财政拨款支出决算数比2019年减少2.16万元，下降100%，其中：因公出国（境）费支出决算减少0万元，下降0%；公务用车购置及运行费支出决算减少2.16万元，下降100%；公务接待费支出决算减少0万元，下降0%。</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w:t>
      </w:r>
      <w:r>
        <w:rPr>
          <w:rFonts w:ascii="仿宋_GB2312" w:hAnsi="宋体" w:eastAsia="仿宋_GB2312" w:cs="仿宋_GB2312"/>
          <w:color w:val="000000" w:themeColor="text1"/>
          <w:sz w:val="31"/>
          <w:szCs w:val="31"/>
          <w:shd w:val="clear" w:color="auto" w:fill="FFFFFF"/>
          <w14:textFill>
            <w14:solidFill>
              <w14:schemeClr w14:val="tx1"/>
            </w14:solidFill>
          </w14:textFill>
        </w:rPr>
        <w:t>2019</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年和2020年未产生因公出国（境）费；</w:t>
      </w:r>
      <w:r>
        <w:rPr>
          <w:rFonts w:hint="eastAsia" w:ascii="仿宋_GB2312" w:eastAsia="仿宋_GB2312" w:cs="仿宋_GB2312"/>
          <w:bCs/>
          <w:color w:val="000000" w:themeColor="text1"/>
          <w:kern w:val="0"/>
          <w:sz w:val="32"/>
          <w:szCs w:val="32"/>
          <w14:textFill>
            <w14:solidFill>
              <w14:schemeClr w14:val="tx1"/>
            </w14:solidFill>
          </w14:textFill>
        </w:rPr>
        <w:t>公务用车购置及运行费支出减少的主要原因是：我单位本年未开展相关业务，无费用支出；公务接待费支出减少的主要原因是：本年未开展相关业务，无费用支出。</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2020年度“三公”经费财政拨款支出决算中，因公出国（境）费支出决算0万元，占0%；公务用车购置及运行费 支出决算0万元，占0 %；公务接待费支出决算0万元，占0 %。具体情况如下：  </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1.因公出国（境）费支出0万元。全年安排机关和所属单位因公出国 （境）团组0个，累计0人次。 </w:t>
      </w:r>
    </w:p>
    <w:p>
      <w:pPr>
        <w:autoSpaceDE w:val="0"/>
        <w:autoSpaceDN w:val="0"/>
        <w:adjustRightInd w:val="0"/>
        <w:spacing w:line="580" w:lineRule="exact"/>
        <w:ind w:firstLine="64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2.公务用车购置及运行费支出0万元。其中： 公务用车购置支出为0万元。公务用车运行支出0万元。02020年，机关所属单位开支财政拨款的公务用车保有量为0辆。</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3.公务接待费支出0万元。其中：</w:t>
      </w:r>
    </w:p>
    <w:p>
      <w:pPr>
        <w:autoSpaceDE w:val="0"/>
        <w:autoSpaceDN w:val="0"/>
        <w:adjustRightInd w:val="0"/>
        <w:spacing w:line="580" w:lineRule="exact"/>
        <w:ind w:firstLine="64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外宾接待支出0万元。2020 年共接待国（境）外来访团组0个、来访外宾0人次。</w:t>
      </w:r>
    </w:p>
    <w:p>
      <w:pPr>
        <w:autoSpaceDE w:val="0"/>
        <w:autoSpaceDN w:val="0"/>
        <w:adjustRightInd w:val="0"/>
        <w:spacing w:line="580" w:lineRule="exact"/>
        <w:ind w:firstLine="64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国内公务接待支出0万元。2020 年共接待国内来访团组0个、来宾0人次。</w:t>
      </w:r>
    </w:p>
    <w:p>
      <w:pPr>
        <w:autoSpaceDE w:val="0"/>
        <w:autoSpaceDN w:val="0"/>
        <w:adjustRightInd w:val="0"/>
        <w:spacing w:line="580" w:lineRule="exact"/>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八、</w:t>
      </w:r>
      <w:r>
        <w:rPr>
          <w:rFonts w:hint="eastAsia" w:ascii="仿宋_GB2312" w:eastAsia="仿宋_GB2312" w:cs="仿宋_GB2312"/>
          <w:b/>
          <w:color w:val="000000" w:themeColor="text1"/>
          <w:kern w:val="0"/>
          <w:sz w:val="32"/>
          <w:szCs w:val="32"/>
          <w14:textFill>
            <w14:solidFill>
              <w14:schemeClr w14:val="tx1"/>
            </w14:solidFill>
          </w14:textFill>
        </w:rPr>
        <w:t>2020 年度政府性基金预算财政拨款收入支出决算情况说明</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本部门 2020年度政府</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性</w:t>
      </w:r>
      <w:r>
        <w:rPr>
          <w:rFonts w:hint="eastAsia" w:ascii="仿宋_GB2312" w:eastAsia="仿宋_GB2312" w:cs="仿宋_GB2312"/>
          <w:bCs/>
          <w:color w:val="000000" w:themeColor="text1"/>
          <w:kern w:val="0"/>
          <w:sz w:val="32"/>
          <w:szCs w:val="32"/>
          <w14:textFill>
            <w14:solidFill>
              <w14:schemeClr w14:val="tx1"/>
            </w14:solidFill>
          </w14:textFill>
        </w:rPr>
        <w:t>基金预算财政拨款收、支总决算 0万元。与 2019 年相比，收、支总计各增加0万元，增长0%。</w:t>
      </w:r>
    </w:p>
    <w:p>
      <w:pPr>
        <w:numPr>
          <w:ilvl w:val="0"/>
          <w:numId w:val="4"/>
        </w:num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国有资本经营预算财政拨款支出情况说明</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14:textFill>
            <w14:solidFill>
              <w14:schemeClr w14:val="tx1"/>
            </w14:solidFill>
          </w14:textFill>
        </w:rPr>
        <w:t>2020年度国有资本经营预算财政拨款本年支出0万元，为0支出。</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十、2020</w:t>
      </w:r>
      <w:r>
        <w:rPr>
          <w:rFonts w:hint="eastAsia" w:ascii="仿宋_GB2312" w:eastAsia="仿宋_GB2312" w:cs="仿宋_GB2312"/>
          <w:b/>
          <w:color w:val="000000" w:themeColor="text1"/>
          <w:kern w:val="0"/>
          <w:sz w:val="32"/>
          <w:szCs w:val="32"/>
          <w14:textFill>
            <w14:solidFill>
              <w14:schemeClr w14:val="tx1"/>
            </w14:solidFill>
          </w14:textFill>
        </w:rPr>
        <w:t xml:space="preserve"> 年度预算绩效情况说明</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（一）绩效管理工作开展情况</w:t>
      </w:r>
    </w:p>
    <w:p>
      <w:pPr>
        <w:autoSpaceDE w:val="0"/>
        <w:autoSpaceDN w:val="0"/>
        <w:adjustRightInd w:val="0"/>
        <w:spacing w:line="580" w:lineRule="exact"/>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根据财政预算管理要求，我单位组织对2020年度一般公共预算整体支出全面开展绩效自评。</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（二）部门决算中项目绩效自评结果。</w:t>
      </w:r>
    </w:p>
    <w:p>
      <w:pPr>
        <w:spacing w:line="560" w:lineRule="exact"/>
        <w:ind w:firstLine="640" w:firstLineChars="200"/>
        <w:rPr>
          <w:rFonts w:ascii="仿宋_GB2312"/>
          <w:color w:val="000000" w:themeColor="text1"/>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2020年度龙怀水库部门整体支出绩效自评综合得分91分，自评结果为“优”</w:t>
      </w:r>
      <w:r>
        <w:rPr>
          <w:rFonts w:hint="eastAsia" w:ascii="仿宋_GB2312"/>
          <w:color w:val="000000" w:themeColor="text1"/>
          <w:sz w:val="32"/>
          <w:szCs w:val="32"/>
          <w14:textFill>
            <w14:solidFill>
              <w14:schemeClr w14:val="tx1"/>
            </w14:solidFill>
          </w14:textFill>
        </w:rPr>
        <w:t>。</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十一、其他重要事项的情况</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（一）机关运行经费支出情况。本单位为非机关单位，无此项费用。2020年度部门机关运行经费支出</w:t>
      </w:r>
      <w:r>
        <w:rPr>
          <w:rFonts w:hint="eastAsia" w:ascii="仿宋_GB2312" w:eastAsia="仿宋_GB2312" w:cs="仿宋_GB2312"/>
          <w:bCs/>
          <w:color w:val="000000" w:themeColor="text1"/>
          <w:kern w:val="0"/>
          <w:sz w:val="32"/>
          <w:szCs w:val="32"/>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 xml:space="preserve">万元，比 2019年增加 </w:t>
      </w:r>
      <w:r>
        <w:rPr>
          <w:rFonts w:hint="eastAsia" w:ascii="仿宋_GB2312" w:eastAsia="仿宋_GB2312" w:cs="仿宋_GB2312"/>
          <w:bCs/>
          <w:color w:val="000000" w:themeColor="text1"/>
          <w:kern w:val="0"/>
          <w:sz w:val="32"/>
          <w:szCs w:val="32"/>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（二）政府采购支出情况。2020年度部门政府采购支出总额155.42万元，其中：货物支出1.69万元、工程支出153.73万元、服务支出0万元。</w:t>
      </w:r>
    </w:p>
    <w:p>
      <w:pPr>
        <w:autoSpaceDE w:val="0"/>
        <w:autoSpaceDN w:val="0"/>
        <w:adjustRightInd w:val="0"/>
        <w:spacing w:line="580" w:lineRule="exact"/>
        <w:ind w:firstLine="627" w:firstLineChars="196"/>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（三）国有资产占用情况。截至年末部门共有车辆0辆；单价50万元 以上通用设备0台（套），单价100 万元以上专用设备0台（套）。</w:t>
      </w:r>
    </w:p>
    <w:p>
      <w:pPr>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b/>
          <w:color w:val="000000" w:themeColor="text1"/>
          <w:kern w:val="0"/>
          <w:sz w:val="32"/>
          <w:szCs w:val="32"/>
          <w14:textFill>
            <w14:solidFill>
              <w14:schemeClr w14:val="tx1"/>
            </w14:solidFill>
          </w14:textFill>
        </w:rPr>
        <w:t>十二、</w:t>
      </w:r>
      <w:r>
        <w:rPr>
          <w:rFonts w:hint="eastAsia" w:ascii="仿宋_GB2312" w:eastAsia="仿宋_GB2312"/>
          <w:bCs/>
          <w:color w:val="000000" w:themeColor="text1"/>
          <w:sz w:val="32"/>
          <w:szCs w:val="32"/>
          <w14:textFill>
            <w14:solidFill>
              <w14:schemeClr w14:val="tx1"/>
            </w14:solidFill>
          </w14:textFill>
        </w:rPr>
        <w:t>机关运行经费：本单位</w:t>
      </w:r>
      <w:r>
        <w:rPr>
          <w:rFonts w:hint="eastAsia" w:ascii="仿宋_GB2312" w:eastAsia="仿宋_GB2312"/>
          <w:color w:val="000000" w:themeColor="text1"/>
          <w:sz w:val="32"/>
          <w:szCs w:val="32"/>
          <w14:textFill>
            <w14:solidFill>
              <w14:schemeClr w14:val="tx1"/>
            </w14:solidFill>
          </w14:textFill>
        </w:rPr>
        <w:t>非机关单位，无本项经费。</w:t>
      </w:r>
    </w:p>
    <w:p>
      <w:pPr>
        <w:spacing w:line="580" w:lineRule="exact"/>
        <w:ind w:firstLine="320" w:firstLineChars="100"/>
        <w:rPr>
          <w:rFonts w:ascii="仿宋_GB2312" w:eastAsia="仿宋_GB2312"/>
          <w:bCs/>
          <w:color w:val="000000" w:themeColor="text1"/>
          <w:sz w:val="32"/>
          <w:szCs w:val="32"/>
          <w14:textFill>
            <w14:solidFill>
              <w14:schemeClr w14:val="tx1"/>
            </w14:solidFill>
          </w14:textFill>
        </w:rPr>
      </w:pPr>
    </w:p>
    <w:p>
      <w:pPr>
        <w:autoSpaceDE w:val="0"/>
        <w:autoSpaceDN w:val="0"/>
        <w:adjustRightInd w:val="0"/>
        <w:spacing w:line="580" w:lineRule="exact"/>
        <w:ind w:firstLine="627" w:firstLineChars="196"/>
        <w:jc w:val="left"/>
        <w:rPr>
          <w:rFonts w:ascii="仿宋_GB2312" w:eastAsia="仿宋_GB2312" w:cs="仿宋_GB2312"/>
          <w:color w:val="000000" w:themeColor="text1"/>
          <w:kern w:val="0"/>
          <w:sz w:val="32"/>
          <w:szCs w:val="32"/>
          <w14:textFill>
            <w14:solidFill>
              <w14:schemeClr w14:val="tx1"/>
            </w14:solidFill>
          </w14:textFill>
        </w:rPr>
      </w:pPr>
    </w:p>
    <w:p>
      <w:pPr>
        <w:spacing w:line="580" w:lineRule="exact"/>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第四部分：名词解释</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财政拨款收入：指市本级财政当年拨付的资金。</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事业收入：指事业单位开展专业活动用辅助活动所取得的收入。经营收入：指事业单位在专业业务活动及辅助活动之外开展非独立核算经营活动取得的收入。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其他收入：指除上述“财政拨款收入”、“事业收入”、“经营收入”等以外的收入。</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使用非财政拨款结余</w:t>
      </w:r>
      <w:r>
        <w:rPr>
          <w:rFonts w:hint="eastAsia" w:ascii="仿宋_GB2312" w:eastAsia="仿宋_GB2312"/>
          <w:bCs/>
          <w:color w:val="000000" w:themeColor="text1"/>
          <w:sz w:val="32"/>
          <w:szCs w:val="32"/>
          <w14:textFill>
            <w14:solidFill>
              <w14:schemeClr w14:val="tx1"/>
            </w14:solidFill>
          </w14:textFill>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年初结转和结余：指以前年度尚未完成、结转到本年按规定继续使用的资金。</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000000" w:themeColor="text1"/>
          <w:kern w:val="0"/>
          <w:sz w:val="32"/>
          <w:szCs w:val="32"/>
          <w14:textFill>
            <w14:solidFill>
              <w14:schemeClr w14:val="tx1"/>
            </w14:solidFill>
          </w14:textFill>
        </w:rPr>
      </w:pPr>
    </w:p>
    <w:p>
      <w:pPr>
        <w:rPr>
          <w:color w:val="000000" w:themeColor="text1"/>
          <w14:textFill>
            <w14:solidFill>
              <w14:schemeClr w14:val="tx1"/>
            </w14:solidFill>
          </w14:textFill>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- 4 -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B0F4ED5B"/>
    <w:multiLevelType w:val="singleLevel"/>
    <w:tmpl w:val="B0F4ED5B"/>
    <w:lvl w:ilvl="0" w:tentative="0">
      <w:start w:val="1"/>
      <w:numFmt w:val="chineseCounting"/>
      <w:suff w:val="nothing"/>
      <w:lvlText w:val="（%1）"/>
      <w:lvlJc w:val="left"/>
      <w:rPr>
        <w:rFonts w:hint="eastAsia"/>
      </w:rPr>
    </w:lvl>
  </w:abstractNum>
  <w:abstractNum w:abstractNumId="2">
    <w:nsid w:val="E045EB8B"/>
    <w:multiLevelType w:val="singleLevel"/>
    <w:tmpl w:val="E045EB8B"/>
    <w:lvl w:ilvl="0" w:tentative="0">
      <w:start w:val="2"/>
      <w:numFmt w:val="chineseCounting"/>
      <w:suff w:val="nothing"/>
      <w:lvlText w:val="%1、"/>
      <w:lvlJc w:val="left"/>
      <w:rPr>
        <w:rFonts w:hint="eastAsia"/>
      </w:rPr>
    </w:lvl>
  </w:abstractNum>
  <w:abstractNum w:abstractNumId="3">
    <w:nsid w:val="5B3C8BA7"/>
    <w:multiLevelType w:val="singleLevel"/>
    <w:tmpl w:val="5B3C8BA7"/>
    <w:lvl w:ilvl="0" w:tentative="0">
      <w:start w:val="1"/>
      <w:numFmt w:val="chineseCounting"/>
      <w:suff w:val="nothing"/>
      <w:lvlText w:val="%1、"/>
      <w:lvlJc w:val="left"/>
    </w:lvl>
  </w:abstractNum>
  <w:abstractNum w:abstractNumId="4">
    <w:nsid w:val="61951313"/>
    <w:multiLevelType w:val="singleLevel"/>
    <w:tmpl w:val="61951313"/>
    <w:lvl w:ilvl="0" w:tentative="0">
      <w:start w:val="1"/>
      <w:numFmt w:val="chineseCounting"/>
      <w:suff w:val="nothing"/>
      <w:lvlText w:val="（%1）"/>
      <w:lvlJc w:val="left"/>
      <w:pPr>
        <w:ind w:left="-218"/>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0E7769"/>
    <w:rsid w:val="00607611"/>
    <w:rsid w:val="006C1367"/>
    <w:rsid w:val="00715385"/>
    <w:rsid w:val="0089727E"/>
    <w:rsid w:val="00F66C5B"/>
    <w:rsid w:val="01276BD5"/>
    <w:rsid w:val="0343199C"/>
    <w:rsid w:val="058D4C10"/>
    <w:rsid w:val="0E074DDF"/>
    <w:rsid w:val="124204B5"/>
    <w:rsid w:val="135E3D80"/>
    <w:rsid w:val="169A7B33"/>
    <w:rsid w:val="17CE51FA"/>
    <w:rsid w:val="182962AB"/>
    <w:rsid w:val="19D073EB"/>
    <w:rsid w:val="1BF00346"/>
    <w:rsid w:val="1C6C24D9"/>
    <w:rsid w:val="1CC31F67"/>
    <w:rsid w:val="20C71F08"/>
    <w:rsid w:val="24C12549"/>
    <w:rsid w:val="24D337DC"/>
    <w:rsid w:val="26460DBA"/>
    <w:rsid w:val="2A2F5C7A"/>
    <w:rsid w:val="2AE352B2"/>
    <w:rsid w:val="2B6F74EB"/>
    <w:rsid w:val="2C4219FE"/>
    <w:rsid w:val="2DC93553"/>
    <w:rsid w:val="2EC55FD0"/>
    <w:rsid w:val="34020F86"/>
    <w:rsid w:val="34F01838"/>
    <w:rsid w:val="369F5F5E"/>
    <w:rsid w:val="375939C8"/>
    <w:rsid w:val="37EA3F86"/>
    <w:rsid w:val="38832614"/>
    <w:rsid w:val="39A63F06"/>
    <w:rsid w:val="3CBD6FD3"/>
    <w:rsid w:val="3ED1439F"/>
    <w:rsid w:val="3F8167B2"/>
    <w:rsid w:val="40465414"/>
    <w:rsid w:val="41814649"/>
    <w:rsid w:val="42B56FD0"/>
    <w:rsid w:val="46637F0D"/>
    <w:rsid w:val="48374EDC"/>
    <w:rsid w:val="4C256E3D"/>
    <w:rsid w:val="4CB52F0F"/>
    <w:rsid w:val="4D3553D2"/>
    <w:rsid w:val="532F1F9A"/>
    <w:rsid w:val="53A85BFC"/>
    <w:rsid w:val="59C66164"/>
    <w:rsid w:val="59DE0F38"/>
    <w:rsid w:val="5E995A3E"/>
    <w:rsid w:val="62163194"/>
    <w:rsid w:val="624D024D"/>
    <w:rsid w:val="650E086A"/>
    <w:rsid w:val="67AA7ABF"/>
    <w:rsid w:val="67D84B1B"/>
    <w:rsid w:val="6BAA0708"/>
    <w:rsid w:val="77EB25BB"/>
    <w:rsid w:val="7ADE39CF"/>
    <w:rsid w:val="7D233B3B"/>
    <w:rsid w:val="7D90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批注框文本 字符"/>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4319</Words>
  <Characters>4794</Characters>
  <Lines>35</Lines>
  <Paragraphs>10</Paragraphs>
  <TotalTime>23</TotalTime>
  <ScaleCrop>false</ScaleCrop>
  <LinksUpToDate>false</LinksUpToDate>
  <CharactersWithSpaces>4900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2021-11-03T03:35:00Z</cp:lastPrinted>
  <dcterms:modified xsi:type="dcterms:W3CDTF">2022-09-14T07:16:23Z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04B8552F728440C19BB89A40F0F5B802</vt:lpwstr>
  </property>
</Properties>
</file>